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C856F">
      <w:pPr>
        <w:spacing w:before="90" w:line="219" w:lineRule="auto"/>
        <w:ind w:left="951"/>
        <w:rPr>
          <w:rFonts w:ascii="宋体" w:hAnsi="宋体" w:eastAsia="宋体" w:cs="宋体"/>
          <w:sz w:val="45"/>
          <w:szCs w:val="45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-21"/>
          <w:sz w:val="45"/>
          <w:szCs w:val="45"/>
          <w:lang w:val="en-US" w:eastAsia="zh-CN"/>
        </w:rPr>
        <w:t>沙湾</w:t>
      </w:r>
      <w:r>
        <w:rPr>
          <w:rFonts w:ascii="宋体" w:hAnsi="宋体" w:eastAsia="宋体" w:cs="宋体"/>
          <w:b/>
          <w:bCs/>
          <w:spacing w:val="-21"/>
          <w:sz w:val="45"/>
          <w:szCs w:val="45"/>
        </w:rPr>
        <w:t>市应急管理局行政调解事项清单</w:t>
      </w:r>
    </w:p>
    <w:bookmarkEnd w:id="0"/>
    <w:p w14:paraId="2B53ECE4">
      <w:pPr>
        <w:spacing w:before="53"/>
      </w:pPr>
    </w:p>
    <w:p w14:paraId="3263AEEE">
      <w:pPr>
        <w:spacing w:before="52"/>
      </w:pPr>
    </w:p>
    <w:tbl>
      <w:tblPr>
        <w:tblStyle w:val="4"/>
        <w:tblW w:w="87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2227"/>
        <w:gridCol w:w="1328"/>
        <w:gridCol w:w="4101"/>
      </w:tblGrid>
      <w:tr w14:paraId="01F20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76C31F60">
            <w:pPr>
              <w:spacing w:line="250" w:lineRule="auto"/>
              <w:rPr>
                <w:rFonts w:ascii="Arial"/>
                <w:sz w:val="21"/>
              </w:rPr>
            </w:pPr>
          </w:p>
          <w:p w14:paraId="74E1E772">
            <w:pPr>
              <w:spacing w:line="250" w:lineRule="auto"/>
              <w:rPr>
                <w:rFonts w:ascii="Arial"/>
                <w:sz w:val="21"/>
              </w:rPr>
            </w:pPr>
          </w:p>
          <w:p w14:paraId="536861BD">
            <w:pPr>
              <w:pStyle w:val="5"/>
              <w:spacing w:before="91" w:line="221" w:lineRule="auto"/>
              <w:ind w:left="269"/>
            </w:pPr>
            <w:r>
              <w:rPr>
                <w:b/>
                <w:bCs/>
                <w:spacing w:val="-6"/>
              </w:rPr>
              <w:t>序号</w:t>
            </w:r>
          </w:p>
        </w:tc>
        <w:tc>
          <w:tcPr>
            <w:tcW w:w="2227" w:type="dxa"/>
            <w:vMerge w:val="restart"/>
            <w:tcBorders>
              <w:bottom w:val="nil"/>
            </w:tcBorders>
            <w:vAlign w:val="top"/>
          </w:tcPr>
          <w:p w14:paraId="57C68C37">
            <w:pPr>
              <w:spacing w:line="249" w:lineRule="auto"/>
              <w:rPr>
                <w:rFonts w:ascii="Arial"/>
                <w:sz w:val="21"/>
              </w:rPr>
            </w:pPr>
          </w:p>
          <w:p w14:paraId="6F0FD107">
            <w:pPr>
              <w:spacing w:line="250" w:lineRule="auto"/>
              <w:rPr>
                <w:rFonts w:ascii="Arial"/>
                <w:sz w:val="21"/>
              </w:rPr>
            </w:pPr>
          </w:p>
          <w:p w14:paraId="75D66CE2">
            <w:pPr>
              <w:pStyle w:val="5"/>
              <w:spacing w:before="91" w:line="220" w:lineRule="auto"/>
              <w:ind w:left="265"/>
            </w:pPr>
            <w:r>
              <w:rPr>
                <w:b/>
                <w:bCs/>
                <w:spacing w:val="-2"/>
              </w:rPr>
              <w:t>行政调解事项</w:t>
            </w:r>
          </w:p>
        </w:tc>
        <w:tc>
          <w:tcPr>
            <w:tcW w:w="5429" w:type="dxa"/>
            <w:gridSpan w:val="2"/>
            <w:vAlign w:val="top"/>
          </w:tcPr>
          <w:p w14:paraId="1FB53C35">
            <w:pPr>
              <w:pStyle w:val="5"/>
              <w:spacing w:before="180" w:line="219" w:lineRule="auto"/>
              <w:ind w:left="2387"/>
            </w:pPr>
            <w:r>
              <w:rPr>
                <w:b/>
                <w:bCs/>
                <w:spacing w:val="1"/>
              </w:rPr>
              <w:t>依据</w:t>
            </w:r>
          </w:p>
        </w:tc>
      </w:tr>
      <w:tr w14:paraId="5195B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590A8446">
            <w:pPr>
              <w:rPr>
                <w:rFonts w:ascii="Arial"/>
                <w:sz w:val="21"/>
              </w:rPr>
            </w:pPr>
          </w:p>
        </w:tc>
        <w:tc>
          <w:tcPr>
            <w:tcW w:w="2227" w:type="dxa"/>
            <w:vMerge w:val="continue"/>
            <w:tcBorders>
              <w:top w:val="nil"/>
            </w:tcBorders>
            <w:vAlign w:val="top"/>
          </w:tcPr>
          <w:p w14:paraId="1E52DDFD"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vAlign w:val="top"/>
          </w:tcPr>
          <w:p w14:paraId="2C2B0CA2">
            <w:pPr>
              <w:pStyle w:val="5"/>
              <w:spacing w:before="271" w:line="221" w:lineRule="auto"/>
              <w:ind w:left="378"/>
            </w:pPr>
            <w:r>
              <w:rPr>
                <w:b/>
                <w:bCs/>
              </w:rPr>
              <w:t>名称</w:t>
            </w:r>
          </w:p>
        </w:tc>
        <w:tc>
          <w:tcPr>
            <w:tcW w:w="4101" w:type="dxa"/>
            <w:vAlign w:val="top"/>
          </w:tcPr>
          <w:p w14:paraId="37B7B10A">
            <w:pPr>
              <w:pStyle w:val="5"/>
              <w:spacing w:before="267" w:line="219" w:lineRule="auto"/>
              <w:ind w:left="950"/>
            </w:pPr>
            <w:r>
              <w:rPr>
                <w:b/>
                <w:bCs/>
                <w:spacing w:val="-3"/>
              </w:rPr>
              <w:t>具体条款及内容</w:t>
            </w:r>
          </w:p>
        </w:tc>
      </w:tr>
      <w:tr w14:paraId="170D1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7" w:hRule="atLeast"/>
        </w:trPr>
        <w:tc>
          <w:tcPr>
            <w:tcW w:w="1104" w:type="dxa"/>
            <w:vAlign w:val="top"/>
          </w:tcPr>
          <w:p w14:paraId="29C4C7B6">
            <w:pPr>
              <w:spacing w:line="264" w:lineRule="auto"/>
              <w:rPr>
                <w:rFonts w:ascii="Arial"/>
                <w:sz w:val="21"/>
              </w:rPr>
            </w:pPr>
          </w:p>
          <w:p w14:paraId="4BDDD382">
            <w:pPr>
              <w:spacing w:line="265" w:lineRule="auto"/>
              <w:rPr>
                <w:rFonts w:ascii="Arial"/>
                <w:sz w:val="21"/>
              </w:rPr>
            </w:pPr>
          </w:p>
          <w:p w14:paraId="5ECF6A3E">
            <w:pPr>
              <w:spacing w:line="265" w:lineRule="auto"/>
              <w:rPr>
                <w:rFonts w:ascii="Arial"/>
                <w:sz w:val="21"/>
              </w:rPr>
            </w:pPr>
          </w:p>
          <w:p w14:paraId="7EA67963">
            <w:pPr>
              <w:spacing w:line="265" w:lineRule="auto"/>
              <w:rPr>
                <w:rFonts w:ascii="Arial"/>
                <w:sz w:val="21"/>
              </w:rPr>
            </w:pPr>
          </w:p>
          <w:p w14:paraId="16554422">
            <w:pPr>
              <w:spacing w:line="265" w:lineRule="auto"/>
              <w:rPr>
                <w:rFonts w:ascii="Arial"/>
                <w:sz w:val="21"/>
              </w:rPr>
            </w:pPr>
          </w:p>
          <w:p w14:paraId="046A14E9">
            <w:pPr>
              <w:spacing w:line="265" w:lineRule="auto"/>
              <w:rPr>
                <w:rFonts w:ascii="Arial"/>
                <w:sz w:val="21"/>
              </w:rPr>
            </w:pPr>
          </w:p>
          <w:p w14:paraId="17D245D0">
            <w:pPr>
              <w:pStyle w:val="5"/>
              <w:spacing w:before="91" w:line="241" w:lineRule="auto"/>
              <w:ind w:left="475"/>
            </w:pPr>
            <w:r>
              <w:t>1</w:t>
            </w:r>
          </w:p>
        </w:tc>
        <w:tc>
          <w:tcPr>
            <w:tcW w:w="2227" w:type="dxa"/>
            <w:vAlign w:val="top"/>
          </w:tcPr>
          <w:p w14:paraId="1AB4146B">
            <w:pPr>
              <w:spacing w:line="266" w:lineRule="auto"/>
              <w:rPr>
                <w:rFonts w:ascii="Arial"/>
                <w:sz w:val="21"/>
              </w:rPr>
            </w:pPr>
          </w:p>
          <w:p w14:paraId="1913C4DE">
            <w:pPr>
              <w:spacing w:line="266" w:lineRule="auto"/>
              <w:rPr>
                <w:rFonts w:ascii="Arial"/>
                <w:sz w:val="21"/>
              </w:rPr>
            </w:pPr>
          </w:p>
          <w:p w14:paraId="5F2F7250">
            <w:pPr>
              <w:spacing w:line="266" w:lineRule="auto"/>
              <w:rPr>
                <w:rFonts w:ascii="Arial"/>
                <w:sz w:val="21"/>
              </w:rPr>
            </w:pPr>
          </w:p>
          <w:p w14:paraId="17288FE4">
            <w:pPr>
              <w:pStyle w:val="5"/>
              <w:spacing w:before="91" w:line="221" w:lineRule="auto"/>
              <w:ind w:left="120"/>
            </w:pPr>
            <w:r>
              <w:rPr>
                <w:spacing w:val="1"/>
              </w:rPr>
              <w:t>公民、法人或者</w:t>
            </w:r>
          </w:p>
          <w:p w14:paraId="00CB85C1">
            <w:pPr>
              <w:pStyle w:val="5"/>
              <w:spacing w:before="63" w:line="219" w:lineRule="auto"/>
              <w:ind w:left="120"/>
            </w:pPr>
            <w:r>
              <w:rPr>
                <w:spacing w:val="1"/>
              </w:rPr>
              <w:t>其他组织与市应</w:t>
            </w:r>
          </w:p>
          <w:p w14:paraId="695726FB">
            <w:pPr>
              <w:pStyle w:val="5"/>
              <w:spacing w:before="58" w:line="220" w:lineRule="auto"/>
              <w:ind w:left="120"/>
            </w:pPr>
            <w:r>
              <w:rPr>
                <w:spacing w:val="2"/>
              </w:rPr>
              <w:t>急局涉及行政补</w:t>
            </w:r>
          </w:p>
          <w:p w14:paraId="65568972">
            <w:pPr>
              <w:pStyle w:val="5"/>
              <w:spacing w:before="45" w:line="219" w:lineRule="auto"/>
              <w:ind w:left="120"/>
            </w:pPr>
            <w:r>
              <w:rPr>
                <w:spacing w:val="3"/>
              </w:rPr>
              <w:t>偿、行政赔偿的</w:t>
            </w:r>
          </w:p>
          <w:p w14:paraId="15DF238F">
            <w:pPr>
              <w:pStyle w:val="5"/>
              <w:spacing w:before="77" w:line="219" w:lineRule="auto"/>
              <w:ind w:left="541"/>
            </w:pPr>
            <w:r>
              <w:rPr>
                <w:spacing w:val="3"/>
              </w:rPr>
              <w:t>行政争议</w:t>
            </w:r>
          </w:p>
        </w:tc>
        <w:tc>
          <w:tcPr>
            <w:tcW w:w="1328" w:type="dxa"/>
            <w:vAlign w:val="top"/>
          </w:tcPr>
          <w:p w14:paraId="401FC4FE">
            <w:pPr>
              <w:spacing w:line="262" w:lineRule="auto"/>
              <w:rPr>
                <w:rFonts w:ascii="Arial"/>
                <w:sz w:val="21"/>
              </w:rPr>
            </w:pPr>
          </w:p>
          <w:p w14:paraId="101584FD">
            <w:pPr>
              <w:spacing w:line="262" w:lineRule="auto"/>
              <w:rPr>
                <w:rFonts w:ascii="Arial"/>
                <w:sz w:val="21"/>
              </w:rPr>
            </w:pPr>
          </w:p>
          <w:p w14:paraId="496BF8BC">
            <w:pPr>
              <w:spacing w:line="262" w:lineRule="auto"/>
              <w:rPr>
                <w:rFonts w:ascii="Arial"/>
                <w:sz w:val="21"/>
              </w:rPr>
            </w:pPr>
          </w:p>
          <w:p w14:paraId="35EE8350">
            <w:pPr>
              <w:pStyle w:val="5"/>
              <w:spacing w:before="91" w:line="264" w:lineRule="auto"/>
              <w:ind w:left="94" w:right="75" w:hanging="70"/>
            </w:pPr>
            <w:r>
              <w:rPr>
                <w:spacing w:val="-1"/>
              </w:rPr>
              <w:t>《中华人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民共和国</w:t>
            </w:r>
          </w:p>
          <w:p w14:paraId="0CDAF736">
            <w:pPr>
              <w:pStyle w:val="5"/>
              <w:spacing w:line="220" w:lineRule="auto"/>
              <w:ind w:left="94"/>
            </w:pPr>
            <w:r>
              <w:rPr>
                <w:spacing w:val="3"/>
              </w:rPr>
              <w:t>行政复议</w:t>
            </w:r>
          </w:p>
          <w:p w14:paraId="0AD666C1">
            <w:pPr>
              <w:pStyle w:val="5"/>
              <w:spacing w:before="34" w:line="288" w:lineRule="auto"/>
              <w:ind w:left="443" w:right="91" w:hanging="349"/>
            </w:pPr>
            <w:r>
              <w:rPr>
                <w:spacing w:val="2"/>
              </w:rPr>
              <w:t xml:space="preserve">法实施条 </w:t>
            </w:r>
            <w:r>
              <w:rPr>
                <w:spacing w:val="-1"/>
              </w:rPr>
              <w:t>例》</w:t>
            </w:r>
          </w:p>
        </w:tc>
        <w:tc>
          <w:tcPr>
            <w:tcW w:w="4101" w:type="dxa"/>
            <w:vAlign w:val="top"/>
          </w:tcPr>
          <w:p w14:paraId="1B9E3A25">
            <w:pPr>
              <w:pStyle w:val="5"/>
              <w:spacing w:before="84" w:line="262" w:lineRule="auto"/>
              <w:ind w:left="105" w:firstLine="558"/>
            </w:pPr>
            <w:r>
              <w:rPr>
                <w:spacing w:val="-9"/>
              </w:rPr>
              <w:t>第五十条 有下列情形之一</w:t>
            </w:r>
            <w:r>
              <w:rPr>
                <w:spacing w:val="1"/>
              </w:rPr>
              <w:t xml:space="preserve">   </w:t>
            </w:r>
            <w:r>
              <w:rPr>
                <w:spacing w:val="-15"/>
              </w:rPr>
              <w:t>的，行政复议机关可以按照自愿、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合法的原则进行调解：</w:t>
            </w:r>
          </w:p>
          <w:p w14:paraId="15B03D43">
            <w:pPr>
              <w:pStyle w:val="5"/>
              <w:spacing w:before="15" w:line="251" w:lineRule="auto"/>
              <w:ind w:left="96" w:right="33" w:firstLine="570"/>
            </w:pPr>
            <w:r>
              <w:t>(一)公民、法人或者其他组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织对行政机关行使法律、法规规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定的自由裁量权作出的具体行政</w:t>
            </w:r>
            <w:r>
              <w:rPr>
                <w:spacing w:val="12"/>
              </w:rPr>
              <w:t xml:space="preserve"> </w:t>
            </w:r>
            <w:r>
              <w:rPr>
                <w:spacing w:val="11"/>
              </w:rPr>
              <w:t>行为不服申请行政复议的；</w:t>
            </w:r>
          </w:p>
          <w:p w14:paraId="1EFA1721">
            <w:pPr>
              <w:pStyle w:val="5"/>
              <w:spacing w:before="77" w:line="229" w:lineRule="auto"/>
              <w:ind w:left="115" w:right="40" w:firstLine="560"/>
            </w:pPr>
            <w:r>
              <w:rPr>
                <w:spacing w:val="1"/>
              </w:rPr>
              <w:t>(二)当事人之间的行政赔偿</w:t>
            </w:r>
            <w:r>
              <w:t xml:space="preserve"> 或者行政补偿纠纷。</w:t>
            </w:r>
          </w:p>
        </w:tc>
      </w:tr>
      <w:tr w14:paraId="0F7A1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7" w:hRule="atLeast"/>
        </w:trPr>
        <w:tc>
          <w:tcPr>
            <w:tcW w:w="1104" w:type="dxa"/>
            <w:vAlign w:val="top"/>
          </w:tcPr>
          <w:p w14:paraId="51957EA5">
            <w:pPr>
              <w:spacing w:line="265" w:lineRule="auto"/>
              <w:rPr>
                <w:rFonts w:ascii="Arial"/>
                <w:sz w:val="21"/>
              </w:rPr>
            </w:pPr>
          </w:p>
          <w:p w14:paraId="1EBBD79F">
            <w:pPr>
              <w:spacing w:line="265" w:lineRule="auto"/>
              <w:rPr>
                <w:rFonts w:ascii="Arial"/>
                <w:sz w:val="21"/>
              </w:rPr>
            </w:pPr>
          </w:p>
          <w:p w14:paraId="4C2ACCBD">
            <w:pPr>
              <w:spacing w:line="265" w:lineRule="auto"/>
              <w:rPr>
                <w:rFonts w:ascii="Arial"/>
                <w:sz w:val="21"/>
              </w:rPr>
            </w:pPr>
          </w:p>
          <w:p w14:paraId="5D6E73E0">
            <w:pPr>
              <w:spacing w:line="265" w:lineRule="auto"/>
              <w:rPr>
                <w:rFonts w:ascii="Arial"/>
                <w:sz w:val="21"/>
              </w:rPr>
            </w:pPr>
          </w:p>
          <w:p w14:paraId="27D641EE">
            <w:pPr>
              <w:spacing w:line="266" w:lineRule="auto"/>
              <w:rPr>
                <w:rFonts w:ascii="Arial"/>
                <w:sz w:val="21"/>
              </w:rPr>
            </w:pPr>
          </w:p>
          <w:p w14:paraId="024831B9">
            <w:pPr>
              <w:spacing w:line="266" w:lineRule="auto"/>
              <w:rPr>
                <w:rFonts w:ascii="Arial"/>
                <w:sz w:val="21"/>
              </w:rPr>
            </w:pPr>
          </w:p>
          <w:p w14:paraId="5FF635C0">
            <w:pPr>
              <w:pStyle w:val="5"/>
              <w:spacing w:before="91" w:line="241" w:lineRule="auto"/>
              <w:ind w:left="475"/>
            </w:pPr>
            <w:r>
              <w:t>2</w:t>
            </w:r>
          </w:p>
        </w:tc>
        <w:tc>
          <w:tcPr>
            <w:tcW w:w="2227" w:type="dxa"/>
            <w:vAlign w:val="top"/>
          </w:tcPr>
          <w:p w14:paraId="5C281889">
            <w:pPr>
              <w:spacing w:line="297" w:lineRule="auto"/>
              <w:rPr>
                <w:rFonts w:ascii="Arial"/>
                <w:sz w:val="21"/>
              </w:rPr>
            </w:pPr>
          </w:p>
          <w:p w14:paraId="27092FEB">
            <w:pPr>
              <w:spacing w:line="297" w:lineRule="auto"/>
              <w:rPr>
                <w:rFonts w:ascii="Arial"/>
                <w:sz w:val="21"/>
              </w:rPr>
            </w:pPr>
          </w:p>
          <w:p w14:paraId="5211BAA2">
            <w:pPr>
              <w:pStyle w:val="5"/>
              <w:spacing w:before="91" w:line="264" w:lineRule="auto"/>
              <w:ind w:left="11" w:firstLine="103"/>
              <w:jc w:val="both"/>
            </w:pPr>
            <w:r>
              <w:rPr>
                <w:spacing w:val="-15"/>
              </w:rPr>
              <w:t>公民、法人或者</w:t>
            </w:r>
            <w:r>
              <w:rPr>
                <w:spacing w:val="2"/>
              </w:rPr>
              <w:t xml:space="preserve">  </w:t>
            </w:r>
            <w:r>
              <w:t xml:space="preserve">其他组织与市应  </w:t>
            </w:r>
            <w:r>
              <w:rPr>
                <w:spacing w:val="-5"/>
              </w:rPr>
              <w:t>急局因行使法律、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法规、规章规定</w:t>
            </w:r>
            <w:r>
              <w:t xml:space="preserve">  的行政裁量权而</w:t>
            </w:r>
            <w:r>
              <w:rPr>
                <w:spacing w:val="1"/>
              </w:rPr>
              <w:t xml:space="preserve">  </w:t>
            </w:r>
            <w:r>
              <w:rPr>
                <w:spacing w:val="-10"/>
              </w:rPr>
              <w:t>产生的行政争议。</w:t>
            </w:r>
          </w:p>
        </w:tc>
        <w:tc>
          <w:tcPr>
            <w:tcW w:w="1328" w:type="dxa"/>
            <w:vAlign w:val="top"/>
          </w:tcPr>
          <w:p w14:paraId="522CB881">
            <w:pPr>
              <w:spacing w:line="269" w:lineRule="auto"/>
              <w:rPr>
                <w:rFonts w:ascii="Arial"/>
                <w:sz w:val="21"/>
              </w:rPr>
            </w:pPr>
          </w:p>
          <w:p w14:paraId="46D34A19">
            <w:pPr>
              <w:spacing w:line="270" w:lineRule="auto"/>
              <w:rPr>
                <w:rFonts w:ascii="Arial"/>
                <w:sz w:val="21"/>
              </w:rPr>
            </w:pPr>
          </w:p>
          <w:p w14:paraId="47B2AAAD">
            <w:pPr>
              <w:spacing w:line="270" w:lineRule="auto"/>
              <w:rPr>
                <w:rFonts w:ascii="Arial"/>
                <w:sz w:val="21"/>
              </w:rPr>
            </w:pPr>
          </w:p>
          <w:p w14:paraId="3742D23D">
            <w:pPr>
              <w:pStyle w:val="5"/>
              <w:spacing w:before="91" w:line="252" w:lineRule="auto"/>
              <w:ind w:left="94" w:right="75" w:hanging="70"/>
            </w:pPr>
            <w:r>
              <w:rPr>
                <w:spacing w:val="-1"/>
              </w:rPr>
              <w:t>《中华人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民共和国</w:t>
            </w:r>
          </w:p>
          <w:p w14:paraId="27F99B2D">
            <w:pPr>
              <w:pStyle w:val="5"/>
              <w:spacing w:before="16" w:line="220" w:lineRule="auto"/>
              <w:ind w:left="94"/>
            </w:pPr>
            <w:r>
              <w:rPr>
                <w:spacing w:val="3"/>
              </w:rPr>
              <w:t>行政复议</w:t>
            </w:r>
          </w:p>
          <w:p w14:paraId="095B61D7">
            <w:pPr>
              <w:pStyle w:val="5"/>
              <w:spacing w:before="65" w:line="268" w:lineRule="auto"/>
              <w:ind w:left="443" w:right="91" w:hanging="349"/>
            </w:pPr>
            <w:r>
              <w:rPr>
                <w:spacing w:val="2"/>
              </w:rPr>
              <w:t xml:space="preserve">法实施条 </w:t>
            </w:r>
            <w:r>
              <w:rPr>
                <w:spacing w:val="-1"/>
              </w:rPr>
              <w:t>例》</w:t>
            </w:r>
          </w:p>
        </w:tc>
        <w:tc>
          <w:tcPr>
            <w:tcW w:w="4101" w:type="dxa"/>
            <w:vAlign w:val="top"/>
          </w:tcPr>
          <w:p w14:paraId="099EF598">
            <w:pPr>
              <w:pStyle w:val="5"/>
              <w:spacing w:before="86" w:line="266" w:lineRule="auto"/>
              <w:ind w:left="125" w:firstLine="531"/>
            </w:pPr>
            <w:r>
              <w:rPr>
                <w:spacing w:val="-8"/>
              </w:rPr>
              <w:t>第五十条 有下列情形之一</w:t>
            </w:r>
            <w:r>
              <w:rPr>
                <w:spacing w:val="1"/>
              </w:rPr>
              <w:t xml:space="preserve">   </w:t>
            </w:r>
            <w:r>
              <w:rPr>
                <w:spacing w:val="-16"/>
              </w:rPr>
              <w:t>的，行政复议机关可以按照自愿、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合法的原则进行调解：</w:t>
            </w:r>
          </w:p>
          <w:p w14:paraId="137C38CA">
            <w:pPr>
              <w:pStyle w:val="5"/>
              <w:spacing w:before="4" w:line="250" w:lineRule="auto"/>
              <w:ind w:left="125" w:right="33" w:firstLine="540"/>
            </w:pPr>
            <w:r>
              <w:t>(一)公民、法人或者其他组</w:t>
            </w:r>
            <w:r>
              <w:rPr>
                <w:spacing w:val="8"/>
              </w:rPr>
              <w:t xml:space="preserve"> </w:t>
            </w:r>
            <w:r>
              <w:t>织对行政机关行使法律、法规规</w:t>
            </w:r>
            <w:r>
              <w:rPr>
                <w:spacing w:val="10"/>
              </w:rPr>
              <w:t xml:space="preserve"> </w:t>
            </w:r>
            <w:r>
              <w:t>定的自由裁量权作出的具体行政</w:t>
            </w:r>
            <w:r>
              <w:rPr>
                <w:spacing w:val="11"/>
              </w:rPr>
              <w:t xml:space="preserve"> 行为不服申请行政复议的；</w:t>
            </w:r>
          </w:p>
          <w:p w14:paraId="3DE309C2">
            <w:pPr>
              <w:pStyle w:val="5"/>
              <w:spacing w:before="77" w:line="228" w:lineRule="auto"/>
              <w:ind w:left="125" w:right="50" w:firstLine="540"/>
            </w:pPr>
            <w:r>
              <w:rPr>
                <w:spacing w:val="1"/>
              </w:rPr>
              <w:t>(二)当事人之间的行政赔偿</w:t>
            </w:r>
            <w:r>
              <w:t xml:space="preserve"> 或者行政补偿纠纷。</w:t>
            </w:r>
          </w:p>
        </w:tc>
      </w:tr>
      <w:tr w14:paraId="7744B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8" w:hRule="atLeast"/>
        </w:trPr>
        <w:tc>
          <w:tcPr>
            <w:tcW w:w="1104" w:type="dxa"/>
            <w:vAlign w:val="top"/>
          </w:tcPr>
          <w:p w14:paraId="7ADC7F45">
            <w:pPr>
              <w:spacing w:line="257" w:lineRule="auto"/>
              <w:rPr>
                <w:rFonts w:ascii="Arial"/>
                <w:sz w:val="21"/>
              </w:rPr>
            </w:pPr>
          </w:p>
          <w:p w14:paraId="0F5B5263">
            <w:pPr>
              <w:spacing w:line="257" w:lineRule="auto"/>
              <w:rPr>
                <w:rFonts w:ascii="Arial"/>
                <w:sz w:val="21"/>
              </w:rPr>
            </w:pPr>
          </w:p>
          <w:p w14:paraId="2C5A3707">
            <w:pPr>
              <w:spacing w:line="257" w:lineRule="auto"/>
              <w:rPr>
                <w:rFonts w:ascii="Arial"/>
                <w:sz w:val="21"/>
              </w:rPr>
            </w:pPr>
          </w:p>
          <w:p w14:paraId="3EC3A4A4">
            <w:pPr>
              <w:spacing w:line="257" w:lineRule="auto"/>
              <w:rPr>
                <w:rFonts w:ascii="Arial"/>
                <w:sz w:val="21"/>
              </w:rPr>
            </w:pPr>
          </w:p>
          <w:p w14:paraId="5313513B">
            <w:pPr>
              <w:pStyle w:val="5"/>
              <w:spacing w:before="91"/>
              <w:ind w:left="475"/>
            </w:pPr>
            <w:r>
              <w:t>3</w:t>
            </w:r>
          </w:p>
        </w:tc>
        <w:tc>
          <w:tcPr>
            <w:tcW w:w="2227" w:type="dxa"/>
            <w:vAlign w:val="top"/>
          </w:tcPr>
          <w:p w14:paraId="33F349DC">
            <w:pPr>
              <w:pStyle w:val="5"/>
              <w:spacing w:before="120" w:line="221" w:lineRule="auto"/>
              <w:ind w:left="120"/>
            </w:pPr>
            <w:r>
              <w:rPr>
                <w:spacing w:val="1"/>
              </w:rPr>
              <w:t>公民、法人或者</w:t>
            </w:r>
          </w:p>
          <w:p w14:paraId="2AD0B243">
            <w:pPr>
              <w:pStyle w:val="5"/>
              <w:spacing w:before="63" w:line="219" w:lineRule="auto"/>
              <w:ind w:left="120"/>
            </w:pPr>
            <w:r>
              <w:rPr>
                <w:spacing w:val="2"/>
              </w:rPr>
              <w:t>其他组织之间产</w:t>
            </w:r>
          </w:p>
          <w:p w14:paraId="37D79391">
            <w:pPr>
              <w:pStyle w:val="5"/>
              <w:spacing w:before="77" w:line="219" w:lineRule="auto"/>
              <w:ind w:left="120"/>
            </w:pPr>
            <w:r>
              <w:rPr>
                <w:spacing w:val="3"/>
              </w:rPr>
              <w:t>生的与市应急局</w:t>
            </w:r>
          </w:p>
          <w:p w14:paraId="6FDE07AC">
            <w:pPr>
              <w:pStyle w:val="5"/>
              <w:spacing w:before="57" w:line="219" w:lineRule="auto"/>
              <w:ind w:left="120"/>
            </w:pPr>
            <w:r>
              <w:rPr>
                <w:spacing w:val="2"/>
              </w:rPr>
              <w:t>履行行政管理职</w:t>
            </w:r>
          </w:p>
          <w:p w14:paraId="7EB1ECE4">
            <w:pPr>
              <w:pStyle w:val="5"/>
              <w:spacing w:before="78" w:line="220" w:lineRule="auto"/>
              <w:ind w:left="120"/>
            </w:pPr>
            <w:r>
              <w:rPr>
                <w:spacing w:val="4"/>
              </w:rPr>
              <w:t>能有关的民事纠</w:t>
            </w:r>
          </w:p>
          <w:p w14:paraId="3D891C87">
            <w:pPr>
              <w:pStyle w:val="5"/>
              <w:spacing w:before="47" w:line="221" w:lineRule="auto"/>
              <w:ind w:left="961"/>
            </w:pPr>
            <w:r>
              <w:t>纷</w:t>
            </w:r>
          </w:p>
        </w:tc>
        <w:tc>
          <w:tcPr>
            <w:tcW w:w="1328" w:type="dxa"/>
            <w:vAlign w:val="top"/>
          </w:tcPr>
          <w:p w14:paraId="5499DC41">
            <w:pPr>
              <w:spacing w:line="426" w:lineRule="auto"/>
              <w:rPr>
                <w:rFonts w:ascii="Arial"/>
                <w:sz w:val="21"/>
              </w:rPr>
            </w:pPr>
          </w:p>
          <w:p w14:paraId="27E78641">
            <w:pPr>
              <w:pStyle w:val="5"/>
              <w:spacing w:before="91" w:line="270" w:lineRule="auto"/>
              <w:ind w:left="94" w:right="75" w:hanging="70"/>
            </w:pPr>
            <w:r>
              <w:rPr>
                <w:spacing w:val="-1"/>
              </w:rPr>
              <w:t>《中华人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民共和国</w:t>
            </w:r>
          </w:p>
          <w:p w14:paraId="13DD785F">
            <w:pPr>
              <w:pStyle w:val="5"/>
              <w:spacing w:before="2" w:line="260" w:lineRule="auto"/>
              <w:ind w:left="443" w:right="92" w:hanging="349"/>
            </w:pPr>
            <w:r>
              <w:rPr>
                <w:spacing w:val="2"/>
              </w:rPr>
              <w:t xml:space="preserve">民事诉讼 </w:t>
            </w:r>
            <w:r>
              <w:rPr>
                <w:spacing w:val="-1"/>
              </w:rPr>
              <w:t>法》</w:t>
            </w:r>
          </w:p>
        </w:tc>
        <w:tc>
          <w:tcPr>
            <w:tcW w:w="4101" w:type="dxa"/>
            <w:vAlign w:val="top"/>
          </w:tcPr>
          <w:p w14:paraId="2969E304">
            <w:pPr>
              <w:pStyle w:val="5"/>
              <w:spacing w:before="328" w:line="263" w:lineRule="auto"/>
              <w:ind w:left="105" w:right="2" w:firstLine="580"/>
            </w:pPr>
            <w:r>
              <w:t>第九十六条 人民法院审理</w:t>
            </w:r>
            <w:r>
              <w:rPr>
                <w:spacing w:val="4"/>
              </w:rPr>
              <w:t xml:space="preserve">  民事案件，根据当事人自愿的原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则，在事实清楚的基础上，分清</w:t>
            </w:r>
            <w:r>
              <w:rPr>
                <w:spacing w:val="5"/>
              </w:rPr>
              <w:t xml:space="preserve"> </w:t>
            </w:r>
            <w:r>
              <w:t>是非，进行调解。</w:t>
            </w:r>
          </w:p>
        </w:tc>
      </w:tr>
      <w:tr w14:paraId="7F61D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1104" w:type="dxa"/>
            <w:vAlign w:val="top"/>
          </w:tcPr>
          <w:p w14:paraId="6E3B0B86">
            <w:pPr>
              <w:spacing w:line="285" w:lineRule="auto"/>
              <w:rPr>
                <w:rFonts w:ascii="Arial"/>
                <w:sz w:val="21"/>
              </w:rPr>
            </w:pPr>
          </w:p>
          <w:p w14:paraId="1A777CD3">
            <w:pPr>
              <w:pStyle w:val="5"/>
              <w:spacing w:before="91" w:line="241" w:lineRule="auto"/>
              <w:ind w:left="475"/>
            </w:pPr>
            <w:r>
              <w:t>4</w:t>
            </w:r>
          </w:p>
        </w:tc>
        <w:tc>
          <w:tcPr>
            <w:tcW w:w="2227" w:type="dxa"/>
            <w:vAlign w:val="top"/>
          </w:tcPr>
          <w:p w14:paraId="6B8242AD">
            <w:pPr>
              <w:pStyle w:val="5"/>
              <w:spacing w:before="170" w:line="255" w:lineRule="auto"/>
              <w:ind w:left="260" w:right="113" w:hanging="140"/>
            </w:pPr>
            <w:r>
              <w:rPr>
                <w:spacing w:val="3"/>
              </w:rPr>
              <w:t>其他依法可以调</w:t>
            </w:r>
            <w:r>
              <w:t xml:space="preserve"> </w:t>
            </w:r>
            <w:r>
              <w:rPr>
                <w:spacing w:val="2"/>
              </w:rPr>
              <w:t>解的行政争议</w:t>
            </w:r>
          </w:p>
        </w:tc>
        <w:tc>
          <w:tcPr>
            <w:tcW w:w="1328" w:type="dxa"/>
            <w:vAlign w:val="top"/>
          </w:tcPr>
          <w:p w14:paraId="3A744514">
            <w:pPr>
              <w:rPr>
                <w:rFonts w:ascii="Arial"/>
                <w:sz w:val="21"/>
              </w:rPr>
            </w:pPr>
          </w:p>
        </w:tc>
        <w:tc>
          <w:tcPr>
            <w:tcW w:w="4101" w:type="dxa"/>
            <w:vAlign w:val="top"/>
          </w:tcPr>
          <w:p w14:paraId="2F207A15">
            <w:pPr>
              <w:rPr>
                <w:rFonts w:ascii="Arial"/>
                <w:sz w:val="21"/>
              </w:rPr>
            </w:pPr>
          </w:p>
        </w:tc>
      </w:tr>
    </w:tbl>
    <w:p w14:paraId="7AE62417">
      <w:pPr>
        <w:rPr>
          <w:rFonts w:ascii="Arial"/>
          <w:sz w:val="21"/>
        </w:rPr>
      </w:pPr>
    </w:p>
    <w:sectPr>
      <w:footerReference r:id="rId5" w:type="default"/>
      <w:pgSz w:w="11900" w:h="16840"/>
      <w:pgMar w:top="1381" w:right="1634" w:bottom="1224" w:left="1494" w:header="0" w:footer="106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A47BF">
    <w:pPr>
      <w:spacing w:line="184" w:lineRule="auto"/>
      <w:ind w:left="4264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z w:val="17"/>
        <w:szCs w:val="17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037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622</Words>
  <Characters>626</Characters>
  <TotalTime>0</TotalTime>
  <ScaleCrop>false</ScaleCrop>
  <LinksUpToDate>false</LinksUpToDate>
  <CharactersWithSpaces>670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2026-10-28T23:32:00Z</dcterms:created>
  <dc:creator>罗瑞琪</dc:creator>
  <cp:lastModifiedBy>热爱可迎万难</cp:lastModifiedBy>
  <dcterms:modified xsi:type="dcterms:W3CDTF">2026-10-28T15:33:42Z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2026-10-28T23:32:49Z</vt:filetime>
  </property>
  <property fmtid="{D5CDD505-2E9C-101B-9397-08002B2CF9AE}" pid="4" name="UsrData">
    <vt:lpwstr>6ae2159f9b6643001f14edbbwl</vt:lpwstr>
  </property>
  <property fmtid="{D5CDD505-2E9C-101B-9397-08002B2CF9AE}" pid="5" name="KSOTemplateDocerSaveRecord">
    <vt:lpwstr>eyJoZGlkIjoiYjJjOTQxYzhjODMyMDAzZmE0MDJkMWFkNmJlNDkwYTUiLCJ1c2VySWQiOiIyMzQzMzI5ODcifQ==</vt:lpwstr>
  </property>
  <property fmtid="{D5CDD505-2E9C-101B-9397-08002B2CF9AE}" pid="6" name="KSOProductBuildVer">
    <vt:lpwstr>2052-12.1.0.29161</vt:lpwstr>
  </property>
  <property fmtid="{D5CDD505-2E9C-101B-9397-08002B2CF9AE}" pid="7" name="ICV">
    <vt:lpwstr>CE58AE36870F45F3BFA6BE2C0C34D0C8_12</vt:lpwstr>
  </property>
</Properties>
</file>