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b/>
          <w:spacing w:val="-12"/>
          <w:sz w:val="36"/>
          <w:szCs w:val="36"/>
        </w:rPr>
      </w:pPr>
    </w:p>
    <w:p>
      <w:pPr>
        <w:pStyle w:val="2"/>
        <w:ind w:firstLine="0" w:firstLineChars="0"/>
        <w:rPr>
          <w:rFonts w:eastAsiaTheme="minorEastAsia"/>
        </w:rPr>
      </w:pPr>
    </w:p>
    <w:p>
      <w:pPr>
        <w:pStyle w:val="2"/>
        <w:ind w:firstLine="0" w:firstLineChars="0"/>
        <w:rPr>
          <w:rFonts w:eastAsiaTheme="minorEastAsia"/>
        </w:rPr>
      </w:pPr>
    </w:p>
    <w:p>
      <w:pPr>
        <w:spacing w:line="360" w:lineRule="auto"/>
        <w:jc w:val="center"/>
        <w:rPr>
          <w:rFonts w:hint="eastAsia" w:ascii="宋体" w:hAnsi="宋体" w:eastAsia="宋体" w:cs="宋体"/>
          <w:b/>
          <w:spacing w:val="-12"/>
          <w:sz w:val="36"/>
          <w:szCs w:val="36"/>
        </w:rPr>
      </w:pPr>
      <w:r>
        <w:rPr>
          <w:rFonts w:hint="eastAsia" w:ascii="宋体" w:hAnsi="宋体" w:eastAsia="宋体" w:cs="宋体"/>
          <w:b/>
          <w:spacing w:val="-12"/>
          <w:sz w:val="36"/>
          <w:szCs w:val="36"/>
        </w:rPr>
        <w:t>《石河子市鑫睿玮烨矿业有限公司沙湾分公司新疆沙湾市宁家河东侧2号建筑用砂石矿矿产资源开发利用与生态保护</w:t>
      </w:r>
    </w:p>
    <w:p>
      <w:pPr>
        <w:spacing w:line="360" w:lineRule="auto"/>
        <w:jc w:val="center"/>
        <w:rPr>
          <w:rFonts w:ascii="宋体" w:hAnsi="宋体" w:eastAsia="宋体" w:cs="宋体"/>
          <w:b/>
          <w:spacing w:val="-12"/>
          <w:sz w:val="36"/>
          <w:szCs w:val="36"/>
        </w:rPr>
      </w:pPr>
      <w:r>
        <w:rPr>
          <w:rFonts w:hint="eastAsia" w:ascii="宋体" w:hAnsi="宋体" w:eastAsia="宋体" w:cs="宋体"/>
          <w:b/>
          <w:spacing w:val="-12"/>
          <w:sz w:val="36"/>
          <w:szCs w:val="36"/>
        </w:rPr>
        <w:t>修复方案》</w:t>
      </w:r>
    </w:p>
    <w:p>
      <w:pPr>
        <w:spacing w:line="360" w:lineRule="auto"/>
        <w:jc w:val="center"/>
        <w:rPr>
          <w:rFonts w:ascii="宋体" w:hAnsi="宋体" w:eastAsia="宋体" w:cs="宋体"/>
          <w:b/>
          <w:spacing w:val="-12"/>
          <w:sz w:val="36"/>
          <w:szCs w:val="36"/>
        </w:rPr>
      </w:pPr>
      <w:r>
        <w:rPr>
          <w:rFonts w:hint="eastAsia" w:ascii="宋体" w:hAnsi="宋体" w:eastAsia="宋体" w:cs="宋体"/>
          <w:b/>
          <w:spacing w:val="-12"/>
          <w:sz w:val="36"/>
          <w:szCs w:val="36"/>
        </w:rPr>
        <w:t>评审意见书</w:t>
      </w:r>
    </w:p>
    <w:p>
      <w:pPr>
        <w:jc w:val="center"/>
        <w:rPr>
          <w:rFonts w:ascii="宋体" w:hAnsi="宋体" w:eastAsia="宋体" w:cs="宋体"/>
          <w:sz w:val="32"/>
          <w:szCs w:val="32"/>
        </w:rPr>
      </w:pPr>
    </w:p>
    <w:p>
      <w:pPr>
        <w:jc w:val="center"/>
        <w:rPr>
          <w:rFonts w:ascii="宋体" w:hAnsi="宋体" w:eastAsia="宋体" w:cs="宋体"/>
          <w:sz w:val="32"/>
          <w:szCs w:val="32"/>
        </w:rPr>
      </w:pPr>
    </w:p>
    <w:p>
      <w:pPr>
        <w:jc w:val="center"/>
        <w:rPr>
          <w:rFonts w:ascii="宋体" w:hAnsi="宋体" w:eastAsia="宋体" w:cs="宋体"/>
          <w:sz w:val="32"/>
          <w:szCs w:val="32"/>
        </w:rPr>
      </w:pPr>
    </w:p>
    <w:p>
      <w:pPr>
        <w:jc w:val="center"/>
        <w:rPr>
          <w:rFonts w:ascii="宋体" w:hAnsi="宋体" w:eastAsia="宋体" w:cs="宋体"/>
          <w:color w:val="FFFFFF" w:themeColor="background1"/>
          <w:sz w:val="32"/>
          <w:szCs w:val="32"/>
        </w:rPr>
      </w:pPr>
      <w:r>
        <w:rPr>
          <w:rFonts w:hint="eastAsia" w:ascii="宋体" w:hAnsi="宋体" w:eastAsia="宋体" w:cs="宋体"/>
          <w:color w:val="FFFFFF" w:themeColor="background1"/>
          <w:sz w:val="32"/>
          <w:szCs w:val="32"/>
        </w:rPr>
        <w:t>新自然资开垦审发[2022]×××号</w:t>
      </w:r>
    </w:p>
    <w:p>
      <w:pPr>
        <w:spacing w:line="248" w:lineRule="auto"/>
        <w:rPr>
          <w:rFonts w:ascii="宋体" w:hAnsi="宋体" w:eastAsia="宋体" w:cs="宋体"/>
          <w:color w:val="FFFFFF" w:themeColor="background1"/>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8"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249" w:lineRule="auto"/>
        <w:rPr>
          <w:rFonts w:ascii="宋体" w:hAnsi="宋体" w:eastAsia="宋体" w:cs="宋体"/>
        </w:rPr>
      </w:pPr>
    </w:p>
    <w:p>
      <w:pPr>
        <w:spacing w:line="360" w:lineRule="auto"/>
        <w:jc w:val="center"/>
        <w:rPr>
          <w:rFonts w:ascii="宋体" w:hAnsi="宋体" w:eastAsia="宋体" w:cs="宋体"/>
          <w:color w:val="auto"/>
          <w:sz w:val="32"/>
          <w:szCs w:val="32"/>
        </w:rPr>
      </w:pPr>
      <w:r>
        <w:rPr>
          <w:rFonts w:hint="eastAsia" w:ascii="宋体" w:hAnsi="宋体" w:eastAsia="宋体" w:cs="宋体"/>
          <w:sz w:val="32"/>
          <w:szCs w:val="32"/>
        </w:rPr>
        <w:t>二○二四年十二月二十五日</w:t>
      </w:r>
    </w:p>
    <w:p>
      <w:pPr>
        <w:rPr>
          <w:rFonts w:ascii="宋体" w:hAnsi="宋体" w:eastAsia="宋体" w:cs="宋体"/>
        </w:rPr>
        <w:sectPr>
          <w:footerReference r:id="rId3" w:type="default"/>
          <w:pgSz w:w="11907" w:h="16839"/>
          <w:pgMar w:top="1431" w:right="1074" w:bottom="1070" w:left="1622" w:header="0" w:footer="875" w:gutter="0"/>
          <w:cols w:space="720" w:num="1"/>
        </w:sectPr>
      </w:pP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送审单位：石河子市鑫睿玮烨矿业有限公司沙湾分公司</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编制单位：乌鲁木齐市润天通达矿业技术咨询服务有限公司</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项目负责人：刘忠杰</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编制人员：刘忠杰  许文强</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评审专家组长：张书林</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评审专家组成员：</w:t>
      </w:r>
      <w:bookmarkStart w:id="0" w:name="_Hlk91929016"/>
      <w:r>
        <w:rPr>
          <w:rFonts w:hint="eastAsia" w:ascii="宋体" w:hAnsi="宋体" w:eastAsia="宋体" w:cs="宋体"/>
          <w:spacing w:val="1"/>
          <w:sz w:val="28"/>
          <w:szCs w:val="28"/>
        </w:rPr>
        <w:t xml:space="preserve">张书林  王勇 </w:t>
      </w:r>
      <w:bookmarkEnd w:id="0"/>
      <w:r>
        <w:rPr>
          <w:rFonts w:hint="eastAsia" w:ascii="宋体" w:hAnsi="宋体" w:eastAsia="宋体" w:cs="宋体"/>
          <w:spacing w:val="1"/>
          <w:sz w:val="28"/>
          <w:szCs w:val="28"/>
        </w:rPr>
        <w:t xml:space="preserve"> 刘湘茹  </w:t>
      </w:r>
    </w:p>
    <w:p>
      <w:pPr>
        <w:spacing w:line="560" w:lineRule="exact"/>
        <w:ind w:firstLine="564" w:firstLineChars="200"/>
        <w:rPr>
          <w:rFonts w:ascii="宋体" w:hAnsi="宋体" w:eastAsia="宋体" w:cs="宋体"/>
          <w:spacing w:val="1"/>
          <w:sz w:val="28"/>
          <w:szCs w:val="28"/>
        </w:rPr>
      </w:pPr>
      <w:r>
        <w:rPr>
          <w:rFonts w:hint="eastAsia" w:ascii="宋体" w:hAnsi="宋体" w:eastAsia="宋体" w:cs="宋体"/>
          <w:spacing w:val="1"/>
          <w:sz w:val="28"/>
          <w:szCs w:val="28"/>
        </w:rPr>
        <w:t>评审时间：2024年12月14日</w:t>
      </w:r>
    </w:p>
    <w:p>
      <w:pPr>
        <w:spacing w:line="560" w:lineRule="exact"/>
        <w:ind w:firstLine="564" w:firstLineChars="200"/>
        <w:rPr>
          <w:rFonts w:ascii="宋体" w:hAnsi="宋体" w:eastAsia="宋体" w:cs="宋体"/>
          <w:spacing w:val="1"/>
          <w:sz w:val="28"/>
          <w:szCs w:val="28"/>
        </w:rPr>
      </w:pPr>
    </w:p>
    <w:p>
      <w:pPr>
        <w:spacing w:line="204" w:lineRule="auto"/>
        <w:ind w:firstLine="429"/>
        <w:rPr>
          <w:rFonts w:ascii="宋体" w:hAnsi="宋体" w:eastAsia="宋体" w:cs="宋体"/>
          <w:sz w:val="28"/>
          <w:szCs w:val="28"/>
        </w:rPr>
      </w:pPr>
    </w:p>
    <w:p>
      <w:pPr>
        <w:rPr>
          <w:rFonts w:ascii="宋体" w:hAnsi="宋体" w:eastAsia="宋体" w:cs="宋体"/>
        </w:rPr>
        <w:sectPr>
          <w:footerReference r:id="rId4" w:type="default"/>
          <w:pgSz w:w="11907" w:h="16839"/>
          <w:pgMar w:top="1431" w:right="1785" w:bottom="1070" w:left="1661" w:header="0" w:footer="875" w:gutter="0"/>
          <w:cols w:space="720" w:num="1"/>
        </w:sectPr>
      </w:pPr>
    </w:p>
    <w:p>
      <w:pPr>
        <w:spacing w:line="440" w:lineRule="exact"/>
        <w:rPr>
          <w:rFonts w:ascii="宋体" w:hAnsi="宋体" w:eastAsia="宋体"/>
          <w:sz w:val="28"/>
          <w:szCs w:val="28"/>
        </w:rPr>
      </w:pPr>
      <w:r>
        <w:rPr>
          <w:rFonts w:hint="eastAsia" w:ascii="宋体" w:hAnsi="宋体" w:eastAsia="宋体"/>
          <w:sz w:val="28"/>
          <w:szCs w:val="28"/>
        </w:rPr>
        <w:t>附注：</w:t>
      </w:r>
    </w:p>
    <w:p>
      <w:pPr>
        <w:numPr>
          <w:ilvl w:val="0"/>
          <w:numId w:val="1"/>
        </w:numPr>
        <w:spacing w:line="440" w:lineRule="exact"/>
        <w:outlineLvl w:val="0"/>
        <w:rPr>
          <w:rFonts w:ascii="宋体" w:hAnsi="宋体" w:eastAsia="宋体"/>
          <w:sz w:val="28"/>
          <w:szCs w:val="28"/>
        </w:rPr>
      </w:pPr>
      <w:bookmarkStart w:id="12" w:name="_GoBack"/>
      <w:bookmarkEnd w:id="12"/>
      <w:r>
        <w:rPr>
          <w:rFonts w:hint="eastAsia" w:ascii="宋体" w:hAnsi="宋体" w:eastAsia="宋体"/>
          <w:sz w:val="28"/>
          <w:szCs w:val="28"/>
          <w:lang w:eastAsia="zh-CN"/>
        </w:rPr>
        <w:t>略</w:t>
      </w:r>
    </w:p>
    <w:p>
      <w:pPr>
        <w:spacing w:line="480" w:lineRule="exact"/>
        <w:ind w:left="280" w:hanging="280" w:hangingChars="100"/>
        <w:rPr>
          <w:rFonts w:ascii="宋体" w:hAnsi="宋体" w:eastAsia="宋体"/>
          <w:sz w:val="28"/>
          <w:szCs w:val="28"/>
        </w:rPr>
      </w:pPr>
      <w:r>
        <w:rPr>
          <w:rFonts w:hint="eastAsia" w:ascii="宋体" w:hAnsi="宋体" w:eastAsia="宋体"/>
          <w:sz w:val="28"/>
          <w:szCs w:val="28"/>
        </w:rPr>
        <w:t>2、普查报告估算标高为：+892米～+844米；设计开采标高为：+892米～+844米。</w:t>
      </w:r>
    </w:p>
    <w:p>
      <w:pPr>
        <w:spacing w:line="480" w:lineRule="exact"/>
        <w:rPr>
          <w:rFonts w:ascii="宋体" w:hAnsi="宋体" w:eastAsia="宋体"/>
          <w:sz w:val="28"/>
          <w:szCs w:val="28"/>
        </w:rPr>
      </w:pPr>
      <w:r>
        <w:rPr>
          <w:rFonts w:hint="eastAsia" w:ascii="宋体" w:hAnsi="宋体" w:eastAsia="宋体"/>
          <w:sz w:val="28"/>
          <w:szCs w:val="28"/>
        </w:rPr>
        <w:t>3、矿区范围内地表最高标高：+844米。</w:t>
      </w:r>
    </w:p>
    <w:p>
      <w:pPr>
        <w:spacing w:line="480" w:lineRule="exact"/>
        <w:rPr>
          <w:rFonts w:ascii="宋体" w:hAnsi="宋体" w:eastAsia="宋体"/>
          <w:bCs/>
          <w:sz w:val="28"/>
          <w:szCs w:val="28"/>
        </w:rPr>
      </w:pPr>
      <w:r>
        <w:rPr>
          <w:rFonts w:hint="eastAsia" w:ascii="宋体" w:hAnsi="宋体" w:eastAsia="宋体"/>
          <w:sz w:val="28"/>
          <w:szCs w:val="28"/>
        </w:rPr>
        <w:t>4、推荐设计生产规模为：50万立方米/年</w:t>
      </w:r>
      <w:r>
        <w:rPr>
          <w:rFonts w:hint="eastAsia" w:ascii="宋体" w:hAnsi="宋体" w:eastAsia="宋体"/>
          <w:bCs/>
          <w:sz w:val="28"/>
          <w:szCs w:val="28"/>
        </w:rPr>
        <w:t>。</w:t>
      </w:r>
    </w:p>
    <w:p>
      <w:pPr>
        <w:spacing w:line="480" w:lineRule="exact"/>
        <w:rPr>
          <w:rFonts w:ascii="宋体" w:hAnsi="宋体" w:eastAsia="宋体"/>
          <w:sz w:val="28"/>
          <w:szCs w:val="28"/>
        </w:rPr>
      </w:pPr>
      <w:r>
        <w:rPr>
          <w:rFonts w:hint="eastAsia" w:ascii="宋体" w:hAnsi="宋体" w:eastAsia="宋体"/>
          <w:sz w:val="28"/>
          <w:szCs w:val="28"/>
        </w:rPr>
        <w:t>5、开采服务年限：6.69年。</w:t>
      </w:r>
    </w:p>
    <w:p>
      <w:pPr>
        <w:tabs>
          <w:tab w:val="left" w:pos="420"/>
        </w:tabs>
        <w:spacing w:line="480" w:lineRule="exact"/>
        <w:ind w:left="420" w:hanging="420" w:hangingChars="150"/>
        <w:rPr>
          <w:rFonts w:ascii="宋体" w:hAnsi="宋体" w:eastAsia="宋体"/>
          <w:sz w:val="28"/>
          <w:szCs w:val="28"/>
        </w:rPr>
      </w:pPr>
      <w:bookmarkStart w:id="1" w:name="_Hlk127616295"/>
      <w:r>
        <w:rPr>
          <w:rFonts w:hint="eastAsia" w:ascii="宋体" w:hAnsi="宋体" w:eastAsia="宋体"/>
          <w:sz w:val="28"/>
          <w:szCs w:val="28"/>
        </w:rPr>
        <w:t>6、开采方式：设计采用露天开采。</w:t>
      </w:r>
    </w:p>
    <w:bookmarkEnd w:id="1"/>
    <w:p>
      <w:pPr>
        <w:tabs>
          <w:tab w:val="left" w:pos="420"/>
        </w:tabs>
        <w:spacing w:line="480" w:lineRule="exact"/>
        <w:ind w:left="420" w:hanging="420" w:hangingChars="150"/>
        <w:rPr>
          <w:rFonts w:ascii="宋体" w:hAnsi="宋体" w:eastAsia="宋体"/>
          <w:sz w:val="28"/>
          <w:szCs w:val="28"/>
        </w:rPr>
      </w:pPr>
      <w:r>
        <w:rPr>
          <w:rFonts w:ascii="宋体" w:hAnsi="宋体" w:eastAsia="宋体"/>
          <w:sz w:val="28"/>
          <w:szCs w:val="28"/>
        </w:rPr>
        <w:t>7</w:t>
      </w:r>
      <w:r>
        <w:rPr>
          <w:rFonts w:hint="eastAsia" w:ascii="宋体" w:hAnsi="宋体" w:eastAsia="宋体"/>
          <w:sz w:val="28"/>
          <w:szCs w:val="28"/>
        </w:rPr>
        <w:t>、开拓运输方案：设计采用公路开拓汽车运输方案。</w:t>
      </w:r>
    </w:p>
    <w:p>
      <w:pPr>
        <w:spacing w:line="480" w:lineRule="exact"/>
        <w:rPr>
          <w:rFonts w:ascii="宋体" w:hAnsi="宋体" w:eastAsia="宋体"/>
          <w:sz w:val="28"/>
          <w:szCs w:val="28"/>
        </w:rPr>
      </w:pPr>
      <w:r>
        <w:rPr>
          <w:rFonts w:ascii="宋体" w:hAnsi="宋体" w:eastAsia="宋体"/>
          <w:sz w:val="28"/>
          <w:szCs w:val="28"/>
        </w:rPr>
        <w:t>8</w:t>
      </w:r>
      <w:r>
        <w:rPr>
          <w:rFonts w:hint="eastAsia" w:ascii="宋体" w:hAnsi="宋体" w:eastAsia="宋体"/>
          <w:sz w:val="28"/>
          <w:szCs w:val="28"/>
        </w:rPr>
        <w:t>、采矿方法：自上而下水平分层露天采矿方法。采矿回采率98％。</w:t>
      </w:r>
    </w:p>
    <w:p>
      <w:pPr>
        <w:spacing w:line="480" w:lineRule="exact"/>
        <w:ind w:left="280" w:hanging="280" w:hangingChars="100"/>
        <w:rPr>
          <w:rFonts w:ascii="宋体" w:hAnsi="宋体" w:eastAsia="宋体"/>
          <w:sz w:val="28"/>
          <w:szCs w:val="28"/>
        </w:rPr>
      </w:pPr>
    </w:p>
    <w:p>
      <w:pPr>
        <w:spacing w:line="480" w:lineRule="exact"/>
        <w:ind w:left="280" w:hanging="280" w:hangingChars="100"/>
        <w:rPr>
          <w:rFonts w:ascii="宋体" w:hAnsi="宋体" w:eastAsia="宋体"/>
          <w:sz w:val="28"/>
          <w:szCs w:val="28"/>
        </w:rPr>
      </w:pPr>
      <w:r>
        <w:rPr>
          <w:rFonts w:hint="eastAsia" w:ascii="宋体" w:hAnsi="宋体" w:eastAsia="宋体"/>
          <w:sz w:val="28"/>
          <w:szCs w:val="28"/>
        </w:rPr>
        <w:t>附件：《石河子市鑫睿玮烨矿业有限公司沙湾分公司新疆沙湾市宁家河东侧2号建筑用砂石矿矿产资源开发利用与生态保护修复方案》专家审查意见</w:t>
      </w:r>
    </w:p>
    <w:p>
      <w:pPr>
        <w:spacing w:line="480" w:lineRule="exact"/>
        <w:ind w:left="280" w:hanging="280" w:hangingChars="100"/>
        <w:rPr>
          <w:rFonts w:eastAsiaTheme="minorEastAsia"/>
        </w:rPr>
      </w:pPr>
      <w:r>
        <w:rPr>
          <w:rFonts w:hint="eastAsia" w:ascii="宋体" w:hAnsi="宋体" w:eastAsia="宋体"/>
          <w:sz w:val="28"/>
          <w:szCs w:val="28"/>
        </w:rPr>
        <w:t xml:space="preserve"> </w:t>
      </w:r>
    </w:p>
    <w:p>
      <w:pPr>
        <w:spacing w:line="480" w:lineRule="exact"/>
        <w:rPr>
          <w:rFonts w:ascii="宋体" w:hAnsi="宋体" w:eastAsia="宋体"/>
          <w:sz w:val="28"/>
          <w:szCs w:val="28"/>
        </w:rPr>
      </w:pPr>
      <w:r>
        <w:rPr>
          <w:rFonts w:hint="eastAsia" w:ascii="宋体" w:hAnsi="宋体" w:eastAsia="宋体"/>
          <w:sz w:val="28"/>
          <w:szCs w:val="28"/>
        </w:rPr>
        <w:t>主  送：沙湾市自然资源局、</w:t>
      </w:r>
      <w:r>
        <w:rPr>
          <w:rFonts w:hint="eastAsia" w:ascii="宋体" w:hAnsi="宋体" w:eastAsia="宋体" w:cs="宋体"/>
          <w:spacing w:val="1"/>
          <w:sz w:val="28"/>
          <w:szCs w:val="28"/>
        </w:rPr>
        <w:t>石河子市鑫睿玮烨矿业有限公司沙湾分公司</w:t>
      </w:r>
    </w:p>
    <w:p>
      <w:pPr>
        <w:spacing w:line="480" w:lineRule="exact"/>
        <w:rPr>
          <w:rFonts w:ascii="宋体" w:hAnsi="宋体" w:eastAsia="宋体"/>
          <w:sz w:val="28"/>
          <w:szCs w:val="28"/>
        </w:rPr>
      </w:pPr>
      <w:r>
        <w:rPr>
          <w:rFonts w:hint="eastAsia" w:ascii="宋体" w:hAnsi="宋体" w:eastAsia="宋体"/>
          <w:sz w:val="28"/>
          <w:szCs w:val="28"/>
        </w:rPr>
        <w:t>抄  送：塔城地区自然资源局</w:t>
      </w:r>
    </w:p>
    <w:p>
      <w:pPr>
        <w:spacing w:line="480" w:lineRule="exact"/>
        <w:rPr>
          <w:rFonts w:ascii="宋体" w:hAnsi="宋体" w:eastAsia="宋体"/>
          <w:sz w:val="28"/>
          <w:szCs w:val="28"/>
        </w:rPr>
      </w:pPr>
      <w:r>
        <w:rPr>
          <w:rFonts w:hint="eastAsia" w:ascii="宋体" w:hAnsi="宋体" w:eastAsia="宋体"/>
          <w:sz w:val="28"/>
          <w:szCs w:val="28"/>
        </w:rPr>
        <w:t>印  数：12份</w:t>
      </w:r>
    </w:p>
    <w:p>
      <w:pPr>
        <w:spacing w:line="520" w:lineRule="exact"/>
        <w:rPr>
          <w:rFonts w:ascii="宋体" w:hAnsi="宋体" w:eastAsia="宋体"/>
          <w:color w:val="FF0000"/>
          <w:sz w:val="28"/>
          <w:szCs w:val="28"/>
          <w:highlight w:val="yellow"/>
        </w:rPr>
        <w:sectPr>
          <w:pgSz w:w="12240" w:h="15840"/>
          <w:pgMar w:top="1440" w:right="1800" w:bottom="1440" w:left="1800" w:header="720" w:footer="720" w:gutter="0"/>
          <w:cols w:space="720" w:num="1"/>
        </w:sectPr>
      </w:pPr>
    </w:p>
    <w:p>
      <w:pPr>
        <w:spacing w:line="560" w:lineRule="exact"/>
        <w:jc w:val="center"/>
        <w:rPr>
          <w:rFonts w:hint="eastAsia" w:ascii="宋体" w:hAnsi="宋体" w:eastAsia="宋体"/>
          <w:b/>
          <w:sz w:val="30"/>
          <w:szCs w:val="30"/>
        </w:rPr>
      </w:pPr>
      <w:r>
        <w:rPr>
          <w:rFonts w:hint="eastAsia" w:ascii="宋体" w:hAnsi="宋体" w:eastAsia="宋体"/>
          <w:b/>
          <w:sz w:val="30"/>
          <w:szCs w:val="30"/>
        </w:rPr>
        <w:t>《石河子市鑫睿玮烨矿业有限公司沙湾分公司新疆沙湾市宁家河东侧2号建筑用砂石矿矿产资源开发利用与生态保护修复方案》</w:t>
      </w:r>
    </w:p>
    <w:p>
      <w:pPr>
        <w:spacing w:line="560" w:lineRule="exact"/>
        <w:jc w:val="center"/>
        <w:rPr>
          <w:sz w:val="30"/>
          <w:szCs w:val="30"/>
        </w:rPr>
      </w:pPr>
      <w:r>
        <w:rPr>
          <w:rFonts w:hint="eastAsia" w:ascii="宋体" w:hAnsi="宋体" w:eastAsia="宋体"/>
          <w:b/>
          <w:sz w:val="30"/>
          <w:szCs w:val="30"/>
        </w:rPr>
        <w:t>专家审查意见</w:t>
      </w:r>
    </w:p>
    <w:p>
      <w:pPr>
        <w:spacing w:line="560" w:lineRule="exact"/>
        <w:ind w:firstLine="564" w:firstLineChars="200"/>
        <w:jc w:val="both"/>
        <w:outlineLvl w:val="0"/>
        <w:rPr>
          <w:rFonts w:ascii="宋体" w:hAnsi="宋体" w:eastAsia="宋体" w:cs="宋体"/>
          <w:spacing w:val="1"/>
          <w:sz w:val="28"/>
          <w:szCs w:val="28"/>
        </w:rPr>
      </w:pPr>
      <w:r>
        <w:rPr>
          <w:rFonts w:hint="eastAsia" w:ascii="宋体" w:hAnsi="宋体" w:eastAsia="宋体" w:cs="宋体"/>
          <w:color w:val="auto"/>
          <w:spacing w:val="1"/>
          <w:sz w:val="28"/>
          <w:szCs w:val="28"/>
        </w:rPr>
        <w:t>受</w:t>
      </w:r>
      <w:r>
        <w:rPr>
          <w:rFonts w:hint="eastAsia" w:ascii="宋体" w:hAnsi="宋体" w:eastAsia="宋体" w:cs="宋体"/>
          <w:spacing w:val="1"/>
          <w:sz w:val="28"/>
          <w:szCs w:val="28"/>
        </w:rPr>
        <w:t>石河子市鑫睿玮烨矿业有限公司沙湾分公司委托，由</w:t>
      </w:r>
      <w:r>
        <w:rPr>
          <w:rFonts w:hint="eastAsia" w:ascii="宋体" w:hAnsi="宋体" w:eastAsia="宋体" w:cs="宋体"/>
          <w:color w:val="auto"/>
          <w:spacing w:val="1"/>
          <w:sz w:val="28"/>
          <w:szCs w:val="28"/>
        </w:rPr>
        <w:t>乌鲁木齐市润天通达矿业技术咨询服务有限公司编制的《石河子市鑫睿玮烨矿业有限公司沙湾分公司新疆沙湾市宁家河东侧2号建筑用砂石矿矿产资源开发利用与生态保护修复方案》（以下简称</w:t>
      </w:r>
      <w:bookmarkStart w:id="2" w:name="_Hlk91835451"/>
      <w:r>
        <w:rPr>
          <w:rFonts w:hint="eastAsia" w:ascii="宋体" w:hAnsi="宋体" w:eastAsia="宋体" w:cs="宋体"/>
          <w:color w:val="auto"/>
          <w:spacing w:val="1"/>
          <w:sz w:val="28"/>
          <w:szCs w:val="28"/>
        </w:rPr>
        <w:t>《方案》</w:t>
      </w:r>
      <w:bookmarkEnd w:id="2"/>
      <w:r>
        <w:rPr>
          <w:rFonts w:hint="eastAsia" w:ascii="宋体" w:hAnsi="宋体" w:eastAsia="宋体" w:cs="宋体"/>
          <w:color w:val="auto"/>
          <w:spacing w:val="1"/>
          <w:sz w:val="28"/>
          <w:szCs w:val="28"/>
        </w:rPr>
        <w:t>）于2024年12月提交评审专家组审核，评审专家组采取函审方式对该《方案》进行了审查，并提出审查意见。编制单位根据专家意见</w:t>
      </w:r>
      <w:r>
        <w:rPr>
          <w:rFonts w:hint="eastAsia" w:ascii="宋体" w:hAnsi="宋体" w:eastAsia="宋体" w:cs="宋体"/>
          <w:spacing w:val="1"/>
          <w:sz w:val="28"/>
          <w:szCs w:val="28"/>
        </w:rPr>
        <w:t>对《方案》进行修改完善。经主审专家复核，《方案》符合规范要求。现形成评审意见如下：</w:t>
      </w:r>
    </w:p>
    <w:p>
      <w:pPr>
        <w:spacing w:line="560" w:lineRule="exact"/>
        <w:ind w:firstLine="538" w:firstLineChars="200"/>
        <w:jc w:val="both"/>
        <w:outlineLvl w:val="0"/>
        <w:rPr>
          <w:rFonts w:ascii="宋体" w:hAnsi="宋体" w:eastAsia="宋体" w:cs="宋体"/>
          <w:b/>
          <w:bCs/>
          <w:color w:val="auto"/>
          <w:spacing w:val="-3"/>
          <w:sz w:val="28"/>
          <w:szCs w:val="28"/>
        </w:rPr>
      </w:pPr>
      <w:r>
        <w:rPr>
          <w:rFonts w:hint="eastAsia" w:ascii="宋体" w:hAnsi="宋体" w:eastAsia="宋体" w:cs="宋体"/>
          <w:b/>
          <w:bCs/>
          <w:color w:val="auto"/>
          <w:spacing w:val="-6"/>
          <w:sz w:val="28"/>
          <w:szCs w:val="28"/>
        </w:rPr>
        <w:t>一、采矿权基本情况及编制目的</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石河子市鑫睿玮烨矿业有限公司沙湾分公司通过“挂牌出让”的方式取得了石河子市鑫睿玮烨矿业有限公司沙湾分公司新疆沙湾市宁家河东侧2号建筑用砂石矿采矿权。依据《采矿权出让合同》，矿区范围由6个拐点圈定，拟设采矿权面积0.30平方千米。</w:t>
      </w:r>
    </w:p>
    <w:p>
      <w:pPr>
        <w:spacing w:line="560" w:lineRule="exact"/>
        <w:ind w:firstLine="560" w:firstLineChars="200"/>
        <w:jc w:val="both"/>
        <w:rPr>
          <w:rFonts w:ascii="宋体" w:hAnsi="宋体" w:eastAsia="宋体" w:cs="宋体"/>
          <w:sz w:val="28"/>
          <w:szCs w:val="28"/>
        </w:rPr>
      </w:pPr>
      <w:r>
        <w:rPr>
          <w:rFonts w:hint="eastAsia" w:ascii="宋体" w:hAnsi="宋体" w:eastAsia="宋体" w:cs="宋体"/>
          <w:color w:val="auto"/>
          <w:sz w:val="28"/>
          <w:szCs w:val="28"/>
        </w:rPr>
        <w:t>本次编制</w:t>
      </w:r>
      <w:bookmarkStart w:id="3" w:name="_Hlk91836438"/>
      <w:r>
        <w:rPr>
          <w:rFonts w:hint="eastAsia" w:ascii="宋体" w:hAnsi="宋体" w:eastAsia="宋体" w:cs="宋体"/>
          <w:color w:val="auto"/>
          <w:sz w:val="28"/>
          <w:szCs w:val="28"/>
        </w:rPr>
        <w:t>《方案》</w:t>
      </w:r>
      <w:bookmarkEnd w:id="3"/>
      <w:r>
        <w:rPr>
          <w:rFonts w:hint="eastAsia" w:ascii="宋体" w:hAnsi="宋体" w:eastAsia="宋体" w:cs="宋体"/>
          <w:color w:val="auto"/>
          <w:sz w:val="28"/>
          <w:szCs w:val="28"/>
        </w:rPr>
        <w:t>目的：</w:t>
      </w:r>
      <w:r>
        <w:rPr>
          <w:rFonts w:hint="eastAsia" w:ascii="宋体" w:hAnsi="宋体" w:eastAsia="宋体" w:cs="宋体"/>
          <w:sz w:val="28"/>
          <w:szCs w:val="28"/>
        </w:rPr>
        <w:t>为新立采矿许可证开采范围、矿山生产规模提供技术依据；为本矿山开发环境评价提供依据；为自然资源管理部门对矿山开采依法进行监管提供技术依据；在确保技术可行的前提下，尽量做到持续稳产；方案采用成熟先进的工艺和设备，以提高劳动生产率，降低成本；为矿山企业实施矿山地质环境保护、治理和监测及土地复垦提供技术依据，将矿山企业的生态保护修复工作目标、任务、措施和计划等落到实处；为矿山生态保护修复工作的实施管理、监督检查以及生态保护修复基金的计提等提供依据，为自然资源管理部门监督、检查、督促矿山企业落实矿山地质环境保护与土地复垦责任义务提供重要依据；使矿山开采造成的地质环境破坏得以有效恢复，使被损毁的土地恢复并达到最佳综合效益的状态，努力实现社会经济、生态环境的可持续发展。</w:t>
      </w:r>
    </w:p>
    <w:p>
      <w:pPr>
        <w:spacing w:line="560" w:lineRule="exact"/>
        <w:ind w:firstLine="522" w:firstLineChars="200"/>
        <w:jc w:val="both"/>
        <w:outlineLvl w:val="0"/>
        <w:rPr>
          <w:rFonts w:ascii="宋体" w:hAnsi="宋体" w:eastAsia="宋体" w:cs="宋体"/>
          <w:b/>
          <w:bCs/>
          <w:color w:val="auto"/>
          <w:spacing w:val="-2"/>
          <w:sz w:val="28"/>
          <w:szCs w:val="28"/>
        </w:rPr>
      </w:pPr>
      <w:r>
        <w:rPr>
          <w:rFonts w:hint="eastAsia" w:ascii="宋体" w:hAnsi="宋体" w:eastAsia="宋体" w:cs="宋体"/>
          <w:b/>
          <w:bCs/>
          <w:color w:val="auto"/>
          <w:spacing w:val="-10"/>
          <w:sz w:val="28"/>
          <w:szCs w:val="28"/>
        </w:rPr>
        <w:t>二、设计利用资</w:t>
      </w:r>
      <w:r>
        <w:rPr>
          <w:rFonts w:hint="eastAsia" w:ascii="宋体" w:hAnsi="宋体" w:eastAsia="宋体" w:cs="宋体"/>
          <w:b/>
          <w:bCs/>
          <w:color w:val="auto"/>
          <w:spacing w:val="-2"/>
          <w:sz w:val="28"/>
          <w:szCs w:val="28"/>
        </w:rPr>
        <w:t>源储量政策符合性</w:t>
      </w:r>
    </w:p>
    <w:p>
      <w:pPr>
        <w:spacing w:line="560" w:lineRule="exact"/>
        <w:ind w:firstLine="560" w:firstLineChars="200"/>
        <w:jc w:val="both"/>
        <w:rPr>
          <w:rFonts w:ascii="宋体" w:hAnsi="宋体" w:eastAsia="宋体" w:cs="宋体"/>
          <w:color w:val="auto"/>
          <w:sz w:val="28"/>
          <w:szCs w:val="28"/>
        </w:rPr>
      </w:pPr>
      <w:bookmarkStart w:id="4" w:name="_Hlk91836993"/>
      <w:r>
        <w:rPr>
          <w:rFonts w:hint="eastAsia" w:ascii="宋体" w:hAnsi="宋体" w:eastAsia="宋体" w:cs="宋体"/>
          <w:color w:val="auto"/>
          <w:sz w:val="28"/>
          <w:szCs w:val="28"/>
        </w:rPr>
        <w:t>《方案》</w:t>
      </w:r>
      <w:bookmarkEnd w:id="4"/>
      <w:r>
        <w:rPr>
          <w:rFonts w:hint="eastAsia" w:ascii="宋体" w:hAnsi="宋体" w:eastAsia="宋体" w:cs="宋体"/>
          <w:color w:val="auto"/>
          <w:sz w:val="28"/>
          <w:szCs w:val="28"/>
        </w:rPr>
        <w:t>依据的</w:t>
      </w:r>
      <w:r>
        <w:rPr>
          <w:rFonts w:hint="eastAsia" w:ascii="宋体" w:hAnsi="宋体" w:eastAsia="宋体" w:cs="宋体"/>
          <w:color w:val="auto"/>
          <w:spacing w:val="-10"/>
          <w:sz w:val="28"/>
          <w:szCs w:val="28"/>
        </w:rPr>
        <w:t>资源量已通过评审（《新疆沙湾市宁家河东侧2号建筑用砂石矿普查报告评审意见书》（沙自然资储核〔2024〕008号），设计利用资源量类型确定合理，设计利用资</w:t>
      </w:r>
      <w:r>
        <w:rPr>
          <w:rFonts w:hint="eastAsia" w:ascii="宋体" w:hAnsi="宋体" w:eastAsia="宋体" w:cs="宋体"/>
          <w:color w:val="auto"/>
          <w:spacing w:val="-2"/>
          <w:sz w:val="28"/>
          <w:szCs w:val="28"/>
        </w:rPr>
        <w:t>源量、可采资源量的确定符合自治区自然资源厅相关政策要求。</w:t>
      </w:r>
    </w:p>
    <w:p>
      <w:pPr>
        <w:spacing w:line="560" w:lineRule="exact"/>
        <w:ind w:firstLine="546" w:firstLineChars="200"/>
        <w:jc w:val="both"/>
        <w:outlineLvl w:val="0"/>
        <w:rPr>
          <w:rFonts w:ascii="宋体" w:hAnsi="宋体" w:eastAsia="宋体" w:cs="宋体"/>
          <w:b/>
          <w:bCs/>
          <w:color w:val="auto"/>
          <w:spacing w:val="-4"/>
          <w:sz w:val="28"/>
          <w:szCs w:val="28"/>
        </w:rPr>
      </w:pPr>
      <w:r>
        <w:rPr>
          <w:rFonts w:hint="eastAsia" w:ascii="宋体" w:hAnsi="宋体" w:eastAsia="宋体" w:cs="宋体"/>
          <w:b/>
          <w:bCs/>
          <w:color w:val="auto"/>
          <w:spacing w:val="-4"/>
          <w:sz w:val="28"/>
          <w:szCs w:val="28"/>
        </w:rPr>
        <w:t>三、设计利用储量、设计开采规模及服务年限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方案》依据《新疆沙湾市宁家河东侧2号建筑用砂石矿普查报告评审意见书》（沙自然资储核〔2024〕008号），矿山评审通过的保有资源量合计343.76万立方米，边坡损失量为2.39万立方米，边坡损失率0.70%。设计利用资源量为341.37万立方米，总剥离量44.28万立方米，剥采比为0.13（立方米/立方米）。本次方案设计采矿回采率98％。</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本次设计矿山生产规模为50万立方米/年（2381立方米/天），其设计服务年限为6.69年。</w:t>
      </w:r>
    </w:p>
    <w:p>
      <w:pPr>
        <w:spacing w:line="560" w:lineRule="exact"/>
        <w:ind w:firstLine="562" w:firstLineChars="200"/>
        <w:jc w:val="both"/>
        <w:outlineLvl w:val="0"/>
        <w:rPr>
          <w:rFonts w:ascii="宋体" w:hAnsi="宋体" w:eastAsia="宋体" w:cs="宋体"/>
          <w:b/>
          <w:bCs/>
          <w:color w:val="auto"/>
          <w:sz w:val="28"/>
          <w:szCs w:val="28"/>
        </w:rPr>
      </w:pPr>
      <w:r>
        <w:rPr>
          <w:rFonts w:hint="eastAsia" w:ascii="宋体" w:hAnsi="宋体" w:eastAsia="宋体" w:cs="宋体"/>
          <w:b/>
          <w:bCs/>
          <w:color w:val="auto"/>
          <w:sz w:val="28"/>
          <w:szCs w:val="28"/>
        </w:rPr>
        <w:t>四、采矿方案</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color w:val="auto"/>
          <w:spacing w:val="1"/>
          <w:sz w:val="28"/>
          <w:szCs w:val="28"/>
        </w:rPr>
        <w:t>矿山采用自上而下水平分层露天采矿方法，设计开采范围为：</w:t>
      </w:r>
      <w:r>
        <w:rPr>
          <w:rFonts w:hint="eastAsia" w:ascii="宋体" w:hAnsi="宋体" w:eastAsia="宋体"/>
          <w:sz w:val="28"/>
          <w:szCs w:val="28"/>
        </w:rPr>
        <w:t>+892米～+844米</w:t>
      </w:r>
      <w:r>
        <w:rPr>
          <w:rFonts w:hint="eastAsia" w:ascii="宋体" w:hAnsi="宋体" w:eastAsia="宋体" w:cs="宋体"/>
          <w:color w:val="auto"/>
          <w:spacing w:val="1"/>
          <w:sz w:val="28"/>
          <w:szCs w:val="28"/>
        </w:rPr>
        <w:t>标高范围内的资源量（</w:t>
      </w:r>
      <w:r>
        <w:rPr>
          <w:rFonts w:hint="eastAsia" w:ascii="宋体" w:hAnsi="宋体" w:eastAsia="宋体"/>
          <w:sz w:val="28"/>
          <w:szCs w:val="28"/>
        </w:rPr>
        <w:t>开采平均深度14.6米</w:t>
      </w:r>
      <w:r>
        <w:rPr>
          <w:rFonts w:hint="eastAsia" w:ascii="宋体" w:hAnsi="宋体" w:eastAsia="宋体" w:cs="宋体"/>
          <w:color w:val="auto"/>
          <w:spacing w:val="1"/>
          <w:sz w:val="28"/>
          <w:szCs w:val="28"/>
        </w:rPr>
        <w:t>）</w:t>
      </w:r>
      <w:r>
        <w:rPr>
          <w:rFonts w:hint="eastAsia" w:ascii="宋体" w:hAnsi="宋体" w:eastAsia="宋体" w:cs="宋体"/>
          <w:spacing w:val="1"/>
          <w:sz w:val="28"/>
          <w:szCs w:val="28"/>
        </w:rPr>
        <w:t>，</w:t>
      </w:r>
      <w:r>
        <w:rPr>
          <w:rFonts w:hint="eastAsia" w:ascii="宋体" w:hAnsi="宋体" w:eastAsia="宋体" w:cs="宋体"/>
          <w:color w:val="auto"/>
          <w:spacing w:val="-4"/>
          <w:sz w:val="28"/>
          <w:szCs w:val="28"/>
        </w:rPr>
        <w:t>设计采矿回采率98％</w:t>
      </w:r>
      <w:r>
        <w:rPr>
          <w:rFonts w:hint="eastAsia" w:ascii="宋体" w:hAnsi="宋体" w:eastAsia="宋体" w:cs="宋体"/>
          <w:spacing w:val="1"/>
          <w:sz w:val="28"/>
          <w:szCs w:val="28"/>
        </w:rPr>
        <w:t>。</w:t>
      </w:r>
    </w:p>
    <w:p>
      <w:pPr>
        <w:spacing w:line="560" w:lineRule="exact"/>
        <w:ind w:firstLine="558" w:firstLineChars="200"/>
        <w:jc w:val="both"/>
        <w:outlineLvl w:val="0"/>
        <w:rPr>
          <w:rFonts w:ascii="宋体" w:hAnsi="宋体" w:eastAsia="宋体" w:cs="宋体"/>
          <w:b/>
          <w:bCs/>
          <w:color w:val="auto"/>
          <w:spacing w:val="-1"/>
          <w:sz w:val="28"/>
          <w:szCs w:val="28"/>
        </w:rPr>
      </w:pPr>
      <w:r>
        <w:rPr>
          <w:rFonts w:hint="eastAsia" w:ascii="宋体" w:hAnsi="宋体" w:eastAsia="宋体" w:cs="宋体"/>
          <w:b/>
          <w:bCs/>
          <w:color w:val="auto"/>
          <w:spacing w:val="-1"/>
          <w:sz w:val="28"/>
          <w:szCs w:val="28"/>
        </w:rPr>
        <w:t>五、产品方案</w:t>
      </w:r>
    </w:p>
    <w:p>
      <w:pPr>
        <w:spacing w:line="560" w:lineRule="exact"/>
        <w:ind w:firstLine="544" w:firstLineChars="200"/>
        <w:jc w:val="both"/>
        <w:rPr>
          <w:rFonts w:ascii="宋体" w:hAnsi="宋体" w:eastAsia="宋体" w:cs="宋体"/>
          <w:color w:val="auto"/>
          <w:spacing w:val="-4"/>
          <w:sz w:val="28"/>
          <w:szCs w:val="28"/>
        </w:rPr>
      </w:pPr>
      <w:r>
        <w:rPr>
          <w:rFonts w:hint="eastAsia" w:ascii="宋体" w:hAnsi="宋体" w:eastAsia="宋体" w:cs="宋体"/>
          <w:color w:val="auto"/>
          <w:spacing w:val="-4"/>
          <w:sz w:val="28"/>
          <w:szCs w:val="28"/>
        </w:rPr>
        <w:t>矿山产品方案为：粒径0.075～0.5mm的粉砂、0.5～5mm的细砂、5～10mm的细石子、10～20mm的小石子、20～40mm的中石子。</w:t>
      </w:r>
    </w:p>
    <w:p>
      <w:pPr>
        <w:spacing w:line="560" w:lineRule="exact"/>
        <w:ind w:firstLine="550" w:firstLineChars="200"/>
        <w:jc w:val="both"/>
        <w:outlineLvl w:val="0"/>
        <w:rPr>
          <w:rFonts w:ascii="宋体" w:hAnsi="宋体" w:eastAsia="宋体" w:cs="宋体"/>
          <w:b/>
          <w:bCs/>
          <w:color w:val="auto"/>
          <w:spacing w:val="-1"/>
          <w:sz w:val="28"/>
          <w:szCs w:val="28"/>
        </w:rPr>
      </w:pPr>
      <w:r>
        <w:rPr>
          <w:rFonts w:hint="eastAsia" w:ascii="宋体" w:hAnsi="宋体" w:eastAsia="宋体" w:cs="宋体"/>
          <w:b/>
          <w:bCs/>
          <w:color w:val="auto"/>
          <w:spacing w:val="-3"/>
          <w:sz w:val="28"/>
          <w:szCs w:val="28"/>
        </w:rPr>
        <w:t>六、</w:t>
      </w:r>
      <w:r>
        <w:rPr>
          <w:rFonts w:hint="eastAsia" w:ascii="宋体" w:hAnsi="宋体" w:eastAsia="宋体" w:cs="宋体"/>
          <w:b/>
          <w:bCs/>
          <w:color w:val="auto"/>
          <w:spacing w:val="-4"/>
          <w:sz w:val="28"/>
          <w:szCs w:val="28"/>
        </w:rPr>
        <w:t>绿色矿山建设</w:t>
      </w:r>
    </w:p>
    <w:p>
      <w:pPr>
        <w:spacing w:line="560" w:lineRule="exact"/>
        <w:ind w:firstLine="544" w:firstLineChars="200"/>
        <w:jc w:val="both"/>
        <w:rPr>
          <w:rFonts w:ascii="宋体" w:hAnsi="宋体" w:eastAsia="宋体" w:cs="宋体"/>
          <w:color w:val="auto"/>
          <w:spacing w:val="-2"/>
          <w:sz w:val="28"/>
          <w:szCs w:val="28"/>
        </w:rPr>
      </w:pPr>
      <w:r>
        <w:rPr>
          <w:rFonts w:hint="eastAsia" w:ascii="宋体" w:hAnsi="宋体" w:eastAsia="宋体" w:cs="宋体"/>
          <w:color w:val="auto"/>
          <w:spacing w:val="-4"/>
          <w:sz w:val="28"/>
          <w:szCs w:val="28"/>
        </w:rPr>
        <w:t>设计采取的开采工艺以及选矿工艺符合本行业绿色矿山建设规范和节约与综合</w:t>
      </w:r>
      <w:r>
        <w:rPr>
          <w:rFonts w:hint="eastAsia" w:ascii="宋体" w:hAnsi="宋体" w:eastAsia="宋体" w:cs="宋体"/>
          <w:color w:val="auto"/>
          <w:spacing w:val="-2"/>
          <w:sz w:val="28"/>
          <w:szCs w:val="28"/>
        </w:rPr>
        <w:t>利用要求。设计</w:t>
      </w:r>
      <w:r>
        <w:rPr>
          <w:rFonts w:hint="eastAsia" w:ascii="宋体" w:hAnsi="宋体" w:eastAsia="宋体" w:cs="宋体"/>
          <w:color w:val="auto"/>
          <w:spacing w:val="1"/>
          <w:sz w:val="28"/>
          <w:szCs w:val="28"/>
        </w:rPr>
        <w:t>采矿回采率、选矿回收率、综合利用率指标为：</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1.开采回采率</w:t>
      </w:r>
    </w:p>
    <w:p>
      <w:pPr>
        <w:spacing w:line="560" w:lineRule="exact"/>
        <w:ind w:firstLine="564" w:firstLineChars="200"/>
        <w:jc w:val="both"/>
        <w:rPr>
          <w:rFonts w:ascii="宋体" w:hAnsi="宋体" w:eastAsia="宋体" w:cs="宋体"/>
          <w:spacing w:val="1"/>
          <w:sz w:val="28"/>
          <w:szCs w:val="28"/>
        </w:rPr>
      </w:pPr>
      <w:r>
        <w:rPr>
          <w:rFonts w:ascii="宋体" w:hAnsi="宋体" w:eastAsia="宋体" w:cs="宋体"/>
          <w:spacing w:val="1"/>
          <w:sz w:val="28"/>
          <w:szCs w:val="28"/>
        </w:rPr>
        <w:t>生产工艺技术和设备应符合国土资源部《矿产资源节约与综合利用鼓励、限制和淘汰技术目录》要求。砂石矿山资源综合利用率不低于95%。</w:t>
      </w:r>
      <w:r>
        <w:rPr>
          <w:rFonts w:hint="eastAsia" w:ascii="宋体" w:hAnsi="宋体" w:eastAsia="宋体" w:cs="宋体"/>
          <w:spacing w:val="1"/>
          <w:sz w:val="28"/>
          <w:szCs w:val="28"/>
        </w:rPr>
        <w:t>结合本矿设计回采率98％，可得符合要求。</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2.选矿回收率</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该矿产品为建筑用砂，各粒级建筑用砂选矿产率合计为93.33</w:t>
      </w:r>
      <w:r>
        <w:rPr>
          <w:rFonts w:ascii="宋体" w:hAnsi="宋体" w:eastAsia="宋体" w:cs="宋体"/>
          <w:spacing w:val="1"/>
          <w:sz w:val="28"/>
          <w:szCs w:val="28"/>
        </w:rPr>
        <w:t>%</w:t>
      </w:r>
      <w:r>
        <w:rPr>
          <w:rFonts w:hint="eastAsia" w:ascii="宋体" w:hAnsi="宋体" w:eastAsia="宋体" w:cs="宋体"/>
          <w:spacing w:val="1"/>
          <w:sz w:val="28"/>
          <w:szCs w:val="28"/>
        </w:rPr>
        <w:t>。</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3.尾矿综合利用率</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该矿筛分洗砂产生的尾矿为泥渣和废石，设计作为废料用于回填露天采坑。</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4.伴生资源利用</w:t>
      </w:r>
    </w:p>
    <w:p>
      <w:pPr>
        <w:spacing w:line="560" w:lineRule="exact"/>
        <w:ind w:firstLine="564" w:firstLineChars="200"/>
        <w:jc w:val="both"/>
        <w:rPr>
          <w:rFonts w:ascii="宋体" w:hAnsi="宋体" w:eastAsia="宋体" w:cs="宋体"/>
          <w:spacing w:val="1"/>
          <w:sz w:val="28"/>
          <w:szCs w:val="28"/>
        </w:rPr>
      </w:pPr>
      <w:r>
        <w:rPr>
          <w:rFonts w:hint="eastAsia" w:ascii="宋体" w:hAnsi="宋体" w:eastAsia="宋体" w:cs="宋体"/>
          <w:spacing w:val="1"/>
          <w:sz w:val="28"/>
          <w:szCs w:val="28"/>
        </w:rPr>
        <w:t>该矿山为建筑用砂矿，无其它有有益共伴生矿产资源。</w:t>
      </w:r>
    </w:p>
    <w:p>
      <w:pPr>
        <w:spacing w:line="560" w:lineRule="exact"/>
        <w:ind w:firstLine="546" w:firstLineChars="200"/>
        <w:jc w:val="both"/>
        <w:outlineLvl w:val="0"/>
        <w:rPr>
          <w:rFonts w:ascii="宋体" w:hAnsi="宋体" w:eastAsia="宋体" w:cs="宋体"/>
          <w:b/>
          <w:bCs/>
          <w:color w:val="auto"/>
          <w:spacing w:val="-2"/>
          <w:sz w:val="28"/>
          <w:szCs w:val="28"/>
        </w:rPr>
      </w:pPr>
      <w:r>
        <w:rPr>
          <w:rFonts w:hint="eastAsia" w:ascii="宋体" w:hAnsi="宋体" w:eastAsia="宋体" w:cs="宋体"/>
          <w:b/>
          <w:bCs/>
          <w:color w:val="auto"/>
          <w:spacing w:val="-4"/>
          <w:sz w:val="28"/>
          <w:szCs w:val="28"/>
        </w:rPr>
        <w:t>七、矿区地质环境</w:t>
      </w:r>
      <w:bookmarkStart w:id="5" w:name="_Hlk91925963"/>
      <w:r>
        <w:rPr>
          <w:rFonts w:hint="eastAsia" w:ascii="宋体" w:hAnsi="宋体" w:eastAsia="宋体" w:cs="宋体"/>
          <w:b/>
          <w:bCs/>
          <w:color w:val="auto"/>
          <w:spacing w:val="-4"/>
          <w:sz w:val="28"/>
          <w:szCs w:val="28"/>
        </w:rPr>
        <w:t>治</w:t>
      </w:r>
      <w:r>
        <w:rPr>
          <w:rFonts w:hint="eastAsia" w:ascii="宋体" w:hAnsi="宋体" w:eastAsia="宋体" w:cs="宋体"/>
          <w:b/>
          <w:bCs/>
          <w:color w:val="auto"/>
          <w:spacing w:val="-11"/>
          <w:sz w:val="28"/>
          <w:szCs w:val="28"/>
        </w:rPr>
        <w:t>理恢复</w:t>
      </w:r>
      <w:bookmarkEnd w:id="5"/>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（一）本次工作查明了矿山环境现状，分析了矿山环境发展趋势，其论述内容基本全面，结论基本正确。</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（二）确定评估级别为一级，评估区面积0.4526平方千米，评估等级划分正确，评估范围确定合理。</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（三）矿山地质环境影响现状评估划分为较轻区，面积45.26公顷，为整个评估区，现状条件下评估区内地质灾害不发育，矿业活动对含水层、地形地貌景观、土地资源和大气污染的破坏程度较轻。</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（四）对采矿活动对矿山地质环境的影响进行了预测评估，预测评估矿山地质环境影响程度分为严重区、较严重区和较轻区。</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严重区：面积27.34公顷，为规划露天采坑（包括工业广场、成品堆放场、表土堆放场、废石堆放场）。</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较严重区：面积0.33公顷，包括规划矿山道路和规划矿部生活区；</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较轻区：面积17.59公顷，为上述区域以外的评估区其他区域。</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（五）确定了矿山环境保护与治理恢复的原则、目标和任务，对矿区进行了矿山环境保护与治理恢复分区，并提出了具体的保护、治理以及监测方案，并进行了经费概算。</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1、矿山环境保护与综合治理分区</w:t>
      </w:r>
    </w:p>
    <w:p>
      <w:pPr>
        <w:kinsoku/>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地质环境保护与恢复治理分区划分为矿山地质环境重点防治区（Ⅰ）、次重点防治区（Ⅱ）、一般防治区（Ⅲ），其中重点防治区为露天采矿场（包括工业广场、成品堆放场、表土堆放场、废石堆放场），面积为27.34公顷；次重点防治区为生活区和矿山道路，面积为0.33公顷；一般防治区为除重点防治区以外其他区域，面积为17.59公顷。</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2、地质环境治理工程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（1）矿山地质灾害防治及监测：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2025年7月底前在规划露天采坑区外围5米设置铁丝围栏2320米及警示牌14块；对露警示牌和围栏进行监测。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（2）含水层破坏的预防、修复及监测：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矿区含水层单一，地下水埋藏大于50米，富水性弱。采矿活动不会抽排地下水，无含水层破坏，普查期间地质浅井均未揭露含水层，矿区及周边无地下泉水出露，本方案不进行含水层破坏的监测。</w:t>
      </w:r>
    </w:p>
    <w:p>
      <w:pPr>
        <w:numPr>
          <w:ilvl w:val="0"/>
          <w:numId w:val="2"/>
        </w:num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地形地貌景观破坏的预防、修复及监测：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优化工程施工方案，尤其是工业场地，尽量避免和减少破坏地形地貌景观；合理堆放固体物质，严格控制废石场范围，新掘出矿石及时消化，选用合适的综合利用技术，加大综合利用量，减少对地形地貌景观的破坏；采矿期间保护矿区内的卫生环境，减少对地形地貌景观的破坏；优化设计、一步到位，尽量利用现有道路，走向应尽量和当地的自然景观相协调；每年对地形地貌景观损毁情况进行监测。</w:t>
      </w:r>
    </w:p>
    <w:p>
      <w:pPr>
        <w:numPr>
          <w:ilvl w:val="0"/>
          <w:numId w:val="2"/>
        </w:numPr>
        <w:spacing w:line="560" w:lineRule="exact"/>
        <w:ind w:firstLine="560" w:firstLineChars="200"/>
        <w:jc w:val="both"/>
        <w:rPr>
          <w:rFonts w:ascii="宋体" w:hAnsi="宋体" w:eastAsia="宋体" w:cs="宋体"/>
          <w:color w:val="auto"/>
          <w:sz w:val="28"/>
          <w:szCs w:val="28"/>
        </w:rPr>
      </w:pPr>
      <w:bookmarkStart w:id="6" w:name="_Toc76982487"/>
      <w:bookmarkStart w:id="7" w:name="_Toc4933"/>
      <w:bookmarkStart w:id="8" w:name="_Toc76982307"/>
      <w:bookmarkStart w:id="9" w:name="_Toc76981923"/>
      <w:r>
        <w:rPr>
          <w:rFonts w:ascii="宋体" w:hAnsi="宋体" w:eastAsia="宋体" w:cs="宋体"/>
          <w:color w:val="auto"/>
          <w:sz w:val="28"/>
          <w:szCs w:val="28"/>
        </w:rPr>
        <w:t>水土环境污染</w:t>
      </w:r>
      <w:bookmarkEnd w:id="6"/>
      <w:bookmarkEnd w:id="7"/>
      <w:bookmarkEnd w:id="8"/>
      <w:bookmarkEnd w:id="9"/>
      <w:r>
        <w:rPr>
          <w:rFonts w:hint="eastAsia" w:ascii="宋体" w:hAnsi="宋体" w:eastAsia="宋体" w:cs="宋体"/>
          <w:color w:val="auto"/>
          <w:sz w:val="28"/>
          <w:szCs w:val="28"/>
        </w:rPr>
        <w:t>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在矿山开采过程中，做到废石不乱堆放，合理有序堆放在废石堆放场；生活污水经处理达标后用于矿区道路降尘；生活垃圾定期拉运至沙湾市垃圾处理站处理；每年采集土壤样进行监测。</w:t>
      </w:r>
    </w:p>
    <w:p>
      <w:pPr>
        <w:numPr>
          <w:ilvl w:val="0"/>
          <w:numId w:val="2"/>
        </w:num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大气环境的预防、修复及监测：</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开采对大气污染程度较轻，开采期间严格按设计进行开采，定期对废料堆放场和矿山道路进行洒水降尘措施，减轻对大气的污染，每年对生活区、工业广场、露天采矿场、表土堆放场、废石堆放场及矿山道路进行大气监测。</w:t>
      </w:r>
    </w:p>
    <w:p>
      <w:pPr>
        <w:spacing w:line="560" w:lineRule="exact"/>
        <w:ind w:firstLine="562" w:firstLineChars="200"/>
        <w:jc w:val="both"/>
        <w:outlineLvl w:val="0"/>
        <w:rPr>
          <w:rFonts w:ascii="宋体" w:hAnsi="宋体" w:eastAsia="宋体" w:cs="宋体"/>
          <w:b/>
          <w:bCs/>
          <w:color w:val="auto"/>
          <w:sz w:val="28"/>
          <w:szCs w:val="28"/>
        </w:rPr>
      </w:pPr>
      <w:r>
        <w:rPr>
          <w:rFonts w:hint="eastAsia" w:ascii="宋体" w:hAnsi="宋体" w:eastAsia="宋体" w:cs="宋体"/>
          <w:b/>
          <w:bCs/>
          <w:color w:val="auto"/>
          <w:sz w:val="28"/>
          <w:szCs w:val="28"/>
        </w:rPr>
        <w:t>八、矿区土地复垦</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1、矿区土地利用现状</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区范围面积0.30平方千米，矿区范围内的土地利用现状类型为草地（天然牧草地）。本次规划矿山布局除矿山道路和生活区外全部位于矿区范围内，所占用的土地类型为草地（天然牧草地），土地权属为国有土地。矿山建设不涉及基本农田和林地，土地权属为国有。</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2、土地复垦区与复垦责任范围</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本方案土地复垦区面积为34.33公顷，包括规划露天采坑、规划矿山道路、规划工业广场、规划矿部生活区、规划废料堆放场、规划表土堆放场。最终确定本方案复垦责任范围为34.33公顷，土地复垦率100%。</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3、矿区土地适宜性评价</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方案复垦适宜性评价范围为复垦责任区，合计面积34.33公顷，包括规划露天采坑、规划矿山道路、规划工业广场、规划矿部生活区、规划废料堆放场、规划表土堆放场，确定损毁土地的复垦方向以恢复原功能为主，即复垦为草地（天然牧草地）。</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4、矿区水土资源平衡分析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（1）表土资源平衡分析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地表有一层厚度约1.6米的覆盖层，主要为砂土和少量砾石，土壤肥力低，矿山开采前对露天采场区域进行表土剥离工作，除矿部生活区和矿山道路以外其他矿建设施在露天采场内建设，压占物为砖混、彩钢、砂土及废石，对拟损毁露天采场、矿部生活区和矿山道路进行表土剥离，最终损毁面积34.33公顷，剥离表土厚度1.6米，剥离量约44.28万立方米。</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剥离的表土堆放于规划表土堆放场，表土堆放高度5米，分层堆放，堆积坡度不大于30º，表土堆放场容积约5.5万立方米，定期对表土场洒水降尘，表土全部用于复垦期露天采坑、矿部生活区和矿山道路地表覆土。</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由需土量分析和供土量分析可知，复垦区内需土量44.28万立方米，供土量44.28万立方米，可满足项目区复垦要求。</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（2）废石资源平衡分析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矿山服务年限6.69年产出22.77万立方米废石（实方），废石直接进行内排处理，对露天采坑进行筑坡和回填。</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闭坑后各地面设施拆除，规划工业广场、规划矿部生活区共计建筑面积3400平方米，拆除地表建筑，按每平方米拆除地表建筑0.5立方米计算，设施拆除方量约0.17万立方米，闭坑后全部拆除拉运至沙湾市建筑垃圾处理厂集中处理。</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矿山基建工程及矿山服务年限6.69年共产生废石体积22.77万立方米、拆除废弃物0.17万立方米。</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规划露天采坑总面积约33.33万平方米，平均开采深度14.6米，最终帮坡角≤45°，采场容积约341.37万立方米；全部回填需废石341.37万立方米。设计对露天采坑边坡进行筑坡，筑坡方量为12.52万立方米，剩余废石约10.25万立方米全部用于露天采坑回填。</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矿山基建、生产废石总量共计22.77万立方米，剥离表土44.28万立方米，复垦区内需方量341.37万立方米，需方大于有方，差方量</w:t>
      </w:r>
      <w:r>
        <w:rPr>
          <w:rFonts w:ascii="宋体" w:hAnsi="宋体" w:eastAsia="宋体" w:cs="宋体"/>
          <w:color w:val="auto"/>
          <w:sz w:val="28"/>
          <w:szCs w:val="28"/>
        </w:rPr>
        <w:t>274.32</w:t>
      </w:r>
      <w:r>
        <w:rPr>
          <w:rFonts w:hint="eastAsia" w:ascii="宋体" w:hAnsi="宋体" w:eastAsia="宋体" w:cs="宋体"/>
          <w:color w:val="auto"/>
          <w:sz w:val="28"/>
          <w:szCs w:val="28"/>
        </w:rPr>
        <w:t>万立方米。露天采坑原始边坡角度为45°，平均高度为14.6米，利用12.52万立方米废石对露天采坑边坡进行筑坡，使边坡角降为30°，其他废石内排时向采坑内部边缘合理堆排并压实，可有效减小边坡落差，基本与周边地形相协调。</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（3）水资源平衡分析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根据矿区自然、气象水文条件及复垦工程实施的可操作性，确定本项目土地复垦方向为天然牧草地，该区雨季降雨较多，复垦播撒草籽时节为雨季，可为草籽提供生长所需水分，因此不涉及灌溉工程。复垦过程中用水为生活用水及机械用水，复垦工程用水由沙湾市拉运，用水量较小。</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因此本项目土地复垦工程可实现水源供需平衡。</w:t>
      </w:r>
    </w:p>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5</w:t>
      </w:r>
      <w:r>
        <w:rPr>
          <w:rFonts w:hint="eastAsia" w:ascii="宋体" w:hAnsi="宋体" w:eastAsia="宋体" w:cs="宋体"/>
          <w:color w:val="auto"/>
          <w:sz w:val="28"/>
          <w:szCs w:val="28"/>
        </w:rPr>
        <w:t>、土地复垦工程措施</w:t>
      </w:r>
    </w:p>
    <w:p>
      <w:pPr>
        <w:spacing w:line="560" w:lineRule="exact"/>
        <w:ind w:firstLine="560" w:firstLineChars="200"/>
        <w:jc w:val="both"/>
        <w:rPr>
          <w:rFonts w:ascii="宋体" w:hAnsi="宋体" w:eastAsia="宋体" w:cs="宋体"/>
          <w:color w:val="auto"/>
          <w:sz w:val="28"/>
          <w:szCs w:val="28"/>
        </w:rPr>
      </w:pPr>
      <w:bookmarkStart w:id="10" w:name="_Hlk92294388"/>
      <w:r>
        <w:rPr>
          <w:rFonts w:hint="eastAsia" w:ascii="宋体" w:hAnsi="宋体" w:eastAsia="宋体" w:cs="宋体"/>
          <w:color w:val="auto"/>
          <w:sz w:val="28"/>
          <w:szCs w:val="28"/>
        </w:rPr>
        <w:t>本方案划分6个土地复垦单元，主要的复垦单元为规划露天采坑、规划矿山道路、规划工业广场、规划矿部生活区、规划废料堆放场、规划表土堆放场。各单元复垦方向均为草地（天然牧草地），土地复垦率为100%。</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主要复垦措施为拆除全部地表建筑设施，建筑拆除物拉运至沙湾市统一处理；利用废石对露天采坑进行内排筑坡，对全部复垦区域进行场地平整。复垦土地类型为草地（天然牧草地）。</w:t>
      </w:r>
    </w:p>
    <w:bookmarkEnd w:id="10"/>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6</w:t>
      </w:r>
      <w:r>
        <w:rPr>
          <w:rFonts w:hint="eastAsia" w:ascii="宋体" w:hAnsi="宋体" w:eastAsia="宋体" w:cs="宋体"/>
          <w:color w:val="auto"/>
          <w:sz w:val="28"/>
          <w:szCs w:val="28"/>
        </w:rPr>
        <w:t>、土地复垦监测</w:t>
      </w:r>
    </w:p>
    <w:p>
      <w:pPr>
        <w:spacing w:line="560" w:lineRule="exact"/>
        <w:ind w:firstLine="560" w:firstLineChars="200"/>
        <w:jc w:val="both"/>
        <w:rPr>
          <w:rFonts w:ascii="宋体" w:hAnsi="宋体" w:eastAsia="宋体" w:cs="宋体"/>
          <w:color w:val="auto"/>
          <w:sz w:val="28"/>
          <w:szCs w:val="28"/>
        </w:rPr>
      </w:pPr>
      <w:bookmarkStart w:id="11" w:name="_Hlk92295462"/>
      <w:r>
        <w:rPr>
          <w:rFonts w:hint="eastAsia" w:ascii="宋体" w:hAnsi="宋体" w:eastAsia="宋体" w:cs="宋体"/>
          <w:color w:val="auto"/>
          <w:sz w:val="28"/>
          <w:szCs w:val="28"/>
        </w:rPr>
        <w:t>各复垦单元分别设置1个监测点，包括规划露天采坑、规划矿山道路、规划工业广场、规划矿部生活区、规划废料堆放场、规划表土堆放场6个复垦单元，共6个监测点。主要进行土地损毁监测和复垦实施效果监测</w:t>
      </w:r>
      <w:bookmarkEnd w:id="11"/>
      <w:r>
        <w:rPr>
          <w:rFonts w:hint="eastAsia" w:ascii="宋体" w:hAnsi="宋体" w:eastAsia="宋体" w:cs="宋体"/>
          <w:color w:val="auto"/>
          <w:sz w:val="28"/>
          <w:szCs w:val="28"/>
        </w:rPr>
        <w:t>。</w:t>
      </w:r>
    </w:p>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7</w:t>
      </w:r>
      <w:r>
        <w:rPr>
          <w:rFonts w:hint="eastAsia" w:ascii="宋体" w:hAnsi="宋体" w:eastAsia="宋体" w:cs="宋体"/>
          <w:color w:val="auto"/>
          <w:sz w:val="28"/>
          <w:szCs w:val="28"/>
        </w:rPr>
        <w:t>、土地复垦实施年限</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矿山计划于2032年2月开采完毕，于2032年3月-2035年8月进行全面的土地复垦工作，矿山损毁土地类型为草地（天然牧草地），计划施工期为0.5年及复垦管护期3年，最终土地复垦实施年限为3年6个月。</w:t>
      </w:r>
    </w:p>
    <w:p>
      <w:pPr>
        <w:spacing w:line="560" w:lineRule="exact"/>
        <w:ind w:firstLine="560" w:firstLineChars="200"/>
        <w:jc w:val="both"/>
        <w:rPr>
          <w:rFonts w:ascii="宋体" w:hAnsi="宋体" w:eastAsia="宋体" w:cs="宋体"/>
          <w:color w:val="auto"/>
          <w:sz w:val="28"/>
          <w:szCs w:val="28"/>
        </w:rPr>
      </w:pPr>
      <w:r>
        <w:rPr>
          <w:rFonts w:ascii="宋体" w:hAnsi="宋体" w:eastAsia="宋体" w:cs="宋体"/>
          <w:color w:val="auto"/>
          <w:sz w:val="28"/>
          <w:szCs w:val="28"/>
        </w:rPr>
        <w:t>8</w:t>
      </w:r>
      <w:r>
        <w:rPr>
          <w:rFonts w:hint="eastAsia" w:ascii="宋体" w:hAnsi="宋体" w:eastAsia="宋体" w:cs="宋体"/>
          <w:color w:val="auto"/>
          <w:sz w:val="28"/>
          <w:szCs w:val="28"/>
        </w:rPr>
        <w:t>、土地复垦阶段工作安排</w:t>
      </w:r>
    </w:p>
    <w:p>
      <w:pPr>
        <w:spacing w:line="560" w:lineRule="exact"/>
        <w:ind w:firstLine="560" w:firstLineChars="200"/>
        <w:jc w:val="both"/>
        <w:rPr>
          <w:rFonts w:ascii="宋体" w:hAnsi="宋体" w:eastAsia="宋体" w:cs="宋体"/>
          <w:color w:val="auto"/>
          <w:sz w:val="28"/>
          <w:szCs w:val="28"/>
        </w:rPr>
      </w:pPr>
      <w:r>
        <w:rPr>
          <w:rFonts w:hint="eastAsia" w:ascii="宋体" w:hAnsi="宋体" w:eastAsia="宋体" w:cs="宋体"/>
          <w:color w:val="auto"/>
          <w:sz w:val="28"/>
          <w:szCs w:val="28"/>
        </w:rPr>
        <w:t>本矿山期建期1年，矿山服务年限为6.69年，复垦管护期3.5年，共10.19年。按照轻重缓急、分阶段实施的原则，将矿山土地复垦工作划分为近期（含基建期0.5年、生产期4.5年，2025年1月-2029年12月），中期2.19年（生产期，2030年1月-2032年2月），远期3.5年（复垦管护期3.5年，2032年3月-2035年8月）。</w:t>
      </w:r>
    </w:p>
    <w:p>
      <w:pPr>
        <w:spacing w:line="560" w:lineRule="exact"/>
        <w:ind w:firstLine="562" w:firstLineChars="200"/>
        <w:jc w:val="both"/>
        <w:outlineLvl w:val="0"/>
        <w:rPr>
          <w:rFonts w:ascii="宋体" w:hAnsi="宋体" w:eastAsia="宋体" w:cs="宋体"/>
          <w:b/>
          <w:bCs/>
          <w:color w:val="auto"/>
          <w:sz w:val="28"/>
          <w:szCs w:val="28"/>
        </w:rPr>
      </w:pPr>
      <w:r>
        <w:rPr>
          <w:rFonts w:hint="eastAsia" w:ascii="宋体" w:hAnsi="宋体" w:eastAsia="宋体" w:cs="宋体"/>
          <w:b/>
          <w:bCs/>
          <w:color w:val="auto"/>
          <w:sz w:val="28"/>
          <w:szCs w:val="28"/>
        </w:rPr>
        <w:t>九、技术经济指标</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该砂厂为自上而下水平分层露天采矿方式，采砂建设投资全部自筹。从上述经济分析可以看出，该项目总投资1368.87万元，正常生产后年净利润为</w:t>
      </w:r>
      <w:r>
        <w:rPr>
          <w:rFonts w:ascii="宋体" w:hAnsi="宋体" w:eastAsia="宋体" w:cs="宋体"/>
          <w:color w:val="auto"/>
          <w:sz w:val="28"/>
          <w:szCs w:val="28"/>
        </w:rPr>
        <w:t>545.06</w:t>
      </w:r>
      <w:r>
        <w:rPr>
          <w:rFonts w:hint="eastAsia" w:ascii="宋体" w:hAnsi="宋体" w:eastAsia="宋体" w:cs="宋体"/>
          <w:color w:val="auto"/>
          <w:sz w:val="28"/>
          <w:szCs w:val="28"/>
        </w:rPr>
        <w:t>万元，年上缴税金328.26万元，生产期年平均开采制造成本268.28万元，生产期年平均加工制造成本229.59万元，项目投资净利润率</w:t>
      </w:r>
      <w:r>
        <w:rPr>
          <w:rFonts w:ascii="宋体" w:hAnsi="宋体" w:eastAsia="宋体" w:cs="宋体"/>
          <w:color w:val="auto"/>
          <w:sz w:val="28"/>
          <w:szCs w:val="28"/>
        </w:rPr>
        <w:t>39.82%</w:t>
      </w:r>
      <w:r>
        <w:rPr>
          <w:rFonts w:hint="eastAsia" w:ascii="宋体" w:hAnsi="宋体" w:eastAsia="宋体" w:cs="宋体"/>
          <w:color w:val="auto"/>
          <w:sz w:val="28"/>
          <w:szCs w:val="28"/>
        </w:rPr>
        <w:t>，投资利税率</w:t>
      </w:r>
      <w:r>
        <w:rPr>
          <w:rFonts w:ascii="宋体" w:hAnsi="宋体" w:eastAsia="宋体" w:cs="宋体"/>
          <w:color w:val="auto"/>
          <w:sz w:val="28"/>
          <w:szCs w:val="28"/>
        </w:rPr>
        <w:t>51.66%</w:t>
      </w:r>
      <w:r>
        <w:rPr>
          <w:rFonts w:hint="eastAsia" w:ascii="宋体" w:hAnsi="宋体" w:eastAsia="宋体" w:cs="宋体"/>
          <w:color w:val="auto"/>
          <w:sz w:val="28"/>
          <w:szCs w:val="28"/>
        </w:rPr>
        <w:t>，投资回收期为2.51年。</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本方案矿山地质环境治理工程和土地复垦工程经费估算，矿山地质环境治理和土地复垦工程动态总投资为1111.20万元，静态总投资995.30万元。矿山地质环境治理静态总投资99.23万元，其中：工程施工费65.16万元，监测费19.78万元，其他费用9.57万元，预备费4.73万元；土地复垦工程静态总投资896.07万元，其中：工程施工费736.91万元，监测与管护费8.28万元，其他费用108.21万元，预备费42.67万元。</w:t>
      </w:r>
    </w:p>
    <w:p>
      <w:pPr>
        <w:spacing w:line="560" w:lineRule="exact"/>
        <w:ind w:firstLine="562" w:firstLineChars="200"/>
        <w:outlineLvl w:val="0"/>
        <w:rPr>
          <w:rFonts w:ascii="宋体" w:hAnsi="宋体" w:eastAsia="宋体" w:cs="宋体"/>
          <w:b/>
          <w:bCs/>
          <w:color w:val="auto"/>
          <w:sz w:val="28"/>
          <w:szCs w:val="28"/>
        </w:rPr>
      </w:pPr>
      <w:r>
        <w:rPr>
          <w:rFonts w:hint="eastAsia" w:ascii="宋体" w:hAnsi="宋体" w:eastAsia="宋体" w:cs="宋体"/>
          <w:b/>
          <w:bCs/>
          <w:color w:val="auto"/>
          <w:sz w:val="28"/>
          <w:szCs w:val="28"/>
        </w:rPr>
        <w:t>十、存在的问题及建议</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1、矿山在开采过程中，应设专门机构加强矿山地质环境监测，发现地质灾害迹象或地质环境问题应及时上报，有关部门应及时处理。</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2、矿山生产过程中，应严格执行国家现行的矿山安全生产规范、规程、规定和标准，确保矿山建设和生产的安全。</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3、加强矿山地质环境保护与土地复垦的管理及监督工作。</w:t>
      </w:r>
    </w:p>
    <w:p>
      <w:pPr>
        <w:spacing w:line="560" w:lineRule="exact"/>
        <w:ind w:firstLine="480"/>
        <w:rPr>
          <w:rFonts w:ascii="宋体" w:hAnsi="宋体" w:eastAsia="宋体" w:cs="宋体"/>
          <w:color w:val="auto"/>
          <w:sz w:val="28"/>
          <w:szCs w:val="28"/>
        </w:rPr>
      </w:pP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 xml:space="preserve">                                     评审专家组</w:t>
      </w:r>
    </w:p>
    <w:p>
      <w:pPr>
        <w:spacing w:line="560" w:lineRule="exact"/>
        <w:ind w:firstLine="480"/>
        <w:rPr>
          <w:rFonts w:ascii="宋体" w:hAnsi="宋体" w:eastAsia="宋体" w:cs="宋体"/>
          <w:color w:val="auto"/>
          <w:sz w:val="28"/>
          <w:szCs w:val="28"/>
        </w:rPr>
      </w:pPr>
      <w:r>
        <w:rPr>
          <w:rFonts w:hint="eastAsia" w:ascii="宋体" w:hAnsi="宋体" w:eastAsia="宋体" w:cs="宋体"/>
          <w:color w:val="auto"/>
          <w:sz w:val="28"/>
          <w:szCs w:val="28"/>
        </w:rPr>
        <w:t xml:space="preserve">                     </w:t>
      </w:r>
      <w:r>
        <w:rPr>
          <w:rFonts w:ascii="宋体" w:hAnsi="宋体" w:eastAsia="宋体" w:cs="宋体"/>
          <w:color w:val="auto"/>
          <w:sz w:val="28"/>
          <w:szCs w:val="28"/>
        </w:rPr>
        <w:t xml:space="preserve">                </w:t>
      </w:r>
      <w:r>
        <w:rPr>
          <w:rFonts w:hint="eastAsia" w:ascii="宋体" w:hAnsi="宋体" w:eastAsia="宋体" w:cs="宋体"/>
          <w:color w:val="auto"/>
          <w:sz w:val="28"/>
          <w:szCs w:val="28"/>
        </w:rPr>
        <w:t>2024.12.26</w:t>
      </w:r>
    </w:p>
    <w:p>
      <w:pPr>
        <w:rPr>
          <w:rFonts w:hint="eastAsia" w:eastAsiaTheme="minorEastAsia"/>
        </w:rPr>
      </w:pPr>
    </w:p>
    <w:p>
      <w:pPr>
        <w:pStyle w:val="2"/>
        <w:rPr>
          <w:rFonts w:hint="eastAsia" w:eastAsiaTheme="minorEastAsia"/>
        </w:rPr>
      </w:pPr>
    </w:p>
    <w:p>
      <w:pPr>
        <w:pStyle w:val="4"/>
        <w:rPr>
          <w:rFonts w:hint="eastAsia"/>
        </w:rPr>
      </w:pPr>
    </w:p>
    <w:p>
      <w:pPr>
        <w:rPr>
          <w:rFonts w:hint="eastAsia" w:eastAsiaTheme="minorEastAsia"/>
        </w:rPr>
      </w:pPr>
    </w:p>
    <w:p>
      <w:pPr>
        <w:pStyle w:val="2"/>
        <w:rPr>
          <w:rFonts w:hint="eastAsia" w:eastAsiaTheme="minorEastAsia"/>
        </w:rPr>
      </w:pPr>
    </w:p>
    <w:p>
      <w:pPr>
        <w:pStyle w:val="4"/>
        <w:rPr>
          <w:rFonts w:hint="eastAsia"/>
        </w:rPr>
      </w:pPr>
    </w:p>
    <w:p>
      <w:pPr>
        <w:rPr>
          <w:rFonts w:hint="eastAsia" w:eastAsiaTheme="minorEastAsia"/>
        </w:rPr>
      </w:pPr>
    </w:p>
    <w:p>
      <w:pPr>
        <w:pStyle w:val="2"/>
        <w:rPr>
          <w:rFonts w:hint="eastAsia" w:eastAsiaTheme="minorEastAsia"/>
        </w:rPr>
      </w:pPr>
    </w:p>
    <w:p>
      <w:pPr>
        <w:pStyle w:val="4"/>
        <w:rPr>
          <w:rFonts w:hint="eastAsia"/>
        </w:rPr>
      </w:pPr>
    </w:p>
    <w:p>
      <w:pPr>
        <w:rPr>
          <w:rFonts w:hint="eastAsia" w:eastAsiaTheme="minorEastAsia"/>
        </w:rPr>
      </w:pPr>
    </w:p>
    <w:p>
      <w:pPr>
        <w:pStyle w:val="2"/>
        <w:rPr>
          <w:rFonts w:eastAsiaTheme="minorEastAsia"/>
        </w:rPr>
      </w:pPr>
    </w:p>
    <w:p>
      <w:pPr>
        <w:pStyle w:val="4"/>
        <w:ind w:left="0" w:firstLine="0"/>
        <w:rPr>
          <w:rFonts w:hAnsi="宋体" w:cs="宋体"/>
          <w:color w:val="auto"/>
          <w:sz w:val="28"/>
          <w:szCs w:val="28"/>
        </w:rPr>
      </w:pPr>
      <w:r>
        <w:rPr>
          <w:rFonts w:hint="eastAsia" w:hAnsi="宋体" w:cs="宋体"/>
          <w:color w:val="auto"/>
          <w:sz w:val="28"/>
          <w:szCs w:val="28"/>
        </w:rPr>
        <w:t xml:space="preserve">   附：评审专家组名单</w:t>
      </w:r>
    </w:p>
    <w:p>
      <w:pPr>
        <w:spacing w:line="560" w:lineRule="exact"/>
        <w:jc w:val="center"/>
        <w:rPr>
          <w:rFonts w:ascii="宋体" w:hAnsi="宋体" w:eastAsia="宋体" w:cs="宋体"/>
          <w:b/>
          <w:bCs/>
          <w:color w:val="auto"/>
          <w:sz w:val="28"/>
          <w:szCs w:val="28"/>
        </w:rPr>
      </w:pPr>
      <w:r>
        <w:rPr>
          <w:rFonts w:hint="eastAsia" w:ascii="宋体" w:hAnsi="宋体" w:eastAsia="宋体" w:cs="宋体"/>
          <w:color w:val="auto"/>
          <w:sz w:val="28"/>
          <w:szCs w:val="28"/>
        </w:rPr>
        <w:t>《</w:t>
      </w:r>
      <w:r>
        <w:rPr>
          <w:rFonts w:hint="eastAsia" w:ascii="宋体" w:hAnsi="宋体" w:eastAsia="宋体" w:cs="宋体"/>
          <w:b/>
          <w:bCs/>
          <w:color w:val="auto"/>
          <w:sz w:val="28"/>
          <w:szCs w:val="28"/>
        </w:rPr>
        <w:t>石河子市鑫睿玮烨矿业有限公司沙湾分公司新疆沙湾市宁家河东侧2号建筑用砂石矿矿产资源开发利用与生态保护修复方案》</w:t>
      </w:r>
    </w:p>
    <w:p>
      <w:pPr>
        <w:spacing w:line="560" w:lineRule="exact"/>
        <w:jc w:val="center"/>
        <w:rPr>
          <w:rFonts w:ascii="宋体" w:hAnsi="宋体" w:eastAsia="宋体" w:cs="宋体"/>
          <w:b/>
          <w:bCs/>
          <w:color w:val="auto"/>
          <w:sz w:val="28"/>
          <w:szCs w:val="28"/>
        </w:rPr>
      </w:pPr>
      <w:r>
        <w:rPr>
          <w:rFonts w:hint="eastAsia" w:ascii="宋体" w:hAnsi="宋体" w:eastAsia="宋体" w:cs="宋体"/>
          <w:b/>
          <w:bCs/>
          <w:color w:val="auto"/>
          <w:sz w:val="28"/>
          <w:szCs w:val="28"/>
        </w:rPr>
        <w:t>评审专家组成员名单</w:t>
      </w:r>
    </w:p>
    <w:tbl>
      <w:tblPr>
        <w:tblStyle w:val="13"/>
        <w:tblW w:w="928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67"/>
        <w:gridCol w:w="2427"/>
        <w:gridCol w:w="1774"/>
        <w:gridCol w:w="1856"/>
        <w:gridCol w:w="185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姓名</w:t>
            </w:r>
          </w:p>
        </w:tc>
        <w:tc>
          <w:tcPr>
            <w:tcW w:w="242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单  位</w:t>
            </w:r>
          </w:p>
        </w:tc>
        <w:tc>
          <w:tcPr>
            <w:tcW w:w="1774"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专业</w:t>
            </w:r>
          </w:p>
        </w:tc>
        <w:tc>
          <w:tcPr>
            <w:tcW w:w="1856"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技术职称</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签名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张书林</w:t>
            </w:r>
          </w:p>
        </w:tc>
        <w:tc>
          <w:tcPr>
            <w:tcW w:w="242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新疆天地源矿业公司</w:t>
            </w:r>
          </w:p>
        </w:tc>
        <w:tc>
          <w:tcPr>
            <w:tcW w:w="1774"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采   矿</w:t>
            </w:r>
          </w:p>
        </w:tc>
        <w:tc>
          <w:tcPr>
            <w:tcW w:w="1856"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高级工程师</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drawing>
                <wp:inline distT="0" distB="0" distL="114300" distR="114300">
                  <wp:extent cx="1042035" cy="570230"/>
                  <wp:effectExtent l="0" t="0" r="5715" b="1270"/>
                  <wp:docPr id="4" name="图片 1" descr="d2fcb4e6f502ba747fb167e654c3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d2fcb4e6f502ba747fb167e654c3e14"/>
                          <pic:cNvPicPr>
                            <a:picLocks noChangeAspect="1"/>
                          </pic:cNvPicPr>
                        </pic:nvPicPr>
                        <pic:blipFill>
                          <a:blip r:embed="rId7" cstate="print"/>
                          <a:stretch>
                            <a:fillRect/>
                          </a:stretch>
                        </pic:blipFill>
                        <pic:spPr>
                          <a:xfrm>
                            <a:off x="0" y="0"/>
                            <a:ext cx="1042035" cy="570230"/>
                          </a:xfrm>
                          <a:prstGeom prst="rect">
                            <a:avLst/>
                          </a:prstGeom>
                        </pic:spPr>
                      </pic:pic>
                    </a:graphicData>
                  </a:graphic>
                </wp:inline>
              </w:drawing>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王  勇</w:t>
            </w:r>
          </w:p>
        </w:tc>
        <w:tc>
          <w:tcPr>
            <w:tcW w:w="2427" w:type="dxa"/>
            <w:vAlign w:val="center"/>
          </w:tcPr>
          <w:p>
            <w:pPr>
              <w:jc w:val="center"/>
              <w:rPr>
                <w:rFonts w:ascii="仿宋" w:hAnsi="仿宋" w:eastAsia="仿宋"/>
                <w:color w:val="FF0000"/>
              </w:rPr>
            </w:pPr>
            <w:r>
              <w:rPr>
                <w:rFonts w:hint="eastAsia" w:ascii="仿宋" w:hAnsi="仿宋" w:eastAsia="仿宋" w:cs="宋体"/>
                <w:color w:val="auto"/>
                <w:sz w:val="28"/>
                <w:szCs w:val="28"/>
              </w:rPr>
              <w:t>新疆地矿局第一水文地质大队</w:t>
            </w:r>
          </w:p>
        </w:tc>
        <w:tc>
          <w:tcPr>
            <w:tcW w:w="1774"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地   环</w:t>
            </w:r>
          </w:p>
        </w:tc>
        <w:tc>
          <w:tcPr>
            <w:tcW w:w="1856"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高级工程师</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drawing>
                <wp:inline distT="0" distB="0" distL="114300" distR="114300">
                  <wp:extent cx="990600" cy="666750"/>
                  <wp:effectExtent l="0" t="0" r="0" b="0"/>
                  <wp:docPr id="5" name="图片 2" descr="5ce7b0e609c78c654e6c36fa2bdf4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5ce7b0e609c78c654e6c36fa2bdf46a"/>
                          <pic:cNvPicPr>
                            <a:picLocks noChangeAspect="1"/>
                          </pic:cNvPicPr>
                        </pic:nvPicPr>
                        <pic:blipFill>
                          <a:blip r:embed="rId8" cstate="print"/>
                          <a:stretch>
                            <a:fillRect/>
                          </a:stretch>
                        </pic:blipFill>
                        <pic:spPr>
                          <a:xfrm>
                            <a:off x="0" y="0"/>
                            <a:ext cx="990600" cy="666750"/>
                          </a:xfrm>
                          <a:prstGeom prst="rect">
                            <a:avLst/>
                          </a:prstGeom>
                        </pic:spPr>
                      </pic:pic>
                    </a:graphicData>
                  </a:graphic>
                </wp:inline>
              </w:drawing>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atLeast"/>
          <w:jc w:val="center"/>
        </w:trPr>
        <w:tc>
          <w:tcPr>
            <w:tcW w:w="136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t>刘湘茹</w:t>
            </w:r>
          </w:p>
        </w:tc>
        <w:tc>
          <w:tcPr>
            <w:tcW w:w="2427" w:type="dxa"/>
            <w:vAlign w:val="center"/>
          </w:tcPr>
          <w:p>
            <w:pPr>
              <w:jc w:val="center"/>
              <w:rPr>
                <w:rFonts w:ascii="仿宋" w:hAnsi="仿宋" w:eastAsia="仿宋"/>
                <w:color w:val="FF0000"/>
              </w:rPr>
            </w:pPr>
            <w:r>
              <w:rPr>
                <w:rFonts w:hint="eastAsia" w:ascii="仿宋" w:hAnsi="仿宋" w:eastAsia="仿宋" w:cs="宋体"/>
                <w:color w:val="auto"/>
                <w:sz w:val="28"/>
                <w:szCs w:val="28"/>
              </w:rPr>
              <w:t>新疆国土综合整治中心</w:t>
            </w:r>
          </w:p>
        </w:tc>
        <w:tc>
          <w:tcPr>
            <w:tcW w:w="1774"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土   地</w:t>
            </w:r>
          </w:p>
        </w:tc>
        <w:tc>
          <w:tcPr>
            <w:tcW w:w="1856" w:type="dxa"/>
            <w:vAlign w:val="center"/>
          </w:tcPr>
          <w:p>
            <w:pPr>
              <w:jc w:val="center"/>
              <w:rPr>
                <w:rFonts w:ascii="仿宋" w:hAnsi="仿宋" w:eastAsia="仿宋" w:cs="宋体"/>
                <w:color w:val="FF0000"/>
                <w:sz w:val="28"/>
                <w:szCs w:val="28"/>
              </w:rPr>
            </w:pPr>
            <w:r>
              <w:rPr>
                <w:rFonts w:hint="eastAsia" w:ascii="仿宋" w:hAnsi="仿宋" w:eastAsia="仿宋" w:cs="宋体"/>
                <w:color w:val="auto"/>
                <w:sz w:val="28"/>
                <w:szCs w:val="28"/>
              </w:rPr>
              <w:t>高级工程师</w:t>
            </w:r>
          </w:p>
        </w:tc>
        <w:tc>
          <w:tcPr>
            <w:tcW w:w="1857" w:type="dxa"/>
            <w:vAlign w:val="center"/>
          </w:tcPr>
          <w:p>
            <w:pPr>
              <w:jc w:val="center"/>
              <w:rPr>
                <w:rFonts w:ascii="仿宋" w:hAnsi="仿宋" w:eastAsia="仿宋" w:cs="宋体"/>
                <w:color w:val="auto"/>
                <w:sz w:val="28"/>
                <w:szCs w:val="28"/>
              </w:rPr>
            </w:pPr>
            <w:r>
              <w:rPr>
                <w:rFonts w:hint="eastAsia" w:ascii="仿宋" w:hAnsi="仿宋" w:eastAsia="仿宋" w:cs="宋体"/>
                <w:color w:val="auto"/>
                <w:sz w:val="28"/>
                <w:szCs w:val="28"/>
              </w:rPr>
              <w:drawing>
                <wp:inline distT="0" distB="0" distL="114300" distR="114300">
                  <wp:extent cx="1041400" cy="465455"/>
                  <wp:effectExtent l="0" t="0" r="6350" b="10795"/>
                  <wp:docPr id="6" name="图片 3" descr="f4655015f3c4d7f642b6f3d0e6ab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f4655015f3c4d7f642b6f3d0e6ab877"/>
                          <pic:cNvPicPr>
                            <a:picLocks noChangeAspect="1"/>
                          </pic:cNvPicPr>
                        </pic:nvPicPr>
                        <pic:blipFill>
                          <a:blip r:embed="rId9" cstate="print"/>
                          <a:stretch>
                            <a:fillRect/>
                          </a:stretch>
                        </pic:blipFill>
                        <pic:spPr>
                          <a:xfrm>
                            <a:off x="0" y="0"/>
                            <a:ext cx="1041400" cy="465455"/>
                          </a:xfrm>
                          <a:prstGeom prst="rect">
                            <a:avLst/>
                          </a:prstGeom>
                        </pic:spPr>
                      </pic:pic>
                    </a:graphicData>
                  </a:graphic>
                </wp:inline>
              </w:drawing>
            </w:r>
          </w:p>
        </w:tc>
      </w:tr>
    </w:tbl>
    <w:p>
      <w:pPr>
        <w:spacing w:line="560" w:lineRule="exact"/>
        <w:ind w:firstLine="560" w:firstLineChars="200"/>
        <w:rPr>
          <w:rFonts w:ascii="宋体" w:hAnsi="宋体" w:eastAsia="宋体" w:cs="宋体"/>
          <w:color w:val="auto"/>
          <w:sz w:val="28"/>
          <w:szCs w:val="28"/>
        </w:rPr>
      </w:pPr>
    </w:p>
    <w:p>
      <w:pPr>
        <w:spacing w:line="560" w:lineRule="exact"/>
        <w:ind w:firstLine="560" w:firstLineChars="200"/>
        <w:rPr>
          <w:rFonts w:ascii="宋体" w:hAnsi="宋体" w:eastAsia="宋体" w:cs="宋体"/>
          <w:color w:val="FF0000"/>
          <w:sz w:val="28"/>
          <w:szCs w:val="28"/>
        </w:rPr>
      </w:pPr>
    </w:p>
    <w:p>
      <w:pPr>
        <w:spacing w:line="560" w:lineRule="exact"/>
        <w:ind w:firstLine="560" w:firstLineChars="200"/>
        <w:rPr>
          <w:rFonts w:ascii="宋体" w:hAnsi="宋体" w:eastAsia="宋体" w:cs="宋体"/>
          <w:color w:val="FF0000"/>
          <w:sz w:val="28"/>
          <w:szCs w:val="28"/>
        </w:rPr>
      </w:pPr>
    </w:p>
    <w:sectPr>
      <w:footerReference r:id="rId5" w:type="default"/>
      <w:pgSz w:w="11907" w:h="16839"/>
      <w:pgMar w:top="1421" w:right="1414" w:bottom="1341" w:left="1428" w:header="0" w:footer="114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Romana BT">
    <w:altName w:val="Times New Roman"/>
    <w:panose1 w:val="00000000000000000000"/>
    <w:charset w:val="00"/>
    <w:family w:val="roman"/>
    <w:pitch w:val="default"/>
    <w:sig w:usb0="00000000" w:usb1="00000000" w:usb2="00000000" w:usb3="00000000" w:csb0="00000011"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4098"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">
          <v:path/>
          <v:fill on="f" focussize="0,0"/>
          <v:stroke on="f" joinstyle="miter"/>
          <v:imagedata o:title=""/>
          <o:lock v:ext="edit"/>
          <v:textbox inset="0mm,0mm,0mm,0mm" style="mso-fit-shape-to-text:t;">
            <w:txbxContent>
              <w:p>
                <w:pPr>
                  <w:pStyle w:val="10"/>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szCs w:val="28"/>
      </w:rPr>
    </w:pPr>
    <w:r>
      <w:pict>
        <v:shape id="4099" o:spid="_x0000_s3074" o:spt="202" type="#_x0000_t202" style="position:absolute;left:0pt;margin-top:0pt;height:144pt;width:144pt;mso-position-horizontal:center;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Enlamil&#10;AQAASwMAAA4AAAAAAAAAAAAAAAAALgIAAGRycy9lMm9Eb2MueG1sUEsBAi0AFAAGAAgAAAAhAAxK&#10;8O7WAAAABQEAAA8AAAAAAAAAAAAAAAAA/wMAAGRycy9kb3ducmV2LnhtbFBLBQYAAAAABAAEAPMA&#10;AAACBQAAAAA=&#10;">
          <v:path/>
          <v:fill on="f" focussize="0,0"/>
          <v:stroke on="f" joinstyle="miter"/>
          <v:imagedata o:title=""/>
          <o:lock v:ext="edit"/>
          <v:textbox inset="0mm,0mm,0mm,0mm" style="mso-fit-shape-to-text:t;">
            <w:txbxContent>
              <w:p>
                <w:pPr>
                  <w:pStyle w:val="10"/>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64860"/>
      <w:docPartObj>
        <w:docPartGallery w:val="AutoText"/>
      </w:docPartObj>
    </w:sdtPr>
    <w:sdtContent>
      <w:p>
        <w:pPr>
          <w:pStyle w:val="10"/>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2FC98"/>
    <w:multiLevelType w:val="singleLevel"/>
    <w:tmpl w:val="8862FC98"/>
    <w:lvl w:ilvl="0" w:tentative="0">
      <w:start w:val="3"/>
      <w:numFmt w:val="decimal"/>
      <w:suff w:val="nothing"/>
      <w:lvlText w:val="（%1）"/>
      <w:lvlJc w:val="left"/>
    </w:lvl>
  </w:abstractNum>
  <w:abstractNum w:abstractNumId="1">
    <w:nsid w:val="51D96C64"/>
    <w:multiLevelType w:val="singleLevel"/>
    <w:tmpl w:val="51D96C6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0"/>
  <w:characterSpacingControl w:val="doNotCompress"/>
  <w:hdrShapeDefaults>
    <o:shapelayout v:ext="edit">
      <o:idmap v:ext="edit" data="2,3"/>
    </o:shapelayout>
  </w:hdrShapeDefaults>
  <w:compat>
    <w:spaceForUL/>
    <w:ulTrailSpace/>
    <w:useFELayout/>
    <w:compatSetting w:name="compatibilityMode" w:uri="http://schemas.microsoft.com/office/word" w:val="12"/>
  </w:compat>
  <w:docVars>
    <w:docVar w:name="commondata" w:val="eyJoZGlkIjoiM2NlNjIxZTdjOWRlMDhiODA2YjJiOGE2Njk0NjkwYzEifQ=="/>
  </w:docVars>
  <w:rsids>
    <w:rsidRoot w:val="00957750"/>
    <w:rsid w:val="00013953"/>
    <w:rsid w:val="00015BC9"/>
    <w:rsid w:val="000179BD"/>
    <w:rsid w:val="00035884"/>
    <w:rsid w:val="00035BD2"/>
    <w:rsid w:val="0004507B"/>
    <w:rsid w:val="000620AB"/>
    <w:rsid w:val="00083958"/>
    <w:rsid w:val="00095B56"/>
    <w:rsid w:val="000A185B"/>
    <w:rsid w:val="000A7304"/>
    <w:rsid w:val="000B22DF"/>
    <w:rsid w:val="000C6249"/>
    <w:rsid w:val="0011262E"/>
    <w:rsid w:val="00122F3C"/>
    <w:rsid w:val="001746D1"/>
    <w:rsid w:val="001945FD"/>
    <w:rsid w:val="001B7764"/>
    <w:rsid w:val="00224B13"/>
    <w:rsid w:val="00225241"/>
    <w:rsid w:val="002461E8"/>
    <w:rsid w:val="00254407"/>
    <w:rsid w:val="00274FDA"/>
    <w:rsid w:val="0028634F"/>
    <w:rsid w:val="002A2F6B"/>
    <w:rsid w:val="002A3617"/>
    <w:rsid w:val="002A5CE7"/>
    <w:rsid w:val="002A723F"/>
    <w:rsid w:val="002B4A6F"/>
    <w:rsid w:val="002D475A"/>
    <w:rsid w:val="002E4536"/>
    <w:rsid w:val="002E572C"/>
    <w:rsid w:val="00301E65"/>
    <w:rsid w:val="0032784C"/>
    <w:rsid w:val="00332241"/>
    <w:rsid w:val="0035261C"/>
    <w:rsid w:val="00355421"/>
    <w:rsid w:val="00367970"/>
    <w:rsid w:val="003700F1"/>
    <w:rsid w:val="003A5647"/>
    <w:rsid w:val="003B1D67"/>
    <w:rsid w:val="003B5586"/>
    <w:rsid w:val="003D0107"/>
    <w:rsid w:val="00406132"/>
    <w:rsid w:val="00421B20"/>
    <w:rsid w:val="00431D3D"/>
    <w:rsid w:val="004621CB"/>
    <w:rsid w:val="00465788"/>
    <w:rsid w:val="004C1975"/>
    <w:rsid w:val="004C21D1"/>
    <w:rsid w:val="004E0060"/>
    <w:rsid w:val="004F07E5"/>
    <w:rsid w:val="004F59D5"/>
    <w:rsid w:val="00514374"/>
    <w:rsid w:val="00520092"/>
    <w:rsid w:val="005324F9"/>
    <w:rsid w:val="00535DFC"/>
    <w:rsid w:val="00563A50"/>
    <w:rsid w:val="00572089"/>
    <w:rsid w:val="00577448"/>
    <w:rsid w:val="005A23D3"/>
    <w:rsid w:val="005C3F41"/>
    <w:rsid w:val="005E4520"/>
    <w:rsid w:val="005E49FE"/>
    <w:rsid w:val="005F67E5"/>
    <w:rsid w:val="005F71F2"/>
    <w:rsid w:val="00601954"/>
    <w:rsid w:val="00604B61"/>
    <w:rsid w:val="00654FB5"/>
    <w:rsid w:val="006740E0"/>
    <w:rsid w:val="00675AD6"/>
    <w:rsid w:val="00675F75"/>
    <w:rsid w:val="00690EC8"/>
    <w:rsid w:val="00694016"/>
    <w:rsid w:val="006C06EE"/>
    <w:rsid w:val="006C0D22"/>
    <w:rsid w:val="006D2DAF"/>
    <w:rsid w:val="006D69DD"/>
    <w:rsid w:val="006F1EB5"/>
    <w:rsid w:val="00704E95"/>
    <w:rsid w:val="007239CF"/>
    <w:rsid w:val="00723E1E"/>
    <w:rsid w:val="0075034C"/>
    <w:rsid w:val="00751F21"/>
    <w:rsid w:val="007601F6"/>
    <w:rsid w:val="0076495D"/>
    <w:rsid w:val="00782AC9"/>
    <w:rsid w:val="00785A55"/>
    <w:rsid w:val="007900B7"/>
    <w:rsid w:val="007A04E5"/>
    <w:rsid w:val="007B284D"/>
    <w:rsid w:val="007C0A91"/>
    <w:rsid w:val="007F3130"/>
    <w:rsid w:val="007F55FF"/>
    <w:rsid w:val="007F5651"/>
    <w:rsid w:val="00801117"/>
    <w:rsid w:val="00811921"/>
    <w:rsid w:val="008154BC"/>
    <w:rsid w:val="00832A28"/>
    <w:rsid w:val="008438E6"/>
    <w:rsid w:val="008444A6"/>
    <w:rsid w:val="00853767"/>
    <w:rsid w:val="008642B9"/>
    <w:rsid w:val="008B1EA8"/>
    <w:rsid w:val="008B2F4B"/>
    <w:rsid w:val="008C5FAD"/>
    <w:rsid w:val="008C6DCC"/>
    <w:rsid w:val="008D78B4"/>
    <w:rsid w:val="00925B98"/>
    <w:rsid w:val="00952508"/>
    <w:rsid w:val="00957750"/>
    <w:rsid w:val="009702CF"/>
    <w:rsid w:val="00970DFF"/>
    <w:rsid w:val="009846F2"/>
    <w:rsid w:val="009847A7"/>
    <w:rsid w:val="0099582A"/>
    <w:rsid w:val="009B0760"/>
    <w:rsid w:val="009B3970"/>
    <w:rsid w:val="009C2495"/>
    <w:rsid w:val="009C337E"/>
    <w:rsid w:val="009C7EFA"/>
    <w:rsid w:val="009D1654"/>
    <w:rsid w:val="00A02D88"/>
    <w:rsid w:val="00A3601F"/>
    <w:rsid w:val="00A622CA"/>
    <w:rsid w:val="00A66686"/>
    <w:rsid w:val="00A66B31"/>
    <w:rsid w:val="00A72F93"/>
    <w:rsid w:val="00A80B76"/>
    <w:rsid w:val="00A80B82"/>
    <w:rsid w:val="00A93B71"/>
    <w:rsid w:val="00AA0B5A"/>
    <w:rsid w:val="00AC42F9"/>
    <w:rsid w:val="00AC6A23"/>
    <w:rsid w:val="00AE07E1"/>
    <w:rsid w:val="00B044BC"/>
    <w:rsid w:val="00B05D99"/>
    <w:rsid w:val="00B11A34"/>
    <w:rsid w:val="00B16370"/>
    <w:rsid w:val="00B22F7B"/>
    <w:rsid w:val="00B31C4E"/>
    <w:rsid w:val="00B444ED"/>
    <w:rsid w:val="00B53102"/>
    <w:rsid w:val="00B56450"/>
    <w:rsid w:val="00B651BE"/>
    <w:rsid w:val="00B80794"/>
    <w:rsid w:val="00B8631D"/>
    <w:rsid w:val="00BA5139"/>
    <w:rsid w:val="00BB3D3D"/>
    <w:rsid w:val="00BD6CA7"/>
    <w:rsid w:val="00C549D1"/>
    <w:rsid w:val="00C6281A"/>
    <w:rsid w:val="00C70B7D"/>
    <w:rsid w:val="00C713DF"/>
    <w:rsid w:val="00C77BA7"/>
    <w:rsid w:val="00C8105D"/>
    <w:rsid w:val="00C811D6"/>
    <w:rsid w:val="00C838E8"/>
    <w:rsid w:val="00C84CED"/>
    <w:rsid w:val="00CD25F9"/>
    <w:rsid w:val="00CD7A83"/>
    <w:rsid w:val="00CF2932"/>
    <w:rsid w:val="00D04565"/>
    <w:rsid w:val="00D05A6D"/>
    <w:rsid w:val="00D200BD"/>
    <w:rsid w:val="00D2527F"/>
    <w:rsid w:val="00D30F14"/>
    <w:rsid w:val="00D34FC2"/>
    <w:rsid w:val="00D43468"/>
    <w:rsid w:val="00D5210F"/>
    <w:rsid w:val="00D750E4"/>
    <w:rsid w:val="00D80281"/>
    <w:rsid w:val="00D843F0"/>
    <w:rsid w:val="00D91D48"/>
    <w:rsid w:val="00DA3433"/>
    <w:rsid w:val="00E07A21"/>
    <w:rsid w:val="00E21810"/>
    <w:rsid w:val="00E251A3"/>
    <w:rsid w:val="00E26044"/>
    <w:rsid w:val="00E41D66"/>
    <w:rsid w:val="00E505D2"/>
    <w:rsid w:val="00E62F24"/>
    <w:rsid w:val="00E675F8"/>
    <w:rsid w:val="00E95B73"/>
    <w:rsid w:val="00E96CC1"/>
    <w:rsid w:val="00EB2D09"/>
    <w:rsid w:val="00EC43D6"/>
    <w:rsid w:val="00EC4E30"/>
    <w:rsid w:val="00ED2CA2"/>
    <w:rsid w:val="00ED66C1"/>
    <w:rsid w:val="00EE470D"/>
    <w:rsid w:val="00EE5E19"/>
    <w:rsid w:val="00EE7C9D"/>
    <w:rsid w:val="00EF6AB5"/>
    <w:rsid w:val="00F00C05"/>
    <w:rsid w:val="00F11274"/>
    <w:rsid w:val="00F17740"/>
    <w:rsid w:val="00F26745"/>
    <w:rsid w:val="00F27D75"/>
    <w:rsid w:val="00F3259E"/>
    <w:rsid w:val="00F545E4"/>
    <w:rsid w:val="00F72D2C"/>
    <w:rsid w:val="00F82AD1"/>
    <w:rsid w:val="00FB0E9A"/>
    <w:rsid w:val="00FB6D6A"/>
    <w:rsid w:val="00FE6907"/>
    <w:rsid w:val="00FF44BB"/>
    <w:rsid w:val="00FF5C71"/>
    <w:rsid w:val="01D96573"/>
    <w:rsid w:val="03830784"/>
    <w:rsid w:val="038928AB"/>
    <w:rsid w:val="04F9561C"/>
    <w:rsid w:val="053C1616"/>
    <w:rsid w:val="05AC7F84"/>
    <w:rsid w:val="07796682"/>
    <w:rsid w:val="07A910C8"/>
    <w:rsid w:val="08F52B8D"/>
    <w:rsid w:val="09855771"/>
    <w:rsid w:val="0A422713"/>
    <w:rsid w:val="0CFC44C4"/>
    <w:rsid w:val="0D5768DC"/>
    <w:rsid w:val="100930F8"/>
    <w:rsid w:val="10626E84"/>
    <w:rsid w:val="10F05EA7"/>
    <w:rsid w:val="11D87F8D"/>
    <w:rsid w:val="12415A67"/>
    <w:rsid w:val="12D316A1"/>
    <w:rsid w:val="15D338D5"/>
    <w:rsid w:val="160F750C"/>
    <w:rsid w:val="171E0622"/>
    <w:rsid w:val="18B740DA"/>
    <w:rsid w:val="19D733EF"/>
    <w:rsid w:val="1AAD6142"/>
    <w:rsid w:val="1B49150C"/>
    <w:rsid w:val="1B9B6AD5"/>
    <w:rsid w:val="1C4241E2"/>
    <w:rsid w:val="1F1C07F8"/>
    <w:rsid w:val="1FC64343"/>
    <w:rsid w:val="23FC103A"/>
    <w:rsid w:val="246758CC"/>
    <w:rsid w:val="24F20FFA"/>
    <w:rsid w:val="25535E50"/>
    <w:rsid w:val="28A864EB"/>
    <w:rsid w:val="29E057D9"/>
    <w:rsid w:val="2A21195C"/>
    <w:rsid w:val="2BA41A02"/>
    <w:rsid w:val="2CB573F1"/>
    <w:rsid w:val="2CBE5B06"/>
    <w:rsid w:val="2DFF7816"/>
    <w:rsid w:val="2E4D63C7"/>
    <w:rsid w:val="2FE50586"/>
    <w:rsid w:val="317E6691"/>
    <w:rsid w:val="37313B18"/>
    <w:rsid w:val="37E34E12"/>
    <w:rsid w:val="392E4F96"/>
    <w:rsid w:val="39A00A71"/>
    <w:rsid w:val="3ADC09AF"/>
    <w:rsid w:val="3E014C10"/>
    <w:rsid w:val="42514F93"/>
    <w:rsid w:val="426F3D67"/>
    <w:rsid w:val="4385580A"/>
    <w:rsid w:val="46C17060"/>
    <w:rsid w:val="470B7EE1"/>
    <w:rsid w:val="4854681D"/>
    <w:rsid w:val="48C55FA1"/>
    <w:rsid w:val="492D4C32"/>
    <w:rsid w:val="4B692A49"/>
    <w:rsid w:val="4BCE14DD"/>
    <w:rsid w:val="4E9C3BCC"/>
    <w:rsid w:val="5175093F"/>
    <w:rsid w:val="52955DB2"/>
    <w:rsid w:val="53227B62"/>
    <w:rsid w:val="532C5467"/>
    <w:rsid w:val="53727255"/>
    <w:rsid w:val="54D71BBA"/>
    <w:rsid w:val="565D7311"/>
    <w:rsid w:val="565F5B54"/>
    <w:rsid w:val="56703650"/>
    <w:rsid w:val="56F41AB1"/>
    <w:rsid w:val="56F73048"/>
    <w:rsid w:val="5800606F"/>
    <w:rsid w:val="583E407C"/>
    <w:rsid w:val="58C12AF6"/>
    <w:rsid w:val="596C4444"/>
    <w:rsid w:val="5AD74D4A"/>
    <w:rsid w:val="5C4B16AE"/>
    <w:rsid w:val="5C5063E5"/>
    <w:rsid w:val="5D9D4B42"/>
    <w:rsid w:val="5FE13A7D"/>
    <w:rsid w:val="5FF84015"/>
    <w:rsid w:val="611903EC"/>
    <w:rsid w:val="667567C4"/>
    <w:rsid w:val="6A0223C1"/>
    <w:rsid w:val="6AF117B2"/>
    <w:rsid w:val="6B435E9E"/>
    <w:rsid w:val="6C4D4548"/>
    <w:rsid w:val="6CDD2885"/>
    <w:rsid w:val="6ECE07C5"/>
    <w:rsid w:val="70B03CA9"/>
    <w:rsid w:val="720B16BC"/>
    <w:rsid w:val="73FC2230"/>
    <w:rsid w:val="74D41334"/>
    <w:rsid w:val="76F16BB5"/>
    <w:rsid w:val="7ADE3737"/>
    <w:rsid w:val="7C111B3F"/>
    <w:rsid w:val="7CA57EB5"/>
    <w:rsid w:val="7CB15915"/>
    <w:rsid w:val="7F5C4D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5">
    <w:name w:val="heading 3"/>
    <w:basedOn w:val="1"/>
    <w:next w:val="1"/>
    <w:link w:val="21"/>
    <w:unhideWhenUsed/>
    <w:qFormat/>
    <w:uiPriority w:val="0"/>
    <w:pPr>
      <w:keepNext/>
      <w:keepLines/>
      <w:widowControl w:val="0"/>
      <w:kinsoku/>
      <w:autoSpaceDE/>
      <w:autoSpaceDN/>
      <w:adjustRightInd/>
      <w:snapToGrid/>
      <w:spacing w:beforeLines="50" w:afterLines="50" w:line="500" w:lineRule="exact"/>
      <w:ind w:firstLine="561" w:firstLineChars="200"/>
      <w:jc w:val="both"/>
      <w:textAlignment w:val="auto"/>
      <w:outlineLvl w:val="2"/>
    </w:pPr>
    <w:rPr>
      <w:rFonts w:ascii="Times New Roman" w:hAnsi="Times New Roman" w:eastAsia="宋体" w:cs="Times New Roman"/>
      <w:b/>
      <w:bCs/>
      <w:snapToGrid/>
      <w:color w:val="auto"/>
      <w:kern w:val="2"/>
      <w:sz w:val="28"/>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99"/>
    <w:pPr>
      <w:spacing w:after="120" w:line="240" w:lineRule="auto"/>
      <w:ind w:left="420" w:leftChars="200"/>
    </w:pPr>
    <w:rPr>
      <w:sz w:val="21"/>
    </w:rPr>
  </w:style>
  <w:style w:type="paragraph" w:styleId="3">
    <w:name w:val="Body Text Indent"/>
    <w:basedOn w:val="1"/>
    <w:qFormat/>
    <w:uiPriority w:val="99"/>
    <w:pPr>
      <w:spacing w:line="500" w:lineRule="exact"/>
      <w:ind w:firstLine="420" w:firstLineChars="200"/>
    </w:pPr>
    <w:rPr>
      <w:sz w:val="32"/>
      <w:szCs w:val="20"/>
    </w:rPr>
  </w:style>
  <w:style w:type="paragraph" w:styleId="4">
    <w:name w:val="List Continue 4"/>
    <w:basedOn w:val="1"/>
    <w:next w:val="1"/>
    <w:qFormat/>
    <w:uiPriority w:val="0"/>
    <w:pPr>
      <w:widowControl w:val="0"/>
      <w:autoSpaceDE/>
      <w:autoSpaceDN/>
      <w:spacing w:after="120" w:line="360" w:lineRule="auto"/>
      <w:ind w:left="1680" w:firstLine="480"/>
      <w:jc w:val="both"/>
    </w:pPr>
    <w:rPr>
      <w:rFonts w:ascii="宋体" w:eastAsia="宋体"/>
      <w:sz w:val="24"/>
    </w:r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Document Map"/>
    <w:basedOn w:val="1"/>
    <w:link w:val="22"/>
    <w:qFormat/>
    <w:uiPriority w:val="0"/>
    <w:rPr>
      <w:rFonts w:ascii="宋体" w:eastAsia="宋体"/>
      <w:sz w:val="18"/>
      <w:szCs w:val="18"/>
    </w:rPr>
  </w:style>
  <w:style w:type="paragraph" w:styleId="8">
    <w:name w:val="Body Text"/>
    <w:basedOn w:val="1"/>
    <w:link w:val="20"/>
    <w:qFormat/>
    <w:uiPriority w:val="0"/>
    <w:pPr>
      <w:spacing w:after="120"/>
    </w:pPr>
  </w:style>
  <w:style w:type="paragraph" w:styleId="9">
    <w:name w:val="Balloon Text"/>
    <w:basedOn w:val="1"/>
    <w:link w:val="19"/>
    <w:qFormat/>
    <w:uiPriority w:val="0"/>
    <w:rPr>
      <w:sz w:val="18"/>
      <w:szCs w:val="18"/>
    </w:rPr>
  </w:style>
  <w:style w:type="paragraph" w:styleId="10">
    <w:name w:val="footer"/>
    <w:basedOn w:val="1"/>
    <w:link w:val="17"/>
    <w:qFormat/>
    <w:uiPriority w:val="99"/>
    <w:pPr>
      <w:tabs>
        <w:tab w:val="center" w:pos="4153"/>
        <w:tab w:val="right" w:pos="8306"/>
      </w:tabs>
    </w:pPr>
    <w:rPr>
      <w:sz w:val="18"/>
      <w:szCs w:val="18"/>
    </w:rPr>
  </w:style>
  <w:style w:type="paragraph" w:styleId="11">
    <w:name w:val="header"/>
    <w:basedOn w:val="1"/>
    <w:link w:val="16"/>
    <w:qFormat/>
    <w:uiPriority w:val="0"/>
    <w:pPr>
      <w:pBdr>
        <w:bottom w:val="single" w:color="auto" w:sz="6" w:space="1"/>
      </w:pBdr>
      <w:tabs>
        <w:tab w:val="center" w:pos="4153"/>
        <w:tab w:val="right" w:pos="8306"/>
      </w:tabs>
      <w:jc w:val="center"/>
    </w:pPr>
    <w:rPr>
      <w:sz w:val="18"/>
      <w:szCs w:val="18"/>
    </w:rPr>
  </w:style>
  <w:style w:type="table" w:styleId="13">
    <w:name w:val="Table Grid"/>
    <w:basedOn w:val="12"/>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15">
    <w:name w:val="Table Normal"/>
    <w:qFormat/>
    <w:uiPriority w:val="0"/>
    <w:tblPr>
      <w:tblCellMar>
        <w:top w:w="0" w:type="dxa"/>
        <w:left w:w="0" w:type="dxa"/>
        <w:bottom w:w="0" w:type="dxa"/>
        <w:right w:w="0" w:type="dxa"/>
      </w:tblCellMar>
    </w:tblPr>
  </w:style>
  <w:style w:type="character" w:customStyle="1" w:styleId="16">
    <w:name w:val="页眉 Char"/>
    <w:basedOn w:val="14"/>
    <w:link w:val="11"/>
    <w:qFormat/>
    <w:uiPriority w:val="0"/>
    <w:rPr>
      <w:rFonts w:eastAsia="Arial"/>
      <w:snapToGrid w:val="0"/>
      <w:color w:val="000000"/>
      <w:sz w:val="18"/>
      <w:szCs w:val="18"/>
    </w:rPr>
  </w:style>
  <w:style w:type="character" w:customStyle="1" w:styleId="17">
    <w:name w:val="页脚 Char"/>
    <w:basedOn w:val="14"/>
    <w:link w:val="10"/>
    <w:qFormat/>
    <w:uiPriority w:val="99"/>
    <w:rPr>
      <w:rFonts w:eastAsia="Arial"/>
      <w:snapToGrid w:val="0"/>
      <w:color w:val="000000"/>
      <w:sz w:val="18"/>
      <w:szCs w:val="18"/>
    </w:rPr>
  </w:style>
  <w:style w:type="paragraph" w:styleId="18">
    <w:name w:val="List Paragraph"/>
    <w:basedOn w:val="1"/>
    <w:qFormat/>
    <w:uiPriority w:val="99"/>
    <w:pPr>
      <w:ind w:firstLine="420" w:firstLineChars="200"/>
    </w:pPr>
  </w:style>
  <w:style w:type="character" w:customStyle="1" w:styleId="19">
    <w:name w:val="批注框文本 Char"/>
    <w:basedOn w:val="14"/>
    <w:link w:val="9"/>
    <w:qFormat/>
    <w:uiPriority w:val="0"/>
    <w:rPr>
      <w:rFonts w:eastAsia="Arial"/>
      <w:snapToGrid w:val="0"/>
      <w:color w:val="000000"/>
      <w:sz w:val="18"/>
      <w:szCs w:val="18"/>
    </w:rPr>
  </w:style>
  <w:style w:type="character" w:customStyle="1" w:styleId="20">
    <w:name w:val="正文文本 Char"/>
    <w:basedOn w:val="14"/>
    <w:link w:val="8"/>
    <w:qFormat/>
    <w:uiPriority w:val="0"/>
    <w:rPr>
      <w:rFonts w:eastAsia="Arial"/>
      <w:snapToGrid w:val="0"/>
      <w:color w:val="000000"/>
      <w:sz w:val="21"/>
      <w:szCs w:val="21"/>
    </w:rPr>
  </w:style>
  <w:style w:type="character" w:customStyle="1" w:styleId="21">
    <w:name w:val="标题 3 Char"/>
    <w:basedOn w:val="14"/>
    <w:link w:val="5"/>
    <w:qFormat/>
    <w:uiPriority w:val="0"/>
    <w:rPr>
      <w:rFonts w:ascii="Times New Roman" w:hAnsi="Times New Roman" w:cs="Times New Roman"/>
      <w:b/>
      <w:bCs/>
      <w:kern w:val="2"/>
      <w:sz w:val="28"/>
      <w:szCs w:val="32"/>
    </w:rPr>
  </w:style>
  <w:style w:type="character" w:customStyle="1" w:styleId="22">
    <w:name w:val="文档结构图 Char"/>
    <w:basedOn w:val="14"/>
    <w:link w:val="7"/>
    <w:qFormat/>
    <w:uiPriority w:val="0"/>
    <w:rPr>
      <w:rFonts w:ascii="宋体"/>
      <w:snapToGrid w:val="0"/>
      <w:color w:val="000000"/>
      <w:sz w:val="18"/>
      <w:szCs w:val="18"/>
    </w:rPr>
  </w:style>
  <w:style w:type="paragraph" w:customStyle="1" w:styleId="23">
    <w:name w:val="目录 11"/>
    <w:basedOn w:val="1"/>
    <w:next w:val="1"/>
    <w:qFormat/>
    <w:uiPriority w:val="39"/>
    <w:pPr>
      <w:spacing w:before="120" w:after="120"/>
    </w:pPr>
    <w:rPr>
      <w:rFonts w:ascii="Romana BT" w:hAnsi="Romana BT" w:eastAsia="Romana BT" w:cs="Romana BT"/>
      <w:b/>
      <w:bCs/>
      <w:caps/>
      <w:sz w:val="20"/>
      <w:szCs w:val="20"/>
    </w:rPr>
  </w:style>
  <w:style w:type="paragraph" w:customStyle="1" w:styleId="24">
    <w:name w:val="样式66"/>
    <w:basedOn w:val="1"/>
    <w:qFormat/>
    <w:uiPriority w:val="0"/>
    <w:pPr>
      <w:ind w:firstLine="560" w:firstLineChars="200"/>
    </w:pPr>
    <w:rPr>
      <w:rFonts w:ascii="Romana BT" w:hAnsi="Romana BT" w:eastAsia="Romana BT" w:cs="Romana BT"/>
      <w:sz w:val="28"/>
      <w:szCs w:val="24"/>
    </w:rPr>
  </w:style>
  <w:style w:type="paragraph" w:customStyle="1" w:styleId="25">
    <w:name w:val="样式 左侧:  0 厘米 首行缩进:  0.85 厘米"/>
    <w:basedOn w:val="1"/>
    <w:qFormat/>
    <w:uiPriority w:val="0"/>
    <w:pPr>
      <w:widowControl w:val="0"/>
      <w:kinsoku/>
      <w:autoSpaceDE/>
      <w:autoSpaceDN/>
      <w:adjustRightInd/>
      <w:snapToGrid/>
      <w:ind w:firstLine="480"/>
      <w:jc w:val="both"/>
      <w:textAlignment w:val="auto"/>
    </w:pPr>
    <w:rPr>
      <w:rFonts w:ascii="Romana BT" w:hAnsi="Romana BT" w:eastAsia="Courier New" w:cs="Romana BT"/>
      <w:snapToGrid/>
      <w:color w:val="auto"/>
      <w:kern w:val="2"/>
      <w:sz w:val="24"/>
      <w:szCs w:val="20"/>
    </w:rPr>
  </w:style>
  <w:style w:type="paragraph" w:customStyle="1" w:styleId="26">
    <w:name w:val="表格"/>
    <w:basedOn w:val="1"/>
    <w:next w:val="1"/>
    <w:link w:val="27"/>
    <w:qFormat/>
    <w:uiPriority w:val="0"/>
    <w:pPr>
      <w:widowControl w:val="0"/>
      <w:kinsoku/>
      <w:autoSpaceDE/>
      <w:autoSpaceDN/>
      <w:adjustRightInd/>
      <w:jc w:val="center"/>
      <w:textAlignment w:val="auto"/>
    </w:pPr>
    <w:rPr>
      <w:rFonts w:ascii="Times New Roman" w:hAnsi="Times New Roman" w:eastAsia="宋体" w:cs="Times New Roman"/>
      <w:snapToGrid/>
      <w:color w:val="auto"/>
    </w:rPr>
  </w:style>
  <w:style w:type="character" w:customStyle="1" w:styleId="27">
    <w:name w:val="表格 字符"/>
    <w:basedOn w:val="14"/>
    <w:link w:val="26"/>
    <w:qFormat/>
    <w:uiPriority w:val="0"/>
    <w:rPr>
      <w:rFonts w:ascii="Times New Roman" w:hAnsi="Times New Roman" w:cs="Times New Roman"/>
      <w:sz w:val="21"/>
      <w:szCs w:val="21"/>
    </w:rPr>
  </w:style>
  <w:style w:type="paragraph" w:customStyle="1" w:styleId="28">
    <w:name w:val="Char"/>
    <w:basedOn w:val="1"/>
    <w:qFormat/>
    <w:uiPriority w:val="0"/>
    <w:pPr>
      <w:jc w:val="both"/>
    </w:pPr>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307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EBFEE7-A0E1-4DF5-83B9-23854480925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983</Words>
  <Characters>5607</Characters>
  <Lines>46</Lines>
  <Paragraphs>13</Paragraphs>
  <TotalTime>71</TotalTime>
  <ScaleCrop>false</ScaleCrop>
  <LinksUpToDate>false</LinksUpToDate>
  <CharactersWithSpaces>6577</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2024-05-14T04:07:00Z</dcterms:created>
  <dc:creator>游明华(办公室)</dc:creator>
  <cp:lastModifiedBy>Administrator</cp:lastModifiedBy>
  <dcterms:modified xsi:type="dcterms:W3CDTF">2026-09-02T03:26:58Z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2021-12-30T19:57:07Z</vt:filetime>
  </property>
  <property fmtid="{D5CDD505-2E9C-101B-9397-08002B2CF9AE}" pid="4" name="KSOProductBuildVer">
    <vt:lpwstr>2052-11.8.2.12118</vt:lpwstr>
  </property>
  <property fmtid="{D5CDD505-2E9C-101B-9397-08002B2CF9AE}" pid="5" name="ICV">
    <vt:lpwstr>279DF30D593747C69DB2802403CA439F</vt:lpwstr>
  </property>
</Properties>
</file>