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b/>
          <w:sz w:val="44"/>
          <w:szCs w:val="44"/>
        </w:rPr>
      </w:pPr>
    </w:p>
    <w:p>
      <w:pPr>
        <w:pStyle w:val="2"/>
        <w:outlineLvl w:val="9"/>
        <w:rPr>
          <w:rFonts w:hint="eastAsia"/>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sz w:val="72"/>
          <w:szCs w:val="72"/>
        </w:rPr>
      </w:pPr>
    </w:p>
    <w:p>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hint="eastAsia" w:ascii="宋体" w:hAnsi="宋体"/>
          <w:b/>
          <w:color w:val="auto"/>
          <w:sz w:val="72"/>
          <w:szCs w:val="72"/>
        </w:rPr>
      </w:pPr>
      <w:r>
        <w:rPr>
          <w:rFonts w:hint="eastAsia" w:ascii="宋体" w:hAnsi="宋体"/>
          <w:b/>
          <w:color w:val="auto"/>
          <w:sz w:val="72"/>
          <w:szCs w:val="72"/>
        </w:rPr>
        <w:t>新疆维吾尔自治区</w:t>
      </w:r>
      <w:r>
        <w:rPr>
          <w:rFonts w:hint="eastAsia" w:ascii="宋体" w:hAnsi="宋体"/>
          <w:b/>
          <w:color w:val="auto"/>
          <w:sz w:val="72"/>
          <w:szCs w:val="72"/>
          <w:lang w:val="en-US" w:eastAsia="zh-CN"/>
        </w:rPr>
        <w:t>塔城地区沙湾</w:t>
      </w:r>
      <w:r>
        <w:rPr>
          <w:rFonts w:hint="eastAsia" w:ascii="宋体" w:hAnsi="宋体"/>
          <w:b/>
          <w:color w:val="auto"/>
          <w:sz w:val="72"/>
          <w:szCs w:val="72"/>
        </w:rPr>
        <w:t>市矿产资源</w:t>
      </w:r>
      <w:r>
        <w:rPr>
          <w:rFonts w:hint="eastAsia" w:ascii="宋体" w:hAnsi="宋体"/>
          <w:b/>
          <w:color w:val="auto"/>
          <w:sz w:val="72"/>
          <w:szCs w:val="72"/>
          <w:lang w:eastAsia="zh-CN"/>
        </w:rPr>
        <w:t>总体</w:t>
      </w:r>
      <w:r>
        <w:rPr>
          <w:rFonts w:hint="eastAsia" w:ascii="宋体" w:hAnsi="宋体"/>
          <w:b/>
          <w:color w:val="auto"/>
          <w:sz w:val="72"/>
          <w:szCs w:val="72"/>
        </w:rPr>
        <w:t>规划</w:t>
      </w:r>
    </w:p>
    <w:p>
      <w:pPr>
        <w:spacing w:line="360" w:lineRule="auto"/>
        <w:ind w:firstLine="964" w:firstLineChars="200"/>
        <w:jc w:val="center"/>
        <w:rPr>
          <w:rFonts w:hint="eastAsia" w:ascii="宋体" w:hAnsi="宋体"/>
          <w:b/>
          <w:sz w:val="48"/>
          <w:szCs w:val="48"/>
        </w:rPr>
      </w:pPr>
      <w:r>
        <w:rPr>
          <w:rFonts w:hint="eastAsia" w:ascii="宋体" w:hAnsi="宋体"/>
          <w:b/>
          <w:sz w:val="48"/>
          <w:szCs w:val="48"/>
        </w:rPr>
        <w:t>（2021-2025年）</w:t>
      </w:r>
    </w:p>
    <w:p>
      <w:pPr>
        <w:jc w:val="center"/>
        <w:rPr>
          <w:rFonts w:hint="eastAsia" w:ascii="宋体" w:hAnsi="宋体"/>
          <w:b/>
          <w:bCs/>
          <w:color w:val="000000"/>
          <w:sz w:val="36"/>
        </w:rPr>
      </w:pPr>
    </w:p>
    <w:p>
      <w:pPr>
        <w:spacing w:line="360" w:lineRule="auto"/>
        <w:jc w:val="center"/>
        <w:rPr>
          <w:rFonts w:hint="eastAsia" w:ascii="宋体" w:hAnsi="宋体"/>
          <w:color w:val="000000"/>
          <w:sz w:val="28"/>
          <w:szCs w:val="28"/>
        </w:rPr>
      </w:pPr>
    </w:p>
    <w:p>
      <w:pPr>
        <w:spacing w:line="360" w:lineRule="auto"/>
        <w:jc w:val="center"/>
        <w:rPr>
          <w:rFonts w:hint="eastAsia" w:ascii="宋体" w:hAnsi="宋体"/>
          <w:color w:val="000000"/>
          <w:sz w:val="28"/>
          <w:szCs w:val="28"/>
        </w:rPr>
      </w:pPr>
    </w:p>
    <w:p>
      <w:pPr>
        <w:spacing w:line="360" w:lineRule="auto"/>
        <w:jc w:val="center"/>
        <w:rPr>
          <w:rFonts w:hint="eastAsia" w:ascii="宋体" w:hAnsi="宋体"/>
          <w:color w:val="000000"/>
          <w:sz w:val="28"/>
          <w:szCs w:val="28"/>
        </w:rPr>
      </w:pPr>
    </w:p>
    <w:p>
      <w:pPr>
        <w:spacing w:line="360" w:lineRule="auto"/>
        <w:jc w:val="center"/>
        <w:rPr>
          <w:rFonts w:hint="eastAsia" w:ascii="宋体" w:hAnsi="宋体"/>
          <w:color w:val="000000"/>
          <w:sz w:val="28"/>
          <w:szCs w:val="28"/>
        </w:rPr>
      </w:pPr>
    </w:p>
    <w:p>
      <w:pPr>
        <w:spacing w:line="360" w:lineRule="auto"/>
        <w:jc w:val="both"/>
        <w:rPr>
          <w:rFonts w:hint="eastAsia" w:ascii="宋体" w:hAnsi="宋体"/>
          <w:color w:val="000000"/>
          <w:sz w:val="28"/>
          <w:szCs w:val="28"/>
        </w:rPr>
      </w:pPr>
    </w:p>
    <w:p>
      <w:pPr>
        <w:spacing w:line="360" w:lineRule="auto"/>
        <w:jc w:val="center"/>
        <w:rPr>
          <w:rFonts w:hint="eastAsia" w:ascii="宋体" w:hAnsi="宋体"/>
          <w:color w:val="000000"/>
          <w:sz w:val="28"/>
          <w:szCs w:val="28"/>
        </w:rPr>
      </w:pPr>
    </w:p>
    <w:p>
      <w:pPr>
        <w:spacing w:line="360" w:lineRule="auto"/>
        <w:jc w:val="center"/>
        <w:rPr>
          <w:rFonts w:hint="eastAsia" w:ascii="宋体" w:hAnsi="宋体"/>
          <w:color w:val="000000"/>
          <w:sz w:val="28"/>
          <w:szCs w:val="28"/>
        </w:rPr>
      </w:pPr>
    </w:p>
    <w:p>
      <w:pPr>
        <w:spacing w:line="360" w:lineRule="auto"/>
        <w:jc w:val="center"/>
        <w:rPr>
          <w:rFonts w:hint="eastAsia" w:ascii="宋体" w:hAnsi="宋体"/>
          <w:color w:val="auto"/>
          <w:sz w:val="28"/>
          <w:szCs w:val="28"/>
        </w:rPr>
      </w:pPr>
    </w:p>
    <w:p>
      <w:pPr>
        <w:spacing w:line="360" w:lineRule="auto"/>
        <w:ind w:firstLine="642" w:firstLineChars="200"/>
        <w:jc w:val="center"/>
        <w:rPr>
          <w:rFonts w:hint="eastAsia" w:ascii="宋体" w:hAnsi="宋体"/>
          <w:b/>
          <w:color w:val="auto"/>
          <w:spacing w:val="20"/>
          <w:sz w:val="28"/>
          <w:szCs w:val="28"/>
        </w:rPr>
      </w:pPr>
      <w:r>
        <w:rPr>
          <w:rFonts w:hint="eastAsia" w:ascii="宋体" w:hAnsi="宋体"/>
          <w:b/>
          <w:color w:val="auto"/>
          <w:spacing w:val="20"/>
          <w:sz w:val="28"/>
          <w:szCs w:val="28"/>
          <w:lang w:val="en-US" w:eastAsia="zh-CN"/>
        </w:rPr>
        <w:t>沙湾</w:t>
      </w:r>
      <w:r>
        <w:rPr>
          <w:rFonts w:hint="eastAsia" w:ascii="宋体" w:hAnsi="宋体"/>
          <w:b/>
          <w:color w:val="auto"/>
          <w:spacing w:val="20"/>
          <w:sz w:val="28"/>
          <w:szCs w:val="28"/>
        </w:rPr>
        <w:t>市人民政府</w:t>
      </w:r>
    </w:p>
    <w:p>
      <w:pPr>
        <w:spacing w:line="360" w:lineRule="auto"/>
        <w:ind w:firstLine="642" w:firstLineChars="200"/>
        <w:jc w:val="center"/>
        <w:rPr>
          <w:rFonts w:hint="eastAsia" w:ascii="宋体" w:hAnsi="宋体"/>
          <w:b/>
          <w:color w:val="auto"/>
          <w:spacing w:val="20"/>
          <w:sz w:val="28"/>
          <w:szCs w:val="28"/>
        </w:rPr>
      </w:pPr>
      <w:r>
        <w:rPr>
          <w:rFonts w:hint="eastAsia" w:ascii="宋体" w:hAnsi="宋体"/>
          <w:b/>
          <w:color w:val="auto"/>
          <w:spacing w:val="20"/>
          <w:sz w:val="28"/>
          <w:szCs w:val="28"/>
        </w:rPr>
        <w:t>二○二</w:t>
      </w:r>
      <w:r>
        <w:rPr>
          <w:rFonts w:hint="eastAsia" w:ascii="宋体" w:hAnsi="宋体"/>
          <w:b/>
          <w:color w:val="auto"/>
          <w:spacing w:val="20"/>
          <w:sz w:val="28"/>
          <w:szCs w:val="28"/>
          <w:lang w:val="en-US" w:eastAsia="zh-CN"/>
        </w:rPr>
        <w:t>二</w:t>
      </w:r>
      <w:r>
        <w:rPr>
          <w:rFonts w:hint="eastAsia" w:ascii="宋体" w:hAnsi="宋体"/>
          <w:b/>
          <w:color w:val="auto"/>
          <w:spacing w:val="20"/>
          <w:sz w:val="28"/>
          <w:szCs w:val="28"/>
        </w:rPr>
        <w:t>年</w:t>
      </w:r>
      <w:r>
        <w:rPr>
          <w:rFonts w:hint="eastAsia" w:ascii="宋体" w:hAnsi="宋体"/>
          <w:b/>
          <w:color w:val="auto"/>
          <w:spacing w:val="20"/>
          <w:sz w:val="28"/>
          <w:szCs w:val="28"/>
          <w:lang w:val="en-US" w:eastAsia="zh-CN"/>
        </w:rPr>
        <w:t>九</w:t>
      </w:r>
      <w:r>
        <w:rPr>
          <w:rFonts w:hint="eastAsia" w:ascii="宋体" w:hAnsi="宋体"/>
          <w:b/>
          <w:color w:val="auto"/>
          <w:spacing w:val="20"/>
          <w:sz w:val="28"/>
          <w:szCs w:val="28"/>
        </w:rPr>
        <w:t>月</w:t>
      </w:r>
    </w:p>
    <w:p>
      <w:pPr>
        <w:spacing w:line="360" w:lineRule="auto"/>
        <w:ind w:firstLine="560" w:firstLineChars="200"/>
        <w:rPr>
          <w:rFonts w:ascii="宋体" w:hAnsi="宋体"/>
          <w:color w:val="000000"/>
          <w:sz w:val="28"/>
          <w:szCs w:val="28"/>
        </w:rPr>
      </w:pPr>
    </w:p>
    <w:p>
      <w:pPr>
        <w:spacing w:line="360" w:lineRule="auto"/>
        <w:ind w:firstLine="560" w:firstLineChars="200"/>
        <w:rPr>
          <w:rFonts w:ascii="宋体" w:hAnsi="宋体"/>
          <w:color w:val="000000"/>
          <w:sz w:val="28"/>
          <w:szCs w:val="28"/>
        </w:rPr>
        <w:sectPr>
          <w:headerReference r:id="rId5" w:type="first"/>
          <w:footerReference r:id="rId8" w:type="first"/>
          <w:headerReference r:id="rId3" w:type="default"/>
          <w:footerReference r:id="rId6" w:type="default"/>
          <w:headerReference r:id="rId4" w:type="even"/>
          <w:footerReference r:id="rId7" w:type="even"/>
          <w:pgSz w:w="11907" w:h="16840"/>
          <w:pgMar w:top="1418" w:right="1418" w:bottom="1418" w:left="1701" w:header="851" w:footer="992" w:gutter="0"/>
          <w:pgBorders>
            <w:top w:val="none" w:sz="0" w:space="0"/>
            <w:left w:val="none" w:sz="0" w:space="0"/>
            <w:bottom w:val="none" w:sz="0" w:space="0"/>
            <w:right w:val="none" w:sz="0" w:space="0"/>
          </w:pgBorders>
          <w:pgNumType w:fmt="decimal" w:start="1"/>
          <w:cols w:space="720" w:num="1"/>
          <w:docGrid w:linePitch="360" w:charSpace="0"/>
        </w:sectPr>
      </w:pPr>
    </w:p>
    <w:p>
      <w:pPr>
        <w:rPr>
          <w:rFonts w:hint="eastAsia"/>
        </w:rPr>
        <w:sectPr>
          <w:pgSz w:w="11907" w:h="16840"/>
          <w:pgMar w:top="1418" w:right="1418" w:bottom="1418" w:left="1701" w:header="851" w:footer="992" w:gutter="0"/>
          <w:pgBorders>
            <w:top w:val="none" w:sz="0" w:space="0"/>
            <w:left w:val="none" w:sz="0" w:space="0"/>
            <w:bottom w:val="none" w:sz="0" w:space="0"/>
            <w:right w:val="none" w:sz="0" w:space="0"/>
          </w:pgBorders>
          <w:pgNumType w:fmt="decimal"/>
          <w:cols w:space="720" w:num="1"/>
          <w:docGrid w:linePitch="360" w:charSpace="0"/>
        </w:sectPr>
      </w:pPr>
    </w:p>
    <w:p>
      <w:pPr>
        <w:pStyle w:val="12"/>
        <w:keepNext w:val="0"/>
        <w:keepLines w:val="0"/>
        <w:pageBreakBefore w:val="0"/>
        <w:widowControl w:val="0"/>
        <w:tabs>
          <w:tab w:val="right" w:leader="dot" w:pos="8778"/>
        </w:tabs>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b/>
          <w:bCs/>
          <w:i w:val="0"/>
          <w:iCs w:val="0"/>
          <w:snapToGrid w:val="0"/>
          <w:kern w:val="0"/>
          <w:sz w:val="28"/>
          <w:szCs w:val="28"/>
        </w:rPr>
      </w:pPr>
    </w:p>
    <w:p>
      <w:pPr>
        <w:pStyle w:val="12"/>
        <w:keepNext w:val="0"/>
        <w:keepLines w:val="0"/>
        <w:pageBreakBefore w:val="0"/>
        <w:widowControl w:val="0"/>
        <w:tabs>
          <w:tab w:val="right" w:leader="dot" w:pos="8778"/>
        </w:tabs>
        <w:kinsoku/>
        <w:wordWrap/>
        <w:overflowPunct/>
        <w:topLinePunct w:val="0"/>
        <w:autoSpaceDE/>
        <w:autoSpaceDN/>
        <w:bidi w:val="0"/>
        <w:adjustRightInd/>
        <w:snapToGrid/>
        <w:spacing w:line="500" w:lineRule="exact"/>
        <w:ind w:firstLine="562" w:firstLineChars="200"/>
        <w:jc w:val="center"/>
        <w:textAlignment w:val="auto"/>
        <w:rPr>
          <w:rFonts w:hint="eastAsia" w:ascii="仿宋" w:hAnsi="仿宋" w:eastAsia="仿宋" w:cs="仿宋"/>
          <w:b/>
          <w:bCs/>
          <w:i w:val="0"/>
          <w:iCs w:val="0"/>
          <w:snapToGrid w:val="0"/>
          <w:kern w:val="0"/>
          <w:sz w:val="28"/>
          <w:szCs w:val="28"/>
        </w:rPr>
      </w:pPr>
      <w:r>
        <w:rPr>
          <w:rFonts w:hint="eastAsia" w:ascii="仿宋" w:hAnsi="仿宋" w:eastAsia="仿宋" w:cs="仿宋"/>
          <w:b/>
          <w:bCs/>
          <w:i w:val="0"/>
          <w:iCs w:val="0"/>
          <w:snapToGrid w:val="0"/>
          <w:kern w:val="0"/>
          <w:sz w:val="28"/>
          <w:szCs w:val="28"/>
        </w:rPr>
        <w:t>目  录</w:t>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 w:val="0"/>
          <w:bCs w:val="0"/>
          <w:i w:val="0"/>
          <w:iCs w:val="0"/>
          <w:smallCaps/>
          <w:snapToGrid w:val="0"/>
          <w:kern w:val="0"/>
          <w:sz w:val="24"/>
          <w:szCs w:val="24"/>
        </w:rPr>
        <w:fldChar w:fldCharType="begin"/>
      </w:r>
      <w:r>
        <w:rPr>
          <w:rFonts w:hint="eastAsia" w:ascii="仿宋" w:hAnsi="仿宋" w:eastAsia="仿宋" w:cs="仿宋"/>
          <w:b w:val="0"/>
          <w:bCs w:val="0"/>
          <w:i w:val="0"/>
          <w:iCs w:val="0"/>
          <w:smallCaps/>
          <w:snapToGrid w:val="0"/>
          <w:kern w:val="0"/>
          <w:sz w:val="24"/>
          <w:szCs w:val="24"/>
        </w:rPr>
        <w:instrText xml:space="preserve"> TOC \o "1-3" \h \z \u </w:instrText>
      </w:r>
      <w:r>
        <w:rPr>
          <w:rFonts w:hint="eastAsia" w:ascii="仿宋" w:hAnsi="仿宋" w:eastAsia="仿宋" w:cs="仿宋"/>
          <w:b w:val="0"/>
          <w:bCs w:val="0"/>
          <w:i w:val="0"/>
          <w:iCs w:val="0"/>
          <w:smallCaps/>
          <w:snapToGrid w:val="0"/>
          <w:kern w:val="0"/>
          <w:sz w:val="24"/>
          <w:szCs w:val="24"/>
        </w:rPr>
        <w:fldChar w:fldCharType="separate"/>
      </w:r>
      <w:r>
        <w:rPr>
          <w:rFonts w:hint="eastAsia" w:ascii="仿宋" w:hAnsi="仿宋" w:eastAsia="仿宋" w:cs="仿宋"/>
          <w:bCs w:val="0"/>
          <w:i w:val="0"/>
          <w:iCs w:val="0"/>
          <w:smallCaps/>
          <w:snapToGrid w:val="0"/>
          <w:kern w:val="0"/>
          <w:sz w:val="24"/>
          <w:szCs w:val="24"/>
        </w:rPr>
        <w:fldChar w:fldCharType="begin"/>
      </w:r>
      <w:r>
        <w:rPr>
          <w:rFonts w:hint="eastAsia" w:ascii="仿宋" w:hAnsi="仿宋" w:eastAsia="仿宋" w:cs="仿宋"/>
          <w:bCs w:val="0"/>
          <w:i w:val="0"/>
          <w:iCs w:val="0"/>
          <w:smallCaps/>
          <w:snapToGrid w:val="0"/>
          <w:kern w:val="0"/>
          <w:sz w:val="24"/>
          <w:szCs w:val="24"/>
        </w:rPr>
        <w:instrText xml:space="preserve"> HYPERLINK \l _Toc2907 </w:instrText>
      </w:r>
      <w:r>
        <w:rPr>
          <w:rFonts w:hint="eastAsia" w:ascii="仿宋" w:hAnsi="仿宋" w:eastAsia="仿宋" w:cs="仿宋"/>
          <w:bCs w:val="0"/>
          <w:i w:val="0"/>
          <w:iCs w:val="0"/>
          <w:smallCaps/>
          <w:snapToGrid w:val="0"/>
          <w:kern w:val="0"/>
          <w:sz w:val="24"/>
          <w:szCs w:val="24"/>
        </w:rPr>
        <w:fldChar w:fldCharType="separate"/>
      </w:r>
      <w:r>
        <w:rPr>
          <w:rFonts w:hint="eastAsia" w:ascii="仿宋" w:hAnsi="仿宋" w:eastAsia="仿宋" w:cs="仿宋"/>
          <w:sz w:val="24"/>
          <w:szCs w:val="24"/>
          <w:lang w:val="en-US" w:eastAsia="zh-CN"/>
        </w:rPr>
        <w:t>总  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_Toc2907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r>
        <w:rPr>
          <w:rFonts w:hint="eastAsia" w:ascii="仿宋" w:hAnsi="仿宋" w:eastAsia="仿宋" w:cs="仿宋"/>
          <w:bCs w:val="0"/>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_Toc9540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z w:val="24"/>
          <w:szCs w:val="24"/>
          <w:lang w:val="en-US" w:eastAsia="zh-CN"/>
        </w:rPr>
        <w:t>一、现状与形势</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_Toc9540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_Toc15179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kern w:val="2"/>
          <w:sz w:val="24"/>
          <w:szCs w:val="24"/>
          <w:lang w:val="en-US" w:eastAsia="zh-CN" w:bidi="ar-SA"/>
        </w:rPr>
        <w:t>（一）自然经济社会概况</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_Toc15179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_Toc28645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kern w:val="2"/>
          <w:sz w:val="24"/>
          <w:szCs w:val="24"/>
          <w:lang w:val="en-US" w:eastAsia="zh-CN" w:bidi="ar-SA"/>
        </w:rPr>
        <w:t>（二）矿产资源勘查开发与保护现状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_Toc28645 </w:instrText>
      </w:r>
      <w:r>
        <w:rPr>
          <w:rFonts w:hint="eastAsia" w:ascii="仿宋" w:hAnsi="仿宋" w:eastAsia="仿宋" w:cs="仿宋"/>
          <w:sz w:val="24"/>
          <w:szCs w:val="24"/>
        </w:rPr>
        <w:fldChar w:fldCharType="separate"/>
      </w:r>
      <w:r>
        <w:rPr>
          <w:rFonts w:hint="eastAsia" w:ascii="仿宋" w:hAnsi="仿宋" w:eastAsia="仿宋" w:cs="仿宋"/>
          <w:sz w:val="24"/>
          <w:szCs w:val="24"/>
        </w:rPr>
        <w:t>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_Toc18484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w:t>
      </w:r>
      <w:r>
        <w:rPr>
          <w:rFonts w:hint="eastAsia" w:ascii="仿宋" w:hAnsi="仿宋" w:eastAsia="仿宋" w:cs="仿宋"/>
          <w:sz w:val="24"/>
          <w:szCs w:val="24"/>
          <w:lang w:eastAsia="zh-CN"/>
        </w:rPr>
        <w:t>）</w:t>
      </w:r>
      <w:r>
        <w:rPr>
          <w:rFonts w:hint="eastAsia" w:ascii="仿宋" w:hAnsi="仿宋" w:eastAsia="仿宋" w:cs="仿宋"/>
          <w:sz w:val="24"/>
          <w:szCs w:val="24"/>
        </w:rPr>
        <w:t>上轮规划实施成效</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_Toc18484 </w:instrText>
      </w:r>
      <w:r>
        <w:rPr>
          <w:rFonts w:hint="eastAsia" w:ascii="仿宋" w:hAnsi="仿宋" w:eastAsia="仿宋" w:cs="仿宋"/>
          <w:sz w:val="24"/>
          <w:szCs w:val="24"/>
        </w:rPr>
        <w:fldChar w:fldCharType="separate"/>
      </w:r>
      <w:r>
        <w:rPr>
          <w:rFonts w:hint="eastAsia" w:ascii="仿宋" w:hAnsi="仿宋" w:eastAsia="仿宋" w:cs="仿宋"/>
          <w:sz w:val="24"/>
          <w:szCs w:val="24"/>
        </w:rPr>
        <w:t>5</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_Toc3679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（四）形势和要求</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_Toc3679 </w:instrText>
      </w:r>
      <w:r>
        <w:rPr>
          <w:rFonts w:hint="eastAsia" w:ascii="仿宋" w:hAnsi="仿宋" w:eastAsia="仿宋" w:cs="仿宋"/>
          <w:sz w:val="24"/>
          <w:szCs w:val="24"/>
        </w:rPr>
        <w:fldChar w:fldCharType="separate"/>
      </w:r>
      <w:r>
        <w:rPr>
          <w:rFonts w:hint="eastAsia" w:ascii="仿宋" w:hAnsi="仿宋" w:eastAsia="仿宋" w:cs="仿宋"/>
          <w:sz w:val="24"/>
          <w:szCs w:val="24"/>
        </w:rPr>
        <w:t>7</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_Toc31304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z w:val="24"/>
          <w:szCs w:val="24"/>
          <w:lang w:val="en-US" w:eastAsia="zh-CN"/>
        </w:rPr>
        <w:t>二、</w:t>
      </w:r>
      <w:r>
        <w:rPr>
          <w:rFonts w:hint="eastAsia" w:ascii="仿宋" w:hAnsi="仿宋" w:eastAsia="仿宋" w:cs="仿宋"/>
          <w:sz w:val="24"/>
          <w:szCs w:val="24"/>
          <w:lang w:val="zh-CN" w:eastAsia="zh-CN"/>
        </w:rPr>
        <w:t>指导原则与目标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_Toc31304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_Toc14398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rPr>
        <w:t>（一）指导思想</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_Toc14398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_Toc634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rPr>
        <w:t>（二）基本原则</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_Toc634 </w:instrText>
      </w:r>
      <w:r>
        <w:rPr>
          <w:rFonts w:hint="eastAsia" w:ascii="仿宋" w:hAnsi="仿宋" w:eastAsia="仿宋" w:cs="仿宋"/>
          <w:sz w:val="24"/>
          <w:szCs w:val="24"/>
        </w:rPr>
        <w:fldChar w:fldCharType="separate"/>
      </w:r>
      <w:r>
        <w:rPr>
          <w:rFonts w:hint="eastAsia" w:ascii="仿宋" w:hAnsi="仿宋" w:eastAsia="仿宋" w:cs="仿宋"/>
          <w:sz w:val="24"/>
          <w:szCs w:val="24"/>
        </w:rPr>
        <w:t>8</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_Toc15325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（三）规划目标</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_Toc15325 </w:instrText>
      </w:r>
      <w:r>
        <w:rPr>
          <w:rFonts w:hint="eastAsia" w:ascii="仿宋" w:hAnsi="仿宋" w:eastAsia="仿宋" w:cs="仿宋"/>
          <w:sz w:val="24"/>
          <w:szCs w:val="24"/>
        </w:rPr>
        <w:fldChar w:fldCharType="separate"/>
      </w:r>
      <w:r>
        <w:rPr>
          <w:rFonts w:hint="eastAsia" w:ascii="仿宋" w:hAnsi="仿宋" w:eastAsia="仿宋" w:cs="仿宋"/>
          <w:sz w:val="24"/>
          <w:szCs w:val="24"/>
        </w:rPr>
        <w:t>10</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_Toc6693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pacing w:val="-2"/>
          <w:sz w:val="24"/>
          <w:szCs w:val="24"/>
          <w:lang w:val="zh-CN" w:eastAsia="zh-CN"/>
        </w:rPr>
        <w:t>三、矿产勘查开发与保护布局</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_Toc6693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_Toc10217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（一）矿产资源勘查开发调控方向</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_Toc10217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_Toc27895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rPr>
        <w:t>（</w:t>
      </w:r>
      <w:r>
        <w:rPr>
          <w:rFonts w:hint="eastAsia" w:ascii="仿宋" w:hAnsi="仿宋" w:eastAsia="仿宋" w:cs="仿宋"/>
          <w:bCs/>
          <w:sz w:val="24"/>
          <w:szCs w:val="24"/>
          <w:lang w:val="en-US" w:eastAsia="zh-CN"/>
        </w:rPr>
        <w:t>二</w:t>
      </w:r>
      <w:r>
        <w:rPr>
          <w:rFonts w:hint="eastAsia" w:ascii="仿宋" w:hAnsi="仿宋" w:eastAsia="仿宋" w:cs="仿宋"/>
          <w:bCs/>
          <w:sz w:val="24"/>
          <w:szCs w:val="24"/>
        </w:rPr>
        <w:t>）</w:t>
      </w:r>
      <w:r>
        <w:rPr>
          <w:rFonts w:hint="eastAsia" w:ascii="仿宋" w:hAnsi="仿宋" w:eastAsia="仿宋" w:cs="仿宋"/>
          <w:bCs/>
          <w:sz w:val="24"/>
          <w:szCs w:val="24"/>
          <w:lang w:eastAsia="zh-CN"/>
        </w:rPr>
        <w:t>矿产资源产业重点发展区域</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_Toc27895 </w:instrText>
      </w:r>
      <w:r>
        <w:rPr>
          <w:rFonts w:hint="eastAsia" w:ascii="仿宋" w:hAnsi="仿宋" w:eastAsia="仿宋" w:cs="仿宋"/>
          <w:sz w:val="24"/>
          <w:szCs w:val="24"/>
        </w:rPr>
        <w:fldChar w:fldCharType="separate"/>
      </w:r>
      <w:r>
        <w:rPr>
          <w:rFonts w:hint="eastAsia" w:ascii="仿宋" w:hAnsi="仿宋" w:eastAsia="仿宋" w:cs="仿宋"/>
          <w:sz w:val="24"/>
          <w:szCs w:val="24"/>
        </w:rPr>
        <w:t>13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_Toc23083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三</w:t>
      </w:r>
      <w:r>
        <w:rPr>
          <w:rFonts w:hint="eastAsia" w:ascii="仿宋" w:hAnsi="仿宋" w:eastAsia="仿宋" w:cs="仿宋"/>
          <w:bCs/>
          <w:sz w:val="24"/>
          <w:szCs w:val="24"/>
          <w:lang w:eastAsia="zh-CN"/>
        </w:rPr>
        <w:t>）</w:t>
      </w:r>
      <w:r>
        <w:rPr>
          <w:rFonts w:hint="eastAsia" w:ascii="仿宋" w:hAnsi="仿宋" w:eastAsia="仿宋" w:cs="仿宋"/>
          <w:bCs/>
          <w:sz w:val="24"/>
          <w:szCs w:val="24"/>
        </w:rPr>
        <w:t>勘查开发与保护布局</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_Toc23083 </w:instrText>
      </w:r>
      <w:r>
        <w:rPr>
          <w:rFonts w:hint="eastAsia" w:ascii="仿宋" w:hAnsi="仿宋" w:eastAsia="仿宋" w:cs="仿宋"/>
          <w:sz w:val="24"/>
          <w:szCs w:val="24"/>
        </w:rPr>
        <w:fldChar w:fldCharType="separate"/>
      </w:r>
      <w:r>
        <w:rPr>
          <w:rFonts w:hint="eastAsia" w:ascii="仿宋" w:hAnsi="仿宋" w:eastAsia="仿宋" w:cs="仿宋"/>
          <w:sz w:val="24"/>
          <w:szCs w:val="24"/>
        </w:rPr>
        <w:t>14</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_Toc1828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kern w:val="2"/>
          <w:sz w:val="24"/>
          <w:szCs w:val="24"/>
          <w:lang w:val="en-US" w:eastAsia="zh-CN" w:bidi="ar-SA"/>
        </w:rPr>
        <w:t>（四）严格规范砂石土类矿产资源开发管理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_Toc1828 </w:instrText>
      </w:r>
      <w:r>
        <w:rPr>
          <w:rFonts w:hint="eastAsia" w:ascii="仿宋" w:hAnsi="仿宋" w:eastAsia="仿宋" w:cs="仿宋"/>
          <w:sz w:val="24"/>
          <w:szCs w:val="24"/>
        </w:rPr>
        <w:fldChar w:fldCharType="separate"/>
      </w:r>
      <w:r>
        <w:rPr>
          <w:rFonts w:hint="eastAsia" w:ascii="仿宋" w:hAnsi="仿宋" w:eastAsia="仿宋" w:cs="仿宋"/>
          <w:sz w:val="24"/>
          <w:szCs w:val="24"/>
        </w:rPr>
        <w:t>17</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_Toc25966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pacing w:val="-2"/>
          <w:sz w:val="24"/>
          <w:szCs w:val="24"/>
          <w:lang w:val="en-US" w:eastAsia="zh-CN"/>
        </w:rPr>
        <w:t>四、</w:t>
      </w:r>
      <w:r>
        <w:rPr>
          <w:rFonts w:hint="eastAsia" w:ascii="仿宋" w:hAnsi="仿宋" w:eastAsia="仿宋" w:cs="仿宋"/>
          <w:spacing w:val="-2"/>
          <w:sz w:val="24"/>
          <w:szCs w:val="24"/>
          <w:lang w:val="zh-CN" w:eastAsia="zh-CN"/>
        </w:rPr>
        <w:t>加强矿产资源勘查开发利用与保护</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_Toc25966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_Toc4644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一</w:t>
      </w:r>
      <w:r>
        <w:rPr>
          <w:rFonts w:hint="eastAsia" w:ascii="仿宋" w:hAnsi="仿宋" w:eastAsia="仿宋" w:cs="仿宋"/>
          <w:bCs/>
          <w:sz w:val="24"/>
          <w:szCs w:val="24"/>
          <w:lang w:eastAsia="zh-CN"/>
        </w:rPr>
        <w:t>）</w:t>
      </w:r>
      <w:r>
        <w:rPr>
          <w:rFonts w:hint="eastAsia" w:ascii="仿宋" w:hAnsi="仿宋" w:eastAsia="仿宋" w:cs="仿宋"/>
          <w:bCs/>
          <w:sz w:val="24"/>
          <w:szCs w:val="24"/>
        </w:rPr>
        <w:t>合理确定开发强度</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_Toc4644 </w:instrText>
      </w:r>
      <w:r>
        <w:rPr>
          <w:rFonts w:hint="eastAsia" w:ascii="仿宋" w:hAnsi="仿宋" w:eastAsia="仿宋" w:cs="仿宋"/>
          <w:sz w:val="24"/>
          <w:szCs w:val="24"/>
        </w:rPr>
        <w:fldChar w:fldCharType="separate"/>
      </w:r>
      <w:r>
        <w:rPr>
          <w:rFonts w:hint="eastAsia" w:ascii="仿宋" w:hAnsi="仿宋" w:eastAsia="仿宋" w:cs="仿宋"/>
          <w:sz w:val="24"/>
          <w:szCs w:val="24"/>
        </w:rPr>
        <w:t>19</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_Toc4021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二</w:t>
      </w:r>
      <w:r>
        <w:rPr>
          <w:rFonts w:hint="eastAsia" w:ascii="仿宋" w:hAnsi="仿宋" w:eastAsia="仿宋" w:cs="仿宋"/>
          <w:bCs/>
          <w:sz w:val="24"/>
          <w:szCs w:val="24"/>
          <w:lang w:eastAsia="zh-CN"/>
        </w:rPr>
        <w:t>）优化矿产资源开发利用结构</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_Toc4021 </w:instrText>
      </w:r>
      <w:r>
        <w:rPr>
          <w:rFonts w:hint="eastAsia" w:ascii="仿宋" w:hAnsi="仿宋" w:eastAsia="仿宋" w:cs="仿宋"/>
          <w:sz w:val="24"/>
          <w:szCs w:val="24"/>
        </w:rPr>
        <w:fldChar w:fldCharType="separate"/>
      </w:r>
      <w:r>
        <w:rPr>
          <w:rFonts w:hint="eastAsia" w:ascii="仿宋" w:hAnsi="仿宋" w:eastAsia="仿宋" w:cs="仿宋"/>
          <w:sz w:val="24"/>
          <w:szCs w:val="24"/>
        </w:rPr>
        <w:t>20</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_Toc15510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三</w:t>
      </w:r>
      <w:r>
        <w:rPr>
          <w:rFonts w:hint="eastAsia" w:ascii="仿宋" w:hAnsi="仿宋" w:eastAsia="仿宋" w:cs="仿宋"/>
          <w:bCs/>
          <w:sz w:val="24"/>
          <w:szCs w:val="24"/>
          <w:lang w:eastAsia="zh-CN"/>
        </w:rPr>
        <w:t>）严格规划准入管理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_Toc15510 </w:instrText>
      </w:r>
      <w:r>
        <w:rPr>
          <w:rFonts w:hint="eastAsia" w:ascii="仿宋" w:hAnsi="仿宋" w:eastAsia="仿宋" w:cs="仿宋"/>
          <w:sz w:val="24"/>
          <w:szCs w:val="24"/>
        </w:rPr>
        <w:fldChar w:fldCharType="separate"/>
      </w:r>
      <w:r>
        <w:rPr>
          <w:rFonts w:hint="eastAsia" w:ascii="仿宋" w:hAnsi="仿宋" w:eastAsia="仿宋" w:cs="仿宋"/>
          <w:sz w:val="24"/>
          <w:szCs w:val="24"/>
        </w:rPr>
        <w:t>21</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_Toc29481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四</w:t>
      </w:r>
      <w:r>
        <w:rPr>
          <w:rFonts w:hint="eastAsia" w:ascii="仿宋" w:hAnsi="仿宋" w:eastAsia="仿宋" w:cs="仿宋"/>
          <w:bCs/>
          <w:sz w:val="24"/>
          <w:szCs w:val="24"/>
          <w:lang w:eastAsia="zh-CN"/>
        </w:rPr>
        <w:t>）</w:t>
      </w:r>
      <w:r>
        <w:rPr>
          <w:rFonts w:hint="eastAsia" w:ascii="仿宋" w:hAnsi="仿宋" w:eastAsia="仿宋" w:cs="仿宋"/>
          <w:sz w:val="24"/>
          <w:szCs w:val="24"/>
        </w:rPr>
        <w:t>矿产资源开发管理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_Toc29481 </w:instrText>
      </w:r>
      <w:r>
        <w:rPr>
          <w:rFonts w:hint="eastAsia" w:ascii="仿宋" w:hAnsi="仿宋" w:eastAsia="仿宋" w:cs="仿宋"/>
          <w:sz w:val="24"/>
          <w:szCs w:val="24"/>
        </w:rPr>
        <w:fldChar w:fldCharType="separate"/>
      </w:r>
      <w:r>
        <w:rPr>
          <w:rFonts w:hint="eastAsia" w:ascii="仿宋" w:hAnsi="仿宋" w:eastAsia="仿宋" w:cs="仿宋"/>
          <w:sz w:val="24"/>
          <w:szCs w:val="24"/>
        </w:rPr>
        <w:t>23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_Toc19960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pacing w:val="-2"/>
          <w:sz w:val="24"/>
          <w:szCs w:val="24"/>
          <w:lang w:val="zh-CN" w:eastAsia="zh-CN"/>
        </w:rPr>
        <w:t>五、绿色矿山建设和矿区生态保护</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_Toc19960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_Toc24419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sz w:val="24"/>
          <w:szCs w:val="24"/>
          <w:lang w:val="en-US" w:eastAsia="zh-CN"/>
        </w:rPr>
        <w:t>（一）绿色矿山建设</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_Toc24419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_Toc11599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二</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矿区生态保护修复</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_Toc11599 </w:instrText>
      </w:r>
      <w:r>
        <w:rPr>
          <w:rFonts w:hint="eastAsia" w:ascii="仿宋" w:hAnsi="仿宋" w:eastAsia="仿宋" w:cs="仿宋"/>
          <w:sz w:val="24"/>
          <w:szCs w:val="24"/>
        </w:rPr>
        <w:fldChar w:fldCharType="separate"/>
      </w:r>
      <w:r>
        <w:rPr>
          <w:rFonts w:hint="eastAsia" w:ascii="仿宋" w:hAnsi="仿宋" w:eastAsia="仿宋" w:cs="仿宋"/>
          <w:sz w:val="24"/>
          <w:szCs w:val="24"/>
        </w:rPr>
        <w:t>28</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_Toc17908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val="0"/>
          <w:snapToGrid w:val="0"/>
          <w:kern w:val="0"/>
          <w:sz w:val="24"/>
          <w:szCs w:val="24"/>
          <w:lang w:eastAsia="zh-CN"/>
        </w:rPr>
        <w:t>（</w:t>
      </w:r>
      <w:r>
        <w:rPr>
          <w:rFonts w:hint="eastAsia" w:ascii="仿宋" w:hAnsi="仿宋" w:eastAsia="仿宋" w:cs="仿宋"/>
          <w:bCs w:val="0"/>
          <w:snapToGrid w:val="0"/>
          <w:kern w:val="0"/>
          <w:sz w:val="24"/>
          <w:szCs w:val="24"/>
          <w:lang w:val="en-US" w:eastAsia="zh-CN"/>
        </w:rPr>
        <w:t>三</w:t>
      </w:r>
      <w:r>
        <w:rPr>
          <w:rFonts w:hint="eastAsia" w:ascii="仿宋" w:hAnsi="仿宋" w:eastAsia="仿宋" w:cs="仿宋"/>
          <w:bCs w:val="0"/>
          <w:snapToGrid w:val="0"/>
          <w:kern w:val="0"/>
          <w:sz w:val="24"/>
          <w:szCs w:val="24"/>
          <w:lang w:eastAsia="zh-CN"/>
        </w:rPr>
        <w:t>）</w:t>
      </w:r>
      <w:r>
        <w:rPr>
          <w:rFonts w:hint="eastAsia" w:ascii="仿宋" w:hAnsi="仿宋" w:eastAsia="仿宋" w:cs="仿宋"/>
          <w:bCs w:val="0"/>
          <w:snapToGrid w:val="0"/>
          <w:kern w:val="0"/>
          <w:sz w:val="24"/>
          <w:szCs w:val="24"/>
        </w:rPr>
        <w:t>矿山地质环境治理恢复</w:t>
      </w:r>
      <w:r>
        <w:rPr>
          <w:rFonts w:hint="eastAsia" w:ascii="仿宋" w:hAnsi="仿宋" w:eastAsia="仿宋" w:cs="仿宋"/>
          <w:bCs w:val="0"/>
          <w:snapToGrid w:val="0"/>
          <w:kern w:val="0"/>
          <w:sz w:val="24"/>
          <w:szCs w:val="24"/>
          <w:lang w:val="en-US" w:eastAsia="zh-CN"/>
        </w:rPr>
        <w:t>基金制度</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_Toc17908 </w:instrText>
      </w:r>
      <w:r>
        <w:rPr>
          <w:rFonts w:hint="eastAsia" w:ascii="仿宋" w:hAnsi="仿宋" w:eastAsia="仿宋" w:cs="仿宋"/>
          <w:sz w:val="24"/>
          <w:szCs w:val="24"/>
        </w:rPr>
        <w:fldChar w:fldCharType="separate"/>
      </w:r>
      <w:r>
        <w:rPr>
          <w:rFonts w:hint="eastAsia" w:ascii="仿宋" w:hAnsi="仿宋" w:eastAsia="仿宋" w:cs="仿宋"/>
          <w:sz w:val="24"/>
          <w:szCs w:val="24"/>
        </w:rPr>
        <w:t>30</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_Toc6654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zh-CN"/>
        </w:rPr>
        <w:t>六、重点项目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_Toc6654 </w:instrText>
      </w:r>
      <w:r>
        <w:rPr>
          <w:rFonts w:hint="eastAsia" w:ascii="仿宋" w:hAnsi="仿宋" w:eastAsia="仿宋" w:cs="仿宋"/>
          <w:sz w:val="24"/>
          <w:szCs w:val="24"/>
        </w:rPr>
        <w:fldChar w:fldCharType="separate"/>
      </w:r>
      <w:r>
        <w:rPr>
          <w:rFonts w:hint="eastAsia" w:ascii="仿宋" w:hAnsi="仿宋" w:eastAsia="仿宋" w:cs="仿宋"/>
          <w:sz w:val="24"/>
          <w:szCs w:val="24"/>
        </w:rPr>
        <w:t>31</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_Toc5219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kern w:val="2"/>
          <w:sz w:val="24"/>
          <w:szCs w:val="24"/>
          <w:lang w:val="en-US" w:eastAsia="zh-CN" w:bidi="ar-SA"/>
        </w:rPr>
        <w:t>（一）矿产资源调查评价</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_Toc5219 </w:instrText>
      </w:r>
      <w:r>
        <w:rPr>
          <w:rFonts w:hint="eastAsia" w:ascii="仿宋" w:hAnsi="仿宋" w:eastAsia="仿宋" w:cs="仿宋"/>
          <w:sz w:val="24"/>
          <w:szCs w:val="24"/>
        </w:rPr>
        <w:fldChar w:fldCharType="separate"/>
      </w:r>
      <w:r>
        <w:rPr>
          <w:rFonts w:hint="eastAsia" w:ascii="仿宋" w:hAnsi="仿宋" w:eastAsia="仿宋" w:cs="仿宋"/>
          <w:sz w:val="24"/>
          <w:szCs w:val="24"/>
        </w:rPr>
        <w:t>31</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_Toc4183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kern w:val="2"/>
          <w:sz w:val="24"/>
          <w:szCs w:val="24"/>
          <w:lang w:val="en-US" w:eastAsia="zh-CN" w:bidi="ar-SA"/>
        </w:rPr>
        <w:t>（二）矿产品精深加工基地建设</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_Toc4183 </w:instrText>
      </w:r>
      <w:r>
        <w:rPr>
          <w:rFonts w:hint="eastAsia" w:ascii="仿宋" w:hAnsi="仿宋" w:eastAsia="仿宋" w:cs="仿宋"/>
          <w:sz w:val="24"/>
          <w:szCs w:val="24"/>
        </w:rPr>
        <w:fldChar w:fldCharType="separate"/>
      </w:r>
      <w:r>
        <w:rPr>
          <w:rFonts w:hint="eastAsia" w:ascii="仿宋" w:hAnsi="仿宋" w:eastAsia="仿宋" w:cs="仿宋"/>
          <w:sz w:val="24"/>
          <w:szCs w:val="24"/>
        </w:rPr>
        <w:t>31</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_Toc12032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rPr>
        <w:t>（三）历史遗留废弃工矿土地恢复治理重点项目</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_Toc12032 </w:instrText>
      </w:r>
      <w:r>
        <w:rPr>
          <w:rFonts w:hint="eastAsia" w:ascii="仿宋" w:hAnsi="仿宋" w:eastAsia="仿宋" w:cs="仿宋"/>
          <w:sz w:val="24"/>
          <w:szCs w:val="24"/>
        </w:rPr>
        <w:fldChar w:fldCharType="separate"/>
      </w:r>
      <w:r>
        <w:rPr>
          <w:rFonts w:hint="eastAsia" w:ascii="仿宋" w:hAnsi="仿宋" w:eastAsia="仿宋" w:cs="仿宋"/>
          <w:sz w:val="24"/>
          <w:szCs w:val="24"/>
        </w:rPr>
        <w:t>32</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1"/>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_Toc24490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val="0"/>
          <w:sz w:val="24"/>
          <w:szCs w:val="24"/>
          <w:lang w:val="zh-CN" w:eastAsia="zh-CN"/>
        </w:rPr>
        <w:t>七、规划实施管理</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_Toc24490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_Toc6954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（一）建立完善规划实施目标责任考核制度</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_Toc6954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_Toc26082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（二）健全完善规划实施评估调整机制</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_Toc26082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_Toc7428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（三）加强规划实施情况监督检查</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_Toc7428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ascii="仿宋" w:hAnsi="仿宋" w:eastAsia="仿宋" w:cs="仿宋"/>
          <w:sz w:val="24"/>
          <w:szCs w:val="24"/>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_Toc17645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（四）强化安全管理，确保安全生产</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_Toc17645 </w:instrText>
      </w:r>
      <w:r>
        <w:rPr>
          <w:rFonts w:hint="eastAsia" w:ascii="仿宋" w:hAnsi="仿宋" w:eastAsia="仿宋" w:cs="仿宋"/>
          <w:sz w:val="24"/>
          <w:szCs w:val="24"/>
        </w:rPr>
        <w:fldChar w:fldCharType="separate"/>
      </w:r>
      <w:r>
        <w:rPr>
          <w:rFonts w:hint="eastAsia" w:ascii="仿宋" w:hAnsi="仿宋" w:eastAsia="仿宋" w:cs="仿宋"/>
          <w:sz w:val="24"/>
          <w:szCs w:val="24"/>
        </w:rPr>
        <w:t>33</w:t>
      </w:r>
      <w:r>
        <w:rPr>
          <w:rFonts w:hint="eastAsia" w:ascii="仿宋" w:hAnsi="仿宋" w:eastAsia="仿宋" w:cs="仿宋"/>
          <w:sz w:val="24"/>
          <w:szCs w:val="24"/>
        </w:rPr>
        <w:fldChar w:fldCharType="end"/>
      </w:r>
      <w:r>
        <w:rPr>
          <w:rFonts w:hint="eastAsia" w:ascii="仿宋" w:hAnsi="仿宋" w:eastAsia="仿宋" w:cs="仿宋"/>
          <w:bCs/>
          <w:i w:val="0"/>
          <w:iCs w:val="0"/>
          <w:smallCaps/>
          <w:snapToGrid w:val="0"/>
          <w:kern w:val="0"/>
          <w:sz w:val="24"/>
          <w:szCs w:val="24"/>
        </w:rPr>
        <w:fldChar w:fldCharType="end"/>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仿宋" w:hAnsi="仿宋" w:eastAsia="仿宋" w:cs="仿宋"/>
          <w:sz w:val="24"/>
          <w:szCs w:val="24"/>
          <w:lang w:val="en-US" w:eastAsia="zh-CN"/>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_Toc27573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（五）加强人才队伍建设，提升创新发展能力</w:t>
      </w:r>
      <w:r>
        <w:rPr>
          <w:rFonts w:hint="eastAsia" w:ascii="仿宋" w:hAnsi="仿宋" w:eastAsia="仿宋" w:cs="仿宋"/>
          <w:bCs/>
          <w:i w:val="0"/>
          <w:iCs w:val="0"/>
          <w:smallCaps/>
          <w:snapToGrid w:val="0"/>
          <w:kern w:val="0"/>
          <w:sz w:val="24"/>
          <w:szCs w:val="24"/>
        </w:rPr>
        <w:fldChar w:fldCharType="end"/>
      </w:r>
      <w:r>
        <w:rPr>
          <w:rFonts w:hint="eastAsia" w:ascii="仿宋" w:hAnsi="仿宋" w:eastAsia="仿宋" w:cs="仿宋"/>
          <w:sz w:val="24"/>
          <w:szCs w:val="24"/>
        </w:rPr>
        <w:tab/>
      </w:r>
      <w:r>
        <w:rPr>
          <w:rFonts w:hint="eastAsia" w:ascii="仿宋" w:hAnsi="仿宋" w:eastAsia="仿宋" w:cs="仿宋"/>
          <w:sz w:val="24"/>
          <w:szCs w:val="24"/>
          <w:lang w:val="en-US" w:eastAsia="zh-CN"/>
        </w:rPr>
        <w:t>34</w:t>
      </w:r>
    </w:p>
    <w:p>
      <w:pPr>
        <w:pStyle w:val="1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eastAsia" w:eastAsia="仿宋"/>
          <w:sz w:val="24"/>
          <w:szCs w:val="24"/>
          <w:lang w:val="en-US" w:eastAsia="zh-CN"/>
        </w:rPr>
      </w:pPr>
      <w:r>
        <w:rPr>
          <w:rFonts w:hint="eastAsia" w:ascii="仿宋" w:hAnsi="仿宋" w:eastAsia="仿宋" w:cs="仿宋"/>
          <w:bCs/>
          <w:i w:val="0"/>
          <w:iCs w:val="0"/>
          <w:smallCaps/>
          <w:snapToGrid w:val="0"/>
          <w:kern w:val="0"/>
          <w:sz w:val="24"/>
          <w:szCs w:val="24"/>
        </w:rPr>
        <w:fldChar w:fldCharType="begin"/>
      </w:r>
      <w:r>
        <w:rPr>
          <w:rFonts w:hint="eastAsia" w:ascii="仿宋" w:hAnsi="仿宋" w:eastAsia="仿宋" w:cs="仿宋"/>
          <w:bCs/>
          <w:i w:val="0"/>
          <w:iCs w:val="0"/>
          <w:smallCaps/>
          <w:snapToGrid w:val="0"/>
          <w:kern w:val="0"/>
          <w:sz w:val="24"/>
          <w:szCs w:val="24"/>
        </w:rPr>
        <w:instrText xml:space="preserve"> HYPERLINK \l _Toc18562 </w:instrText>
      </w:r>
      <w:r>
        <w:rPr>
          <w:rFonts w:hint="eastAsia" w:ascii="仿宋" w:hAnsi="仿宋" w:eastAsia="仿宋" w:cs="仿宋"/>
          <w:bCs/>
          <w:i w:val="0"/>
          <w:iCs w:val="0"/>
          <w:smallCaps/>
          <w:snapToGrid w:val="0"/>
          <w:kern w:val="0"/>
          <w:sz w:val="24"/>
          <w:szCs w:val="24"/>
        </w:rPr>
        <w:fldChar w:fldCharType="separate"/>
      </w:r>
      <w:r>
        <w:rPr>
          <w:rFonts w:hint="eastAsia" w:ascii="仿宋" w:hAnsi="仿宋" w:eastAsia="仿宋" w:cs="仿宋"/>
          <w:bCs/>
          <w:sz w:val="24"/>
          <w:szCs w:val="24"/>
          <w:lang w:val="en-US" w:eastAsia="zh-CN"/>
        </w:rPr>
        <w:t>（六）提高规划实施信息化水平</w:t>
      </w:r>
      <w:r>
        <w:rPr>
          <w:rFonts w:hint="eastAsia" w:ascii="仿宋" w:hAnsi="仿宋" w:eastAsia="仿宋" w:cs="仿宋"/>
          <w:sz w:val="24"/>
          <w:szCs w:val="24"/>
        </w:rPr>
        <w:tab/>
      </w:r>
      <w:r>
        <w:rPr>
          <w:rFonts w:hint="eastAsia" w:ascii="仿宋" w:hAnsi="仿宋" w:eastAsia="仿宋" w:cs="仿宋"/>
          <w:sz w:val="24"/>
          <w:szCs w:val="24"/>
          <w:lang w:val="en-US" w:eastAsia="zh-CN"/>
        </w:rPr>
        <w:t>3</w:t>
      </w:r>
      <w:r>
        <w:rPr>
          <w:rFonts w:hint="eastAsia" w:ascii="仿宋" w:hAnsi="仿宋" w:eastAsia="仿宋" w:cs="仿宋"/>
          <w:bCs/>
          <w:i w:val="0"/>
          <w:iCs w:val="0"/>
          <w:smallCaps/>
          <w:snapToGrid w:val="0"/>
          <w:kern w:val="0"/>
          <w:sz w:val="24"/>
          <w:szCs w:val="24"/>
        </w:rPr>
        <w:fldChar w:fldCharType="end"/>
      </w:r>
      <w:r>
        <w:rPr>
          <w:rFonts w:hint="eastAsia" w:ascii="仿宋" w:hAnsi="仿宋" w:eastAsia="仿宋" w:cs="仿宋"/>
          <w:bCs/>
          <w:i w:val="0"/>
          <w:iCs w:val="0"/>
          <w:smallCaps/>
          <w:snapToGrid w:val="0"/>
          <w:kern w:val="0"/>
          <w:sz w:val="24"/>
          <w:szCs w:val="24"/>
          <w:lang w:val="en-US" w:eastAsia="zh-CN"/>
        </w:rPr>
        <w:t>4</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仿宋" w:hAnsi="仿宋" w:eastAsia="仿宋" w:cs="仿宋"/>
          <w:color w:val="0000FF"/>
          <w:sz w:val="28"/>
          <w:szCs w:val="28"/>
        </w:rPr>
      </w:pPr>
      <w:r>
        <w:rPr>
          <w:rFonts w:hint="eastAsia" w:ascii="仿宋" w:hAnsi="仿宋" w:eastAsia="仿宋" w:cs="仿宋"/>
          <w:bCs/>
          <w:i w:val="0"/>
          <w:iCs w:val="0"/>
          <w:smallCaps/>
          <w:snapToGrid w:val="0"/>
          <w:kern w:val="0"/>
          <w:sz w:val="24"/>
          <w:szCs w:val="24"/>
        </w:rPr>
        <w:fldChar w:fldCharType="end"/>
      </w:r>
    </w:p>
    <w:p>
      <w:pPr>
        <w:spacing w:line="500" w:lineRule="exact"/>
        <w:ind w:firstLine="643" w:firstLineChars="200"/>
        <w:jc w:val="center"/>
        <w:outlineLvl w:val="9"/>
        <w:rPr>
          <w:rFonts w:hint="eastAsia" w:ascii="宋体" w:hAnsi="宋体" w:eastAsia="宋体" w:cs="宋体"/>
          <w:b/>
          <w:bCs/>
          <w:color w:val="000000"/>
          <w:sz w:val="32"/>
          <w:szCs w:val="32"/>
        </w:rPr>
      </w:pPr>
      <w:bookmarkStart w:id="0" w:name="_Toc7134"/>
      <w:bookmarkStart w:id="1" w:name="_Toc6517"/>
      <w:bookmarkStart w:id="2" w:name="_Toc14960"/>
      <w:bookmarkStart w:id="3" w:name="_Toc7589"/>
      <w:bookmarkStart w:id="4" w:name="_Toc460780619"/>
    </w:p>
    <w:p>
      <w:pPr>
        <w:spacing w:line="500" w:lineRule="exact"/>
        <w:ind w:firstLine="643" w:firstLineChars="200"/>
        <w:jc w:val="center"/>
        <w:outlineLvl w:val="9"/>
        <w:rPr>
          <w:rFonts w:hint="eastAsia" w:ascii="宋体" w:hAnsi="宋体" w:eastAsia="宋体" w:cs="宋体"/>
          <w:b/>
          <w:bCs/>
          <w:color w:val="000000"/>
          <w:sz w:val="32"/>
          <w:szCs w:val="32"/>
        </w:rPr>
      </w:pPr>
    </w:p>
    <w:p>
      <w:pPr>
        <w:spacing w:line="500" w:lineRule="exact"/>
        <w:ind w:firstLine="643" w:firstLineChars="200"/>
        <w:jc w:val="center"/>
        <w:outlineLvl w:val="9"/>
        <w:rPr>
          <w:rFonts w:hint="eastAsia" w:ascii="宋体" w:hAnsi="宋体" w:eastAsia="宋体" w:cs="宋体"/>
          <w:b/>
          <w:bCs/>
          <w:color w:val="000000"/>
          <w:sz w:val="32"/>
          <w:szCs w:val="32"/>
        </w:rPr>
      </w:pPr>
    </w:p>
    <w:p>
      <w:pPr>
        <w:spacing w:line="500" w:lineRule="exact"/>
        <w:ind w:firstLine="643" w:firstLineChars="200"/>
        <w:jc w:val="center"/>
        <w:outlineLvl w:val="9"/>
        <w:rPr>
          <w:rFonts w:hint="eastAsia" w:ascii="宋体" w:hAnsi="宋体" w:eastAsia="宋体" w:cs="宋体"/>
          <w:b/>
          <w:bCs/>
          <w:color w:val="000000"/>
          <w:sz w:val="32"/>
          <w:szCs w:val="32"/>
        </w:rPr>
      </w:pPr>
    </w:p>
    <w:p>
      <w:pPr>
        <w:spacing w:line="500" w:lineRule="exact"/>
        <w:ind w:firstLine="643" w:firstLineChars="200"/>
        <w:jc w:val="center"/>
        <w:outlineLvl w:val="9"/>
        <w:rPr>
          <w:rFonts w:hint="eastAsia" w:ascii="宋体" w:hAnsi="宋体" w:eastAsia="宋体" w:cs="宋体"/>
          <w:b/>
          <w:bCs/>
          <w:color w:val="000000"/>
          <w:sz w:val="32"/>
          <w:szCs w:val="32"/>
        </w:rPr>
      </w:pPr>
    </w:p>
    <w:p>
      <w:pPr>
        <w:spacing w:line="500" w:lineRule="exact"/>
        <w:ind w:firstLine="643" w:firstLineChars="200"/>
        <w:jc w:val="center"/>
        <w:outlineLvl w:val="9"/>
        <w:rPr>
          <w:rFonts w:hint="eastAsia" w:ascii="宋体" w:hAnsi="宋体" w:eastAsia="宋体" w:cs="宋体"/>
          <w:b/>
          <w:bCs/>
          <w:color w:val="000000"/>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center"/>
        <w:textAlignment w:val="auto"/>
        <w:outlineLvl w:val="9"/>
        <w:rPr>
          <w:rFonts w:hint="eastAsia" w:ascii="仿宋" w:hAnsi="仿宋" w:eastAsia="仿宋" w:cs="仿宋"/>
          <w:b/>
          <w:bCs/>
          <w:color w:val="000000"/>
          <w:sz w:val="28"/>
          <w:szCs w:val="28"/>
        </w:rPr>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kinsoku/>
        <w:wordWrap/>
        <w:overflowPunct/>
        <w:topLinePunct w:val="0"/>
        <w:autoSpaceDE/>
        <w:autoSpaceDN/>
        <w:bidi w:val="0"/>
        <w:adjustRightInd/>
        <w:snapToGrid/>
        <w:spacing w:before="157" w:beforeLines="50" w:line="360" w:lineRule="auto"/>
        <w:ind w:firstLine="640" w:firstLineChars="200"/>
        <w:jc w:val="center"/>
        <w:textAlignment w:val="auto"/>
        <w:outlineLvl w:val="0"/>
        <w:rPr>
          <w:rFonts w:hint="eastAsia" w:ascii="黑体" w:hAnsi="黑体" w:eastAsia="黑体" w:cs="黑体"/>
          <w:sz w:val="32"/>
          <w:szCs w:val="32"/>
          <w:lang w:val="en-US" w:eastAsia="zh-CN"/>
        </w:rPr>
      </w:pPr>
      <w:bookmarkStart w:id="5" w:name="_Toc2907"/>
      <w:r>
        <w:rPr>
          <w:rFonts w:hint="eastAsia" w:ascii="黑体" w:hAnsi="黑体" w:eastAsia="黑体" w:cs="黑体"/>
          <w:sz w:val="32"/>
          <w:szCs w:val="32"/>
          <w:lang w:val="en-US" w:eastAsia="zh-CN"/>
        </w:rPr>
        <w:t>总  则</w:t>
      </w:r>
      <w:bookmarkEnd w:id="0"/>
      <w:bookmarkEnd w:id="1"/>
      <w:bookmarkEnd w:id="2"/>
      <w:bookmarkEnd w:id="3"/>
      <w:bookmarkEnd w:id="5"/>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lang w:val="zh-CN"/>
        </w:rPr>
        <w:t>为深入贯彻落实党的十九届五中全会和第三次中央新疆工作座谈会精神，完整准确贯彻新时代党的治疆方略，为更好发挥矿产资源在经济社会发展中的基础支撑作用，统筹好矿产资源开发与生态环境保护，推动矿业高质量发展，</w:t>
      </w:r>
      <w:bookmarkStart w:id="6" w:name="_Hlk80366498"/>
      <w:bookmarkStart w:id="7" w:name="_Hlk80366649"/>
      <w:r>
        <w:rPr>
          <w:rFonts w:hint="eastAsia" w:ascii="仿宋" w:hAnsi="仿宋" w:eastAsia="仿宋" w:cs="仿宋"/>
          <w:sz w:val="28"/>
          <w:szCs w:val="28"/>
        </w:rPr>
        <w:t>依据《中华人民共和国矿产资源法》及其实施细则、《矿产资源规划编制实施办法（2019年修订）》（国土资源部令第 55 号）、《全国矿产资源总体规划</w:t>
      </w:r>
      <w:r>
        <w:rPr>
          <w:rFonts w:hint="eastAsia" w:ascii="仿宋" w:hAnsi="仿宋" w:eastAsia="仿宋" w:cs="仿宋"/>
          <w:sz w:val="28"/>
          <w:szCs w:val="28"/>
          <w:lang w:eastAsia="zh-CN"/>
        </w:rPr>
        <w:t>》</w:t>
      </w:r>
      <w:r>
        <w:rPr>
          <w:rFonts w:hint="eastAsia" w:ascii="仿宋" w:hAnsi="仿宋" w:eastAsia="仿宋" w:cs="仿宋"/>
          <w:sz w:val="28"/>
          <w:szCs w:val="28"/>
        </w:rPr>
        <w:t>（2021-2025年）等法律、法规和规范性文件；</w:t>
      </w:r>
      <w:bookmarkStart w:id="8" w:name="_Hlk80167656"/>
      <w:r>
        <w:rPr>
          <w:rFonts w:hint="eastAsia" w:ascii="仿宋" w:hAnsi="仿宋" w:eastAsia="仿宋" w:cs="仿宋"/>
          <w:sz w:val="28"/>
          <w:szCs w:val="28"/>
        </w:rPr>
        <w:t>《自然资源部关于全面开展矿产资源规划（2021-2025年）编制工作的通知》(自然资发〔2020〕43号)、《自然资源部办公厅关于印发&lt;市县级矿产资源总体规划编制要点&gt;的通知》（自然资办法〔2020〕19号）</w:t>
      </w:r>
      <w:bookmarkEnd w:id="8"/>
      <w:r>
        <w:rPr>
          <w:rFonts w:hint="eastAsia" w:ascii="仿宋" w:hAnsi="仿宋" w:eastAsia="仿宋" w:cs="仿宋"/>
          <w:sz w:val="28"/>
          <w:szCs w:val="28"/>
        </w:rPr>
        <w:t>编制《新疆维吾尔自治区</w:t>
      </w:r>
      <w:r>
        <w:rPr>
          <w:rFonts w:hint="eastAsia" w:ascii="仿宋" w:hAnsi="仿宋" w:eastAsia="仿宋" w:cs="仿宋"/>
          <w:sz w:val="28"/>
          <w:szCs w:val="28"/>
          <w:lang w:val="en-US" w:eastAsia="zh-CN"/>
        </w:rPr>
        <w:t>塔城地区</w:t>
      </w:r>
      <w:r>
        <w:rPr>
          <w:rFonts w:hint="eastAsia" w:ascii="仿宋" w:hAnsi="仿宋" w:eastAsia="仿宋" w:cs="仿宋"/>
          <w:sz w:val="28"/>
          <w:szCs w:val="28"/>
        </w:rPr>
        <w:t>沙湾市矿产资源规划（2021-2025年）》（以下简称规划）。</w:t>
      </w:r>
      <w:bookmarkEnd w:id="6"/>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lang w:val="zh-CN"/>
        </w:rPr>
      </w:pPr>
      <w:bookmarkStart w:id="9" w:name="_Hlk80366529"/>
      <w:r>
        <w:rPr>
          <w:rFonts w:hint="eastAsia" w:ascii="仿宋" w:hAnsi="仿宋" w:eastAsia="仿宋" w:cs="仿宋"/>
          <w:sz w:val="28"/>
          <w:szCs w:val="28"/>
          <w:lang w:val="zh-CN"/>
        </w:rPr>
        <w:t>《规划》是确保国家经济安全、落实国家能源资源安全战略、加强和改善矿产资源宏观管理的重要手段，是依法审批和监督管理矿产资源勘查、开发利用与保护活动的重要依据。</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lang w:val="zh-CN"/>
        </w:rPr>
        <w:t>《规划》是细化和落实上级矿产资源规划指标、空间布局、管理措施和重大工程要求；对行政区内矿产资源调查评价、开发利用、矿山地质环境恢复治理、绿色矿山建设等方面做出全面规划；合理确定矿产资源开采总量、数量、结构、时序和准入要求等；明确矿山地质环境保护与治理恢复目标；对矿产资源监督管理和规划实施管理措施进行了建议。促进</w:t>
      </w:r>
      <w:r>
        <w:rPr>
          <w:rFonts w:hint="eastAsia" w:ascii="仿宋" w:hAnsi="仿宋" w:eastAsia="仿宋" w:cs="仿宋"/>
          <w:sz w:val="28"/>
          <w:szCs w:val="28"/>
          <w:lang w:val="en-US" w:eastAsia="zh-CN"/>
        </w:rPr>
        <w:t>沙湾</w:t>
      </w:r>
      <w:r>
        <w:rPr>
          <w:rFonts w:hint="eastAsia" w:ascii="仿宋" w:hAnsi="仿宋" w:eastAsia="仿宋" w:cs="仿宋"/>
          <w:sz w:val="28"/>
          <w:szCs w:val="28"/>
          <w:lang w:val="zh-CN"/>
        </w:rPr>
        <w:t>市矿业经济健康持续发展。</w:t>
      </w:r>
    </w:p>
    <w:bookmarkEnd w:id="7"/>
    <w:bookmarkEnd w:id="9"/>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bookmarkStart w:id="10" w:name="_Toc468308922"/>
      <w:r>
        <w:rPr>
          <w:rFonts w:hint="eastAsia" w:ascii="仿宋" w:hAnsi="仿宋" w:eastAsia="仿宋" w:cs="仿宋"/>
          <w:sz w:val="28"/>
          <w:szCs w:val="28"/>
        </w:rPr>
        <w:t>《规划》适用范围：</w:t>
      </w:r>
      <w:r>
        <w:rPr>
          <w:rFonts w:hint="eastAsia" w:ascii="仿宋" w:hAnsi="仿宋" w:eastAsia="仿宋" w:cs="仿宋"/>
          <w:sz w:val="28"/>
          <w:szCs w:val="28"/>
          <w:lang w:val="en-US" w:eastAsia="zh-CN"/>
        </w:rPr>
        <w:t>沙湾</w:t>
      </w:r>
      <w:r>
        <w:rPr>
          <w:rFonts w:hint="eastAsia" w:ascii="仿宋" w:hAnsi="仿宋" w:eastAsia="仿宋" w:cs="仿宋"/>
          <w:sz w:val="28"/>
          <w:szCs w:val="28"/>
        </w:rPr>
        <w:t>市所辖行政区。</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bookmarkStart w:id="11" w:name="_Hlk80366728"/>
      <w:r>
        <w:rPr>
          <w:rFonts w:hint="eastAsia" w:ascii="仿宋" w:hAnsi="仿宋" w:eastAsia="仿宋" w:cs="仿宋"/>
          <w:sz w:val="28"/>
          <w:szCs w:val="28"/>
        </w:rPr>
        <w:t>《规划》实施期限：以2020年为基准年，2021-2025年为规划期，展望到2035年。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sz w:val="28"/>
          <w:szCs w:val="28"/>
        </w:rPr>
      </w:pPr>
    </w:p>
    <w:bookmarkEnd w:id="4"/>
    <w:bookmarkEnd w:id="10"/>
    <w:bookmarkEnd w:id="11"/>
    <w:p>
      <w:pPr>
        <w:spacing w:line="580" w:lineRule="exact"/>
        <w:ind w:firstLine="560" w:firstLineChars="200"/>
        <w:rPr>
          <w:rFonts w:hint="eastAsia" w:ascii="仿宋" w:hAnsi="仿宋" w:eastAsia="仿宋" w:cs="Times New Roman"/>
          <w:sz w:val="28"/>
          <w:szCs w:val="28"/>
          <w:lang w:val="en-US" w:eastAsia="zh-CN"/>
        </w:rPr>
      </w:pPr>
    </w:p>
    <w:p>
      <w:pPr>
        <w:bidi w:val="0"/>
        <w:rPr>
          <w:rFonts w:hint="eastAsia"/>
          <w:lang w:val="en-US" w:eastAsia="zh-CN"/>
        </w:rPr>
      </w:pPr>
    </w:p>
    <w:p>
      <w:pPr>
        <w:keepNext w:val="0"/>
        <w:keepLines w:val="0"/>
        <w:pageBreakBefore w:val="0"/>
        <w:widowControl/>
        <w:kinsoku/>
        <w:wordWrap/>
        <w:overflowPunct/>
        <w:topLinePunct w:val="0"/>
        <w:autoSpaceDE/>
        <w:autoSpaceDN/>
        <w:bidi w:val="0"/>
        <w:adjustRightInd/>
        <w:snapToGrid/>
        <w:spacing w:before="157" w:beforeLines="50" w:line="360" w:lineRule="auto"/>
        <w:ind w:firstLine="640" w:firstLineChars="200"/>
        <w:jc w:val="left"/>
        <w:textAlignment w:val="auto"/>
        <w:outlineLvl w:val="0"/>
        <w:rPr>
          <w:rFonts w:hint="eastAsia" w:ascii="黑体" w:hAnsi="黑体" w:eastAsia="黑体" w:cs="黑体"/>
          <w:sz w:val="32"/>
          <w:szCs w:val="32"/>
          <w:lang w:val="en-US" w:eastAsia="zh-CN"/>
        </w:rPr>
        <w:sectPr>
          <w:footerReference r:id="rId10"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12" w:name="_Toc9540"/>
    </w:p>
    <w:p>
      <w:pPr>
        <w:keepNext w:val="0"/>
        <w:keepLines w:val="0"/>
        <w:pageBreakBefore w:val="0"/>
        <w:widowControl/>
        <w:kinsoku/>
        <w:wordWrap/>
        <w:overflowPunct/>
        <w:topLinePunct w:val="0"/>
        <w:autoSpaceDE/>
        <w:autoSpaceDN/>
        <w:bidi w:val="0"/>
        <w:adjustRightInd/>
        <w:snapToGrid/>
        <w:spacing w:before="157" w:beforeLines="50" w:line="360" w:lineRule="auto"/>
        <w:ind w:firstLine="640" w:firstLineChars="200"/>
        <w:jc w:val="left"/>
        <w:textAlignment w:val="auto"/>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一、现状与形势</w:t>
      </w:r>
      <w:bookmarkEnd w:id="12"/>
    </w:p>
    <w:p>
      <w:pPr>
        <w:keepNext/>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jc w:val="left"/>
        <w:textAlignment w:val="auto"/>
        <w:outlineLvl w:val="1"/>
        <w:rPr>
          <w:rFonts w:hint="eastAsia" w:ascii="仿宋" w:hAnsi="仿宋" w:eastAsia="仿宋" w:cs="仿宋"/>
          <w:b/>
          <w:bCs/>
          <w:kern w:val="2"/>
          <w:sz w:val="28"/>
          <w:szCs w:val="28"/>
          <w:lang w:val="en-US" w:eastAsia="zh-CN" w:bidi="ar-SA"/>
        </w:rPr>
      </w:pPr>
      <w:bookmarkStart w:id="13" w:name="_Toc94278144"/>
      <w:bookmarkStart w:id="14" w:name="_Toc15179"/>
      <w:bookmarkStart w:id="15" w:name="_Toc93916998"/>
      <w:bookmarkStart w:id="16" w:name="_Toc93309303"/>
      <w:r>
        <w:rPr>
          <w:rFonts w:hint="eastAsia" w:ascii="仿宋" w:hAnsi="仿宋" w:eastAsia="仿宋" w:cs="仿宋"/>
          <w:b/>
          <w:bCs/>
          <w:kern w:val="2"/>
          <w:sz w:val="28"/>
          <w:szCs w:val="28"/>
          <w:lang w:val="en-US" w:eastAsia="zh-CN" w:bidi="ar-SA"/>
        </w:rPr>
        <w:t>（一）</w:t>
      </w:r>
      <w:bookmarkEnd w:id="13"/>
      <w:bookmarkEnd w:id="14"/>
      <w:bookmarkEnd w:id="15"/>
      <w:bookmarkEnd w:id="16"/>
      <w:bookmarkStart w:id="17" w:name="_Toc9242"/>
      <w:bookmarkStart w:id="18" w:name="_Toc8982"/>
      <w:bookmarkStart w:id="19" w:name="_Toc15942"/>
      <w:r>
        <w:rPr>
          <w:rFonts w:hint="eastAsia" w:ascii="仿宋" w:hAnsi="仿宋" w:eastAsia="仿宋" w:cs="仿宋"/>
          <w:b/>
          <w:bCs/>
          <w:kern w:val="2"/>
          <w:sz w:val="28"/>
          <w:szCs w:val="28"/>
          <w:lang w:val="en-US" w:eastAsia="zh-CN" w:bidi="ar-SA"/>
        </w:rPr>
        <w:t>市情概况</w:t>
      </w:r>
      <w:bookmarkEnd w:id="17"/>
      <w:bookmarkEnd w:id="18"/>
      <w:bookmarkEnd w:id="19"/>
    </w:p>
    <w:p>
      <w:pPr>
        <w:keepNext/>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0" w:firstLineChars="200"/>
        <w:jc w:val="left"/>
        <w:textAlignment w:val="auto"/>
        <w:outlineLvl w:val="9"/>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沙湾市位于准噶尔盆地西部边缘，隶属塔城地区，辖区总面积为12465平方千米。沙湾市东距乌鲁木齐市185公里，东邻石河子市、玛纳斯县；南到依连哈比尔尕山分水岭，与和静县、尼勒克县相连；西至八音沟，开干齐、小拐与乌苏市、奎屯市、沙湾市接壤；北入古尔班通古特沙漠，与和布克赛尔蒙古自治县相交，是乌鲁木齐向西通往伊犁地区、塔城地区及霍尔果斯口岸的必经之地。</w:t>
      </w:r>
    </w:p>
    <w:tbl>
      <w:tblPr>
        <w:tblStyle w:val="16"/>
        <w:tblW w:w="8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7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380" w:type="dxa"/>
            <w:gridSpan w:val="2"/>
            <w:tcBorders>
              <w:top w:val="single" w:color="auto" w:sz="8" w:space="0"/>
              <w:bottom w:val="single" w:color="auto" w:sz="8" w:space="0"/>
            </w:tcBorders>
            <w:shd w:val="clear" w:color="auto" w:fill="D7D7D7" w:themeFill="background1" w:themeFillShade="D8"/>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宋体" w:hAnsi="宋体" w:eastAsia="宋体" w:cs="宋体"/>
                <w:color w:val="000000"/>
                <w:spacing w:val="-2"/>
                <w:kern w:val="2"/>
                <w:sz w:val="21"/>
                <w:szCs w:val="21"/>
                <w:lang w:val="en-US" w:eastAsia="zh-CN" w:bidi="zh-TW"/>
              </w:rPr>
            </w:pPr>
            <w:r>
              <w:rPr>
                <w:rFonts w:hint="eastAsia" w:ascii="仿宋" w:hAnsi="仿宋" w:eastAsia="仿宋" w:cs="仿宋"/>
                <w:b/>
                <w:bCs/>
                <w:color w:val="000000"/>
                <w:sz w:val="21"/>
                <w:szCs w:val="21"/>
                <w:lang w:eastAsia="zh-CN"/>
              </w:rPr>
              <w:t>专栏</w:t>
            </w:r>
            <w:r>
              <w:rPr>
                <w:rFonts w:hint="eastAsia" w:ascii="仿宋" w:hAnsi="仿宋" w:eastAsia="仿宋" w:cs="仿宋"/>
                <w:b/>
                <w:bCs/>
                <w:color w:val="000000"/>
                <w:sz w:val="21"/>
                <w:szCs w:val="21"/>
                <w:lang w:val="en-US" w:eastAsia="zh-CN"/>
              </w:rPr>
              <w:t>1</w:t>
            </w:r>
            <w:r>
              <w:rPr>
                <w:rFonts w:hint="eastAsia" w:ascii="仿宋" w:hAnsi="仿宋" w:eastAsia="仿宋" w:cs="仿宋"/>
                <w:b/>
                <w:bCs/>
                <w:color w:val="000000"/>
                <w:sz w:val="21"/>
                <w:szCs w:val="21"/>
                <w:lang w:eastAsia="zh-CN"/>
              </w:rPr>
              <w:t xml:space="preserve">   </w:t>
            </w:r>
            <w:r>
              <w:rPr>
                <w:rFonts w:hint="eastAsia" w:ascii="仿宋" w:hAnsi="仿宋" w:eastAsia="仿宋" w:cs="仿宋"/>
                <w:b/>
                <w:bCs/>
                <w:color w:val="000000"/>
                <w:sz w:val="21"/>
                <w:szCs w:val="21"/>
                <w:lang w:val="en-US" w:eastAsia="zh-CN"/>
              </w:rPr>
              <w:t xml:space="preserve">  </w:t>
            </w:r>
            <w:r>
              <w:rPr>
                <w:rFonts w:hint="eastAsia" w:ascii="宋体" w:hAnsi="宋体" w:eastAsia="宋体" w:cs="宋体"/>
                <w:b w:val="0"/>
                <w:bCs w:val="0"/>
                <w:color w:val="000000"/>
                <w:spacing w:val="-2"/>
                <w:kern w:val="2"/>
                <w:sz w:val="21"/>
                <w:szCs w:val="21"/>
                <w:lang w:val="en-US" w:eastAsia="zh-CN" w:bidi="zh-TW"/>
              </w:rPr>
              <w:t xml:space="preserve"> </w:t>
            </w:r>
            <w:r>
              <w:rPr>
                <w:rFonts w:hint="eastAsia" w:ascii="宋体" w:hAnsi="宋体" w:eastAsia="宋体" w:cs="宋体"/>
                <w:b/>
                <w:bCs/>
                <w:color w:val="000000"/>
                <w:spacing w:val="-2"/>
                <w:kern w:val="2"/>
                <w:sz w:val="21"/>
                <w:szCs w:val="21"/>
                <w:lang w:val="en-US" w:eastAsia="zh-CN" w:bidi="zh-TW"/>
              </w:rPr>
              <w:t>沙湾市自然资源概况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行政区划</w:t>
            </w:r>
          </w:p>
        </w:tc>
        <w:tc>
          <w:tcPr>
            <w:tcW w:w="732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沙湾市位于准噶尔盆地西部边缘，隶属塔城地区，下辖9镇、3乡，并驻有新疆生产建设兵团11个农牧团场。地理坐标：东经85°01′51″—85°14′53″，北纬44°01′22″—44°10′59″，辖区总面积为12465平方千米。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自然地理</w:t>
            </w:r>
          </w:p>
        </w:tc>
        <w:tc>
          <w:tcPr>
            <w:tcW w:w="7320" w:type="dxa"/>
            <w:tcBorders>
              <w:top w:val="single" w:color="auto" w:sz="8" w:space="0"/>
              <w:bottom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沙湾市位于亚欧大陆腹地，北部是西准噶尔盆地，南部为天山支脉依连哈比尔尕山，总体地势特征为南高北低，有山地、平原、沙漠。山地广泛分布于县境南部，主要山脉为天山支脉依连哈比尔尕山。按形态成因不同，可将山地划分为冰川作用高山、极高山区、侵蚀作用强烈中山区、剥蚀作用强烈低山丘陵区和黄土覆盖的剥蚀垅岗状丘陵;平原广泛分布于中部，按形态成因不同，可将平原划分为冲洪积倾斜平原和冲洪积细土平原；沙漠位于辖区北部，属古尔班通古特沙漠的一部分，名为德佐索腾艾里松沙漠，总体上由南向北倾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矿产资源</w:t>
            </w:r>
          </w:p>
        </w:tc>
        <w:tc>
          <w:tcPr>
            <w:tcW w:w="7320" w:type="dxa"/>
            <w:tcBorders>
              <w:top w:val="single" w:color="auto" w:sz="8" w:space="0"/>
              <w:bottom w:val="single" w:color="auto" w:sz="8"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新疆重要的能源资源基地,矿产资源具有</w:t>
            </w:r>
            <w:r>
              <w:rPr>
                <w:rFonts w:hint="eastAsia" w:ascii="仿宋" w:hAnsi="仿宋" w:eastAsia="仿宋" w:cs="仿宋"/>
                <w:color w:val="000000"/>
                <w:spacing w:val="-2"/>
                <w:kern w:val="2"/>
                <w:sz w:val="21"/>
                <w:szCs w:val="21"/>
                <w:lang w:val="zh-CN" w:eastAsia="zh-CN" w:bidi="zh-TW"/>
              </w:rPr>
              <w:t>优势突出、</w:t>
            </w:r>
            <w:r>
              <w:rPr>
                <w:rFonts w:hint="eastAsia" w:ascii="仿宋" w:hAnsi="仿宋" w:eastAsia="仿宋" w:cs="仿宋"/>
                <w:color w:val="000000"/>
                <w:spacing w:val="-2"/>
                <w:kern w:val="2"/>
                <w:sz w:val="21"/>
                <w:szCs w:val="21"/>
                <w:lang w:val="en-US" w:eastAsia="zh-CN" w:bidi="zh-TW"/>
              </w:rPr>
              <w:t>矿产资源丰富</w:t>
            </w:r>
            <w:r>
              <w:rPr>
                <w:rFonts w:hint="eastAsia" w:ascii="仿宋" w:hAnsi="仿宋" w:eastAsia="仿宋" w:cs="仿宋"/>
                <w:color w:val="000000"/>
                <w:spacing w:val="-2"/>
                <w:kern w:val="2"/>
                <w:sz w:val="21"/>
                <w:szCs w:val="21"/>
                <w:lang w:val="zh-CN" w:eastAsia="zh-CN" w:bidi="zh-TW"/>
              </w:rPr>
              <w:t>等特点，优势</w:t>
            </w:r>
            <w:r>
              <w:rPr>
                <w:rFonts w:hint="eastAsia" w:ascii="仿宋" w:hAnsi="仿宋" w:eastAsia="仿宋" w:cs="仿宋"/>
                <w:color w:val="000000"/>
                <w:spacing w:val="-2"/>
                <w:kern w:val="2"/>
                <w:sz w:val="21"/>
                <w:szCs w:val="21"/>
                <w:lang w:val="en-US" w:eastAsia="zh-CN" w:bidi="zh-TW"/>
              </w:rPr>
              <w:t>矿种有：煤炭、煤层气、石灰岩等。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水资源</w:t>
            </w:r>
          </w:p>
        </w:tc>
        <w:tc>
          <w:tcPr>
            <w:tcW w:w="732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沙湾市境内主要河流有5条，均属内陆河流。由东至西为：玛纳斯河、宁家河、金沟河、大南沟河、安集海河（巴音沟河），均为冰雪融水或大气降水补给河流，各河流年平均径流量总计为20.28亿立方米。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森林资源</w:t>
            </w:r>
          </w:p>
        </w:tc>
        <w:tc>
          <w:tcPr>
            <w:tcW w:w="732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林地总面积2066平方千米，占全区总面积16.57%，主要发育有梭梭、红柳、胡杨。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草地资源</w:t>
            </w:r>
          </w:p>
        </w:tc>
        <w:tc>
          <w:tcPr>
            <w:tcW w:w="732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草地总面积为4854平方千米，占全地区总面积的38.94%。牧草品种繁多，草质优良。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湿地资源</w:t>
            </w:r>
          </w:p>
        </w:tc>
        <w:tc>
          <w:tcPr>
            <w:tcW w:w="732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湿地总面积83平方千米，主要为内陆滩涂。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旅游资源</w:t>
            </w:r>
          </w:p>
        </w:tc>
        <w:tc>
          <w:tcPr>
            <w:tcW w:w="732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自然景观和人文景观众多，风景艳丽，景色优美，尤其是鹿角湾国家森林公园，有“五花草原”的美誉。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人口</w:t>
            </w:r>
          </w:p>
        </w:tc>
        <w:tc>
          <w:tcPr>
            <w:tcW w:w="7320" w:type="dxa"/>
            <w:tcBorders>
              <w:top w:val="single" w:color="auto" w:sz="8" w:space="0"/>
              <w:bottom w:val="single" w:color="auto" w:sz="8" w:space="0"/>
            </w:tcBorders>
            <w:noWrap w:val="0"/>
            <w:vAlign w:val="center"/>
          </w:tcPr>
          <w:p>
            <w:pPr>
              <w:pStyle w:val="3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区内常住人口20.08万人，其中，城镇人口11.02万人，乡村人口9.06万人，由</w:t>
            </w:r>
            <w:r>
              <w:rPr>
                <w:rFonts w:hint="eastAsia" w:ascii="仿宋" w:hAnsi="仿宋" w:eastAsia="仿宋" w:cs="仿宋"/>
                <w:color w:val="000000"/>
                <w:spacing w:val="-2"/>
                <w:kern w:val="2"/>
                <w:sz w:val="21"/>
                <w:szCs w:val="21"/>
                <w:lang w:val="en-US" w:eastAsia="zh-CN" w:bidi="zh-TW"/>
              </w:rPr>
              <w:fldChar w:fldCharType="begin"/>
            </w:r>
            <w:r>
              <w:rPr>
                <w:rFonts w:hint="eastAsia" w:ascii="仿宋" w:hAnsi="仿宋" w:eastAsia="仿宋" w:cs="仿宋"/>
                <w:color w:val="000000"/>
                <w:spacing w:val="-2"/>
                <w:kern w:val="2"/>
                <w:sz w:val="21"/>
                <w:szCs w:val="21"/>
                <w:lang w:val="en-US" w:eastAsia="zh-CN" w:bidi="zh-TW"/>
              </w:rPr>
              <w:instrText xml:space="preserve"> HYPERLINK "https://baike.baidu.com/item/%E6%B1%89%E6%97%8F/130605?fromModule=lemma_inlink" \t "https://baike.baidu.com/item/%E6%B2%99%E6%B9%BE/_blank" </w:instrText>
            </w:r>
            <w:r>
              <w:rPr>
                <w:rFonts w:hint="eastAsia" w:ascii="仿宋" w:hAnsi="仿宋" w:eastAsia="仿宋" w:cs="仿宋"/>
                <w:color w:val="000000"/>
                <w:spacing w:val="-2"/>
                <w:kern w:val="2"/>
                <w:sz w:val="21"/>
                <w:szCs w:val="21"/>
                <w:lang w:val="en-US" w:eastAsia="zh-CN" w:bidi="zh-TW"/>
              </w:rPr>
              <w:fldChar w:fldCharType="separate"/>
            </w:r>
            <w:r>
              <w:rPr>
                <w:rFonts w:hint="eastAsia" w:ascii="仿宋" w:hAnsi="仿宋" w:eastAsia="仿宋" w:cs="仿宋"/>
                <w:color w:val="000000"/>
                <w:spacing w:val="-2"/>
                <w:kern w:val="2"/>
                <w:sz w:val="21"/>
                <w:szCs w:val="21"/>
                <w:lang w:val="en-US" w:eastAsia="zh-CN" w:bidi="zh-TW"/>
              </w:rPr>
              <w:t>汉族</w:t>
            </w:r>
            <w:r>
              <w:rPr>
                <w:rFonts w:hint="eastAsia" w:ascii="仿宋" w:hAnsi="仿宋" w:eastAsia="仿宋" w:cs="仿宋"/>
                <w:color w:val="000000"/>
                <w:spacing w:val="-2"/>
                <w:kern w:val="2"/>
                <w:sz w:val="21"/>
                <w:szCs w:val="21"/>
                <w:lang w:val="en-US" w:eastAsia="zh-CN" w:bidi="zh-TW"/>
              </w:rPr>
              <w:fldChar w:fldCharType="end"/>
            </w:r>
            <w:r>
              <w:rPr>
                <w:rFonts w:hint="eastAsia" w:ascii="仿宋" w:hAnsi="仿宋" w:eastAsia="仿宋" w:cs="仿宋"/>
                <w:color w:val="000000"/>
                <w:spacing w:val="-2"/>
                <w:kern w:val="2"/>
                <w:sz w:val="21"/>
                <w:szCs w:val="21"/>
                <w:lang w:val="en-US" w:eastAsia="zh-CN" w:bidi="zh-TW"/>
              </w:rPr>
              <w:t>、</w:t>
            </w:r>
            <w:r>
              <w:rPr>
                <w:rFonts w:hint="eastAsia" w:ascii="仿宋" w:hAnsi="仿宋" w:eastAsia="仿宋" w:cs="仿宋"/>
                <w:color w:val="000000"/>
                <w:spacing w:val="-2"/>
                <w:kern w:val="2"/>
                <w:sz w:val="21"/>
                <w:szCs w:val="21"/>
                <w:lang w:val="en-US" w:eastAsia="zh-CN" w:bidi="zh-TW"/>
              </w:rPr>
              <w:fldChar w:fldCharType="begin"/>
            </w:r>
            <w:r>
              <w:rPr>
                <w:rFonts w:hint="eastAsia" w:ascii="仿宋" w:hAnsi="仿宋" w:eastAsia="仿宋" w:cs="仿宋"/>
                <w:color w:val="000000"/>
                <w:spacing w:val="-2"/>
                <w:kern w:val="2"/>
                <w:sz w:val="21"/>
                <w:szCs w:val="21"/>
                <w:lang w:val="en-US" w:eastAsia="zh-CN" w:bidi="zh-TW"/>
              </w:rPr>
              <w:instrText xml:space="preserve"> HYPERLINK "https://baike.baidu.com/item/%E5%93%88%E8%90%A8%E5%85%8B%E6%97%8F/158358?fromModule=lemma_inlink" \t "https://baike.baidu.com/item/%E6%B2%99%E6%B9%BE/_blank" </w:instrText>
            </w:r>
            <w:r>
              <w:rPr>
                <w:rFonts w:hint="eastAsia" w:ascii="仿宋" w:hAnsi="仿宋" w:eastAsia="仿宋" w:cs="仿宋"/>
                <w:color w:val="000000"/>
                <w:spacing w:val="-2"/>
                <w:kern w:val="2"/>
                <w:sz w:val="21"/>
                <w:szCs w:val="21"/>
                <w:lang w:val="en-US" w:eastAsia="zh-CN" w:bidi="zh-TW"/>
              </w:rPr>
              <w:fldChar w:fldCharType="separate"/>
            </w:r>
            <w:r>
              <w:rPr>
                <w:rFonts w:hint="eastAsia" w:ascii="仿宋" w:hAnsi="仿宋" w:eastAsia="仿宋" w:cs="仿宋"/>
                <w:color w:val="000000"/>
                <w:spacing w:val="-2"/>
                <w:kern w:val="2"/>
                <w:sz w:val="21"/>
                <w:szCs w:val="21"/>
                <w:lang w:val="en-US" w:eastAsia="zh-CN" w:bidi="zh-TW"/>
              </w:rPr>
              <w:t>哈萨克族</w:t>
            </w:r>
            <w:r>
              <w:rPr>
                <w:rFonts w:hint="eastAsia" w:ascii="仿宋" w:hAnsi="仿宋" w:eastAsia="仿宋" w:cs="仿宋"/>
                <w:color w:val="000000"/>
                <w:spacing w:val="-2"/>
                <w:kern w:val="2"/>
                <w:sz w:val="21"/>
                <w:szCs w:val="21"/>
                <w:lang w:val="en-US" w:eastAsia="zh-CN" w:bidi="zh-TW"/>
              </w:rPr>
              <w:fldChar w:fldCharType="end"/>
            </w:r>
            <w:r>
              <w:rPr>
                <w:rFonts w:hint="eastAsia" w:ascii="仿宋" w:hAnsi="仿宋" w:eastAsia="仿宋" w:cs="仿宋"/>
                <w:color w:val="000000"/>
                <w:spacing w:val="-2"/>
                <w:kern w:val="2"/>
                <w:sz w:val="21"/>
                <w:szCs w:val="21"/>
                <w:lang w:val="en-US" w:eastAsia="zh-CN" w:bidi="zh-TW"/>
              </w:rPr>
              <w:t>、</w:t>
            </w:r>
            <w:r>
              <w:rPr>
                <w:rFonts w:hint="eastAsia" w:ascii="仿宋" w:hAnsi="仿宋" w:eastAsia="仿宋" w:cs="仿宋"/>
                <w:color w:val="000000"/>
                <w:spacing w:val="-2"/>
                <w:kern w:val="2"/>
                <w:sz w:val="21"/>
                <w:szCs w:val="21"/>
                <w:lang w:val="en-US" w:eastAsia="zh-CN" w:bidi="zh-TW"/>
              </w:rPr>
              <w:fldChar w:fldCharType="begin"/>
            </w:r>
            <w:r>
              <w:rPr>
                <w:rFonts w:hint="eastAsia" w:ascii="仿宋" w:hAnsi="仿宋" w:eastAsia="仿宋" w:cs="仿宋"/>
                <w:color w:val="000000"/>
                <w:spacing w:val="-2"/>
                <w:kern w:val="2"/>
                <w:sz w:val="21"/>
                <w:szCs w:val="21"/>
                <w:lang w:val="en-US" w:eastAsia="zh-CN" w:bidi="zh-TW"/>
              </w:rPr>
              <w:instrText xml:space="preserve"> HYPERLINK "https://baike.baidu.com/item/%E5%9B%9E%E6%97%8F/130303?fromModule=lemma_inlink" \t "https://baike.baidu.com/item/%E6%B2%99%E6%B9%BE/_blank" </w:instrText>
            </w:r>
            <w:r>
              <w:rPr>
                <w:rFonts w:hint="eastAsia" w:ascii="仿宋" w:hAnsi="仿宋" w:eastAsia="仿宋" w:cs="仿宋"/>
                <w:color w:val="000000"/>
                <w:spacing w:val="-2"/>
                <w:kern w:val="2"/>
                <w:sz w:val="21"/>
                <w:szCs w:val="21"/>
                <w:lang w:val="en-US" w:eastAsia="zh-CN" w:bidi="zh-TW"/>
              </w:rPr>
              <w:fldChar w:fldCharType="separate"/>
            </w:r>
            <w:r>
              <w:rPr>
                <w:rFonts w:hint="eastAsia" w:ascii="仿宋" w:hAnsi="仿宋" w:eastAsia="仿宋" w:cs="仿宋"/>
                <w:color w:val="000000"/>
                <w:spacing w:val="-2"/>
                <w:kern w:val="2"/>
                <w:sz w:val="21"/>
                <w:szCs w:val="21"/>
                <w:lang w:val="en-US" w:eastAsia="zh-CN" w:bidi="zh-TW"/>
              </w:rPr>
              <w:t>回族</w:t>
            </w:r>
            <w:r>
              <w:rPr>
                <w:rFonts w:hint="eastAsia" w:ascii="仿宋" w:hAnsi="仿宋" w:eastAsia="仿宋" w:cs="仿宋"/>
                <w:color w:val="000000"/>
                <w:spacing w:val="-2"/>
                <w:kern w:val="2"/>
                <w:sz w:val="21"/>
                <w:szCs w:val="21"/>
                <w:lang w:val="en-US" w:eastAsia="zh-CN" w:bidi="zh-TW"/>
              </w:rPr>
              <w:fldChar w:fldCharType="end"/>
            </w:r>
            <w:r>
              <w:rPr>
                <w:rFonts w:hint="eastAsia" w:ascii="仿宋" w:hAnsi="仿宋" w:eastAsia="仿宋" w:cs="仿宋"/>
                <w:color w:val="000000"/>
                <w:spacing w:val="-2"/>
                <w:kern w:val="2"/>
                <w:sz w:val="21"/>
                <w:szCs w:val="21"/>
                <w:lang w:val="en-US" w:eastAsia="zh-CN" w:bidi="zh-TW"/>
              </w:rPr>
              <w:t>、</w:t>
            </w:r>
            <w:r>
              <w:rPr>
                <w:rFonts w:hint="eastAsia" w:ascii="仿宋" w:hAnsi="仿宋" w:eastAsia="仿宋" w:cs="仿宋"/>
                <w:color w:val="000000"/>
                <w:spacing w:val="-2"/>
                <w:kern w:val="2"/>
                <w:sz w:val="21"/>
                <w:szCs w:val="21"/>
                <w:lang w:val="en-US" w:eastAsia="zh-CN" w:bidi="zh-TW"/>
              </w:rPr>
              <w:fldChar w:fldCharType="begin"/>
            </w:r>
            <w:r>
              <w:rPr>
                <w:rFonts w:hint="eastAsia" w:ascii="仿宋" w:hAnsi="仿宋" w:eastAsia="仿宋" w:cs="仿宋"/>
                <w:color w:val="000000"/>
                <w:spacing w:val="-2"/>
                <w:kern w:val="2"/>
                <w:sz w:val="21"/>
                <w:szCs w:val="21"/>
                <w:lang w:val="en-US" w:eastAsia="zh-CN" w:bidi="zh-TW"/>
              </w:rPr>
              <w:instrText xml:space="preserve"> HYPERLINK "https://baike.baidu.com/item/%E7%BB%B4%E5%90%BE%E5%B0%94%E6%97%8F/130398?fromModule=lemma_inlink" \t "https://baike.baidu.com/item/%E6%B2%99%E6%B9%BE/_blank" </w:instrText>
            </w:r>
            <w:r>
              <w:rPr>
                <w:rFonts w:hint="eastAsia" w:ascii="仿宋" w:hAnsi="仿宋" w:eastAsia="仿宋" w:cs="仿宋"/>
                <w:color w:val="000000"/>
                <w:spacing w:val="-2"/>
                <w:kern w:val="2"/>
                <w:sz w:val="21"/>
                <w:szCs w:val="21"/>
                <w:lang w:val="en-US" w:eastAsia="zh-CN" w:bidi="zh-TW"/>
              </w:rPr>
              <w:fldChar w:fldCharType="separate"/>
            </w:r>
            <w:r>
              <w:rPr>
                <w:rFonts w:hint="eastAsia" w:ascii="仿宋" w:hAnsi="仿宋" w:eastAsia="仿宋" w:cs="仿宋"/>
                <w:color w:val="000000"/>
                <w:spacing w:val="-2"/>
                <w:kern w:val="2"/>
                <w:sz w:val="21"/>
                <w:szCs w:val="21"/>
                <w:lang w:val="en-US" w:eastAsia="zh-CN" w:bidi="zh-TW"/>
              </w:rPr>
              <w:t>维吾尔族</w:t>
            </w:r>
            <w:r>
              <w:rPr>
                <w:rFonts w:hint="eastAsia" w:ascii="仿宋" w:hAnsi="仿宋" w:eastAsia="仿宋" w:cs="仿宋"/>
                <w:color w:val="000000"/>
                <w:spacing w:val="-2"/>
                <w:kern w:val="2"/>
                <w:sz w:val="21"/>
                <w:szCs w:val="21"/>
                <w:lang w:val="en-US" w:eastAsia="zh-CN" w:bidi="zh-TW"/>
              </w:rPr>
              <w:fldChar w:fldCharType="end"/>
            </w:r>
            <w:r>
              <w:rPr>
                <w:rFonts w:hint="eastAsia" w:ascii="仿宋" w:hAnsi="仿宋" w:eastAsia="仿宋" w:cs="仿宋"/>
                <w:color w:val="000000"/>
                <w:spacing w:val="-2"/>
                <w:kern w:val="2"/>
                <w:sz w:val="21"/>
                <w:szCs w:val="21"/>
                <w:lang w:val="en-US" w:eastAsia="zh-CN" w:bidi="zh-TW"/>
              </w:rPr>
              <w:t>等30个民族组成，是多民族聚居地区。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000000"/>
                <w:spacing w:val="-2"/>
                <w:sz w:val="21"/>
                <w:szCs w:val="21"/>
              </w:rPr>
            </w:pPr>
            <w:r>
              <w:rPr>
                <w:rFonts w:hint="eastAsia" w:ascii="仿宋" w:hAnsi="仿宋" w:eastAsia="仿宋" w:cs="仿宋"/>
                <w:color w:val="000000"/>
                <w:spacing w:val="-2"/>
                <w:sz w:val="21"/>
                <w:szCs w:val="21"/>
              </w:rPr>
              <w:t>交通</w:t>
            </w:r>
          </w:p>
        </w:tc>
        <w:tc>
          <w:tcPr>
            <w:tcW w:w="7320" w:type="dxa"/>
            <w:tcBorders>
              <w:top w:val="single" w:color="auto" w:sz="8" w:space="0"/>
              <w:bottom w:val="single" w:color="auto" w:sz="8" w:space="0"/>
            </w:tcBorders>
            <w:noWrap w:val="0"/>
            <w:vAlign w:val="center"/>
          </w:tcPr>
          <w:p>
            <w:pPr>
              <w:keepNext/>
              <w:keepLines/>
              <w:pageBreakBefore w:val="0"/>
              <w:widowControl w:val="0"/>
              <w:numPr>
                <w:ilvl w:val="0"/>
                <w:numId w:val="0"/>
              </w:numPr>
              <w:kinsoku/>
              <w:wordWrap/>
              <w:overflowPunct/>
              <w:topLinePunct w:val="0"/>
              <w:autoSpaceDE/>
              <w:autoSpaceDN/>
              <w:bidi w:val="0"/>
              <w:adjustRightInd/>
              <w:snapToGrid/>
              <w:spacing w:before="0" w:after="0" w:line="240" w:lineRule="auto"/>
              <w:jc w:val="left"/>
              <w:textAlignment w:val="auto"/>
              <w:outlineLvl w:val="9"/>
              <w:rPr>
                <w:rFonts w:hint="eastAsia" w:ascii="仿宋" w:hAnsi="仿宋" w:eastAsia="仿宋" w:cs="仿宋"/>
                <w:color w:val="000000"/>
                <w:spacing w:val="-2"/>
                <w:sz w:val="21"/>
                <w:szCs w:val="21"/>
              </w:rPr>
            </w:pPr>
            <w:r>
              <w:rPr>
                <w:rFonts w:hint="eastAsia" w:ascii="仿宋" w:hAnsi="仿宋" w:eastAsia="仿宋" w:cs="仿宋"/>
                <w:color w:val="000000"/>
                <w:spacing w:val="-2"/>
                <w:kern w:val="2"/>
                <w:sz w:val="21"/>
                <w:szCs w:val="21"/>
                <w:lang w:val="en-US" w:eastAsia="zh-CN" w:bidi="zh-TW"/>
              </w:rPr>
              <w:t>区内G312国道、G30乌奎高速公路、北疆铁路、五克高速、国防公路（S101线）自东向西穿境而过，X813线、X814线、X819线等三条县道自南向北纵贯全市，交通条件便利。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tcBorders>
            <w:noWrap w:val="0"/>
            <w:vAlign w:val="center"/>
          </w:tcPr>
          <w:p>
            <w:pPr>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仿宋" w:hAnsi="仿宋" w:eastAsia="仿宋" w:cs="仿宋"/>
                <w:color w:val="000000"/>
                <w:spacing w:val="-2"/>
                <w:sz w:val="21"/>
                <w:szCs w:val="21"/>
                <w:lang w:val="en-US" w:eastAsia="zh-CN"/>
              </w:rPr>
            </w:pPr>
            <w:r>
              <w:rPr>
                <w:rFonts w:hint="eastAsia" w:ascii="仿宋" w:hAnsi="仿宋" w:eastAsia="仿宋" w:cs="仿宋"/>
                <w:color w:val="000000"/>
                <w:spacing w:val="-2"/>
                <w:sz w:val="21"/>
                <w:szCs w:val="21"/>
                <w:lang w:val="en-US" w:eastAsia="zh-CN"/>
              </w:rPr>
              <w:t>气候</w:t>
            </w:r>
          </w:p>
        </w:tc>
        <w:tc>
          <w:tcPr>
            <w:tcW w:w="7320" w:type="dxa"/>
            <w:tcBorders>
              <w:top w:val="single" w:color="auto" w:sz="8" w:space="0"/>
            </w:tcBorders>
            <w:noWrap w:val="0"/>
            <w:vAlign w:val="center"/>
          </w:tcPr>
          <w:p>
            <w:pPr>
              <w:keepNext/>
              <w:keepLines/>
              <w:pageBreakBefore w:val="0"/>
              <w:widowControl w:val="0"/>
              <w:numPr>
                <w:ilvl w:val="0"/>
                <w:numId w:val="0"/>
              </w:numPr>
              <w:kinsoku/>
              <w:wordWrap/>
              <w:overflowPunct/>
              <w:topLinePunct w:val="0"/>
              <w:autoSpaceDE/>
              <w:autoSpaceDN/>
              <w:bidi w:val="0"/>
              <w:adjustRightInd/>
              <w:snapToGrid/>
              <w:spacing w:before="0" w:after="0" w:line="240" w:lineRule="auto"/>
              <w:jc w:val="left"/>
              <w:textAlignment w:val="auto"/>
              <w:outlineLvl w:val="9"/>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color w:val="000000"/>
                <w:spacing w:val="-2"/>
                <w:kern w:val="2"/>
                <w:sz w:val="21"/>
                <w:szCs w:val="21"/>
                <w:lang w:val="en-US" w:eastAsia="zh-CN" w:bidi="zh-TW"/>
              </w:rPr>
              <w:t>沙湾市地处新疆西北部，属中温带大陆性气候。平原区属于中温带大陆性干旱气候，具有分明的四季气候；山区属于高山寒冷气候，无明显的四季气候。</w:t>
            </w:r>
          </w:p>
        </w:tc>
      </w:tr>
    </w:tbl>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left"/>
        <w:textAlignment w:val="auto"/>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沙湾市是以农业为主，是塔城地区乃至北疆片区棉花、粮油、蔬菜、林果等生产供应基地。</w:t>
      </w:r>
      <w:r>
        <w:rPr>
          <w:rFonts w:hint="default" w:ascii="仿宋" w:hAnsi="仿宋" w:eastAsia="仿宋" w:cs="仿宋"/>
          <w:b w:val="0"/>
          <w:bCs w:val="0"/>
          <w:kern w:val="2"/>
          <w:sz w:val="28"/>
          <w:szCs w:val="28"/>
          <w:lang w:val="en-US" w:eastAsia="zh-CN" w:bidi="ar-SA"/>
        </w:rPr>
        <w:t>农产品供给能力显著</w:t>
      </w:r>
      <w:r>
        <w:rPr>
          <w:rFonts w:hint="eastAsia" w:ascii="仿宋" w:hAnsi="仿宋" w:eastAsia="仿宋" w:cs="仿宋"/>
          <w:b w:val="0"/>
          <w:bCs w:val="0"/>
          <w:kern w:val="2"/>
          <w:sz w:val="28"/>
          <w:szCs w:val="28"/>
          <w:lang w:val="en-US" w:eastAsia="zh-CN" w:bidi="ar-SA"/>
        </w:rPr>
        <w:t>增强，</w:t>
      </w:r>
      <w:r>
        <w:rPr>
          <w:rFonts w:hint="default" w:ascii="仿宋" w:hAnsi="仿宋" w:eastAsia="仿宋" w:cs="仿宋"/>
          <w:b w:val="0"/>
          <w:bCs w:val="0"/>
          <w:kern w:val="2"/>
          <w:sz w:val="28"/>
          <w:szCs w:val="28"/>
          <w:lang w:val="en-US" w:eastAsia="zh-CN" w:bidi="ar-SA"/>
        </w:rPr>
        <w:t>棉花产业优势</w:t>
      </w:r>
      <w:r>
        <w:rPr>
          <w:rFonts w:hint="eastAsia" w:ascii="仿宋" w:hAnsi="仿宋" w:eastAsia="仿宋" w:cs="仿宋"/>
          <w:b w:val="0"/>
          <w:bCs w:val="0"/>
          <w:kern w:val="2"/>
          <w:sz w:val="28"/>
          <w:szCs w:val="28"/>
          <w:lang w:val="en-US" w:eastAsia="zh-CN" w:bidi="ar-SA"/>
        </w:rPr>
        <w:t>地位</w:t>
      </w:r>
      <w:r>
        <w:rPr>
          <w:rFonts w:hint="default" w:ascii="仿宋" w:hAnsi="仿宋" w:eastAsia="仿宋" w:cs="仿宋"/>
          <w:b w:val="0"/>
          <w:bCs w:val="0"/>
          <w:kern w:val="2"/>
          <w:sz w:val="28"/>
          <w:szCs w:val="28"/>
          <w:lang w:val="en-US" w:eastAsia="zh-CN" w:bidi="ar-SA"/>
        </w:rPr>
        <w:t>巩固</w:t>
      </w:r>
      <w:r>
        <w:rPr>
          <w:rFonts w:hint="eastAsia" w:ascii="仿宋" w:hAnsi="仿宋" w:eastAsia="仿宋" w:cs="仿宋"/>
          <w:b w:val="0"/>
          <w:bCs w:val="0"/>
          <w:kern w:val="2"/>
          <w:sz w:val="28"/>
          <w:szCs w:val="28"/>
          <w:lang w:val="en-US" w:eastAsia="zh-CN" w:bidi="ar-SA"/>
        </w:rPr>
        <w:t>提升</w:t>
      </w:r>
      <w:r>
        <w:rPr>
          <w:rFonts w:hint="default" w:ascii="仿宋" w:hAnsi="仿宋" w:eastAsia="仿宋" w:cs="仿宋"/>
          <w:b w:val="0"/>
          <w:bCs w:val="0"/>
          <w:kern w:val="2"/>
          <w:sz w:val="28"/>
          <w:szCs w:val="28"/>
          <w:lang w:val="en-US" w:eastAsia="zh-CN" w:bidi="ar-SA"/>
        </w:rPr>
        <w:t>，</w:t>
      </w:r>
      <w:r>
        <w:rPr>
          <w:rFonts w:hint="eastAsia" w:ascii="仿宋" w:hAnsi="仿宋" w:eastAsia="仿宋" w:cs="仿宋"/>
          <w:b w:val="0"/>
          <w:bCs w:val="0"/>
          <w:kern w:val="2"/>
          <w:sz w:val="28"/>
          <w:szCs w:val="28"/>
          <w:lang w:val="en-US" w:eastAsia="zh-CN" w:bidi="ar-SA"/>
        </w:rPr>
        <w:t>特色农业稳步发展，</w:t>
      </w:r>
      <w:r>
        <w:rPr>
          <w:rFonts w:hint="default" w:ascii="仿宋" w:hAnsi="仿宋" w:eastAsia="仿宋" w:cs="仿宋"/>
          <w:b w:val="0"/>
          <w:bCs w:val="0"/>
          <w:kern w:val="2"/>
          <w:sz w:val="28"/>
          <w:szCs w:val="28"/>
          <w:lang w:val="en-US" w:eastAsia="zh-CN" w:bidi="ar-SA"/>
        </w:rPr>
        <w:t>经济总量持续扩大，质量效益稳步提升</w:t>
      </w:r>
      <w:r>
        <w:rPr>
          <w:rFonts w:hint="eastAsia" w:ascii="仿宋" w:hAnsi="仿宋" w:eastAsia="仿宋" w:cs="仿宋"/>
          <w:b w:val="0"/>
          <w:bCs w:val="0"/>
          <w:kern w:val="2"/>
          <w:sz w:val="28"/>
          <w:szCs w:val="28"/>
          <w:lang w:val="en-US" w:eastAsia="zh-CN" w:bidi="ar-SA"/>
        </w:rPr>
        <w:t>。</w:t>
      </w:r>
    </w:p>
    <w:tbl>
      <w:tblPr>
        <w:tblStyle w:val="16"/>
        <w:tblW w:w="8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7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335" w:type="dxa"/>
            <w:gridSpan w:val="2"/>
            <w:tcBorders>
              <w:top w:val="single" w:color="auto" w:sz="8" w:space="0"/>
              <w:bottom w:val="single" w:color="auto" w:sz="8" w:space="0"/>
            </w:tcBorders>
            <w:shd w:val="clear" w:color="auto" w:fill="D7D7D7" w:themeFill="background1" w:themeFillShade="D8"/>
            <w:noWrap w:val="0"/>
            <w:vAlign w:val="center"/>
          </w:tcPr>
          <w:p>
            <w:pPr>
              <w:adjustRightInd w:val="0"/>
              <w:snapToGrid w:val="0"/>
              <w:spacing w:line="240" w:lineRule="auto"/>
              <w:ind w:firstLine="0" w:firstLineChars="0"/>
              <w:jc w:val="center"/>
              <w:rPr>
                <w:rFonts w:hint="eastAsia" w:ascii="仿宋" w:hAnsi="仿宋" w:eastAsia="仿宋" w:cs="仿宋"/>
                <w:color w:val="000000"/>
                <w:spacing w:val="-2"/>
                <w:kern w:val="2"/>
                <w:sz w:val="21"/>
                <w:szCs w:val="21"/>
                <w:lang w:val="en-US" w:eastAsia="zh-CN" w:bidi="zh-TW"/>
              </w:rPr>
            </w:pPr>
            <w:r>
              <w:rPr>
                <w:rFonts w:hint="eastAsia" w:ascii="仿宋" w:hAnsi="仿宋" w:eastAsia="仿宋" w:cs="仿宋"/>
                <w:b/>
                <w:bCs/>
                <w:color w:val="000000"/>
                <w:sz w:val="21"/>
                <w:szCs w:val="21"/>
                <w:lang w:eastAsia="zh-CN"/>
              </w:rPr>
              <w:t>专栏</w:t>
            </w:r>
            <w:r>
              <w:rPr>
                <w:rFonts w:hint="eastAsia" w:ascii="仿宋" w:hAnsi="仿宋" w:eastAsia="仿宋" w:cs="仿宋"/>
                <w:b/>
                <w:bCs/>
                <w:color w:val="000000"/>
                <w:sz w:val="21"/>
                <w:szCs w:val="21"/>
                <w:lang w:val="en-US" w:eastAsia="zh-CN"/>
              </w:rPr>
              <w:t>2</w:t>
            </w:r>
            <w:r>
              <w:rPr>
                <w:rFonts w:hint="eastAsia" w:ascii="仿宋" w:hAnsi="仿宋" w:eastAsia="仿宋" w:cs="仿宋"/>
                <w:b/>
                <w:bCs/>
                <w:color w:val="000000"/>
                <w:sz w:val="21"/>
                <w:szCs w:val="21"/>
                <w:lang w:eastAsia="zh-CN"/>
              </w:rPr>
              <w:t xml:space="preserve">  </w:t>
            </w:r>
            <w:r>
              <w:rPr>
                <w:rFonts w:hint="eastAsia" w:ascii="仿宋" w:hAnsi="仿宋" w:eastAsia="仿宋" w:cs="仿宋"/>
                <w:b/>
                <w:bCs/>
                <w:color w:val="000000"/>
                <w:sz w:val="21"/>
                <w:szCs w:val="21"/>
                <w:lang w:val="en-US" w:eastAsia="zh-CN"/>
              </w:rPr>
              <w:t xml:space="preserve">    </w:t>
            </w:r>
            <w:r>
              <w:rPr>
                <w:rFonts w:hint="eastAsia" w:ascii="楷体" w:hAnsi="楷体" w:eastAsia="楷体" w:cs="楷体"/>
                <w:b/>
                <w:bCs/>
                <w:sz w:val="21"/>
                <w:szCs w:val="21"/>
                <w:lang w:val="en-US" w:eastAsia="zh-CN"/>
              </w:rPr>
              <w:t>沙湾市经济社会发展概况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0"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center"/>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bCs/>
                <w:sz w:val="21"/>
                <w:szCs w:val="21"/>
                <w:highlight w:val="none"/>
              </w:rPr>
              <w:t>生产总值</w:t>
            </w:r>
          </w:p>
        </w:tc>
        <w:tc>
          <w:tcPr>
            <w:tcW w:w="7275"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left"/>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bCs/>
                <w:sz w:val="21"/>
                <w:szCs w:val="21"/>
                <w:highlight w:val="none"/>
              </w:rPr>
              <w:t>2020年实现地区</w:t>
            </w:r>
            <w:r>
              <w:rPr>
                <w:rFonts w:hint="eastAsia" w:ascii="仿宋" w:hAnsi="仿宋" w:eastAsia="仿宋" w:cs="仿宋"/>
                <w:bCs/>
                <w:sz w:val="21"/>
                <w:szCs w:val="21"/>
                <w:highlight w:val="none"/>
                <w:lang w:val="en-US" w:eastAsia="zh-CN"/>
              </w:rPr>
              <w:t>生产总值达到204.9亿元（含兵团），“十三五”年均增长4.2%。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center"/>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固定资产投资</w:t>
            </w:r>
          </w:p>
        </w:tc>
        <w:tc>
          <w:tcPr>
            <w:tcW w:w="7275"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left"/>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五年累计完成固定资产投资211.7亿元。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center"/>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一般公共预算</w:t>
            </w:r>
          </w:p>
        </w:tc>
        <w:tc>
          <w:tcPr>
            <w:tcW w:w="7275"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left"/>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一般公共预算收入达到9.69亿元，年均增长3.2%。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center"/>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社会消费品零售</w:t>
            </w:r>
          </w:p>
        </w:tc>
        <w:tc>
          <w:tcPr>
            <w:tcW w:w="7275"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left"/>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社会消费品零售总额达到14.61亿元。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center"/>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经济结构</w:t>
            </w:r>
          </w:p>
        </w:tc>
        <w:tc>
          <w:tcPr>
            <w:tcW w:w="7275"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left"/>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第一产业完成增加值109.1亿元，增长5.1%；第二产业完成增加值27.3亿元，下降10.1%；第三产业完成增加值68.5亿元，增长4.5%。第一产业增加值占地区生产总值比重为53.2%，第二产业增加值为13.3%，第三产业增加值为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1060"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center"/>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bCs/>
                <w:sz w:val="21"/>
                <w:szCs w:val="21"/>
                <w:highlight w:val="none"/>
              </w:rPr>
              <w:t>居民收入</w:t>
            </w:r>
          </w:p>
        </w:tc>
        <w:tc>
          <w:tcPr>
            <w:tcW w:w="7275" w:type="dxa"/>
            <w:tcBorders>
              <w:top w:val="single" w:color="auto" w:sz="8" w:space="0"/>
              <w:bottom w:val="single" w:color="auto" w:sz="8" w:space="0"/>
            </w:tcBorders>
            <w:noWrap w:val="0"/>
            <w:vAlign w:val="center"/>
          </w:tcPr>
          <w:p>
            <w:pPr>
              <w:widowControl w:val="0"/>
              <w:adjustRightInd w:val="0"/>
              <w:snapToGrid w:val="0"/>
              <w:spacing w:line="240" w:lineRule="auto"/>
              <w:ind w:firstLine="0" w:firstLineChars="0"/>
              <w:jc w:val="left"/>
              <w:rPr>
                <w:rFonts w:hint="eastAsia" w:ascii="仿宋" w:hAnsi="仿宋" w:eastAsia="仿宋" w:cs="仿宋"/>
                <w:color w:val="000000"/>
                <w:spacing w:val="-2"/>
                <w:kern w:val="2"/>
                <w:sz w:val="21"/>
                <w:szCs w:val="21"/>
                <w:highlight w:val="none"/>
                <w:lang w:val="en-US" w:eastAsia="zh-CN" w:bidi="zh-TW"/>
              </w:rPr>
            </w:pPr>
            <w:r>
              <w:rPr>
                <w:rFonts w:hint="eastAsia" w:ascii="仿宋" w:hAnsi="仿宋" w:eastAsia="仿宋" w:cs="仿宋"/>
                <w:color w:val="000000"/>
                <w:spacing w:val="-2"/>
                <w:kern w:val="2"/>
                <w:sz w:val="21"/>
                <w:szCs w:val="21"/>
                <w:highlight w:val="none"/>
                <w:lang w:val="en-US" w:eastAsia="zh-CN" w:bidi="zh-TW"/>
              </w:rPr>
              <w:t>城乡居民人均可支配收入分别达到32743元和20576元，年均分别增长3.1%和5.1%。</w:t>
            </w:r>
          </w:p>
        </w:tc>
      </w:tr>
    </w:tbl>
    <w:p>
      <w:pPr>
        <w:keepNext/>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jc w:val="left"/>
        <w:textAlignment w:val="auto"/>
        <w:outlineLvl w:val="1"/>
        <w:rPr>
          <w:rFonts w:hint="eastAsia" w:ascii="仿宋" w:hAnsi="仿宋" w:eastAsia="仿宋" w:cs="仿宋"/>
          <w:b/>
          <w:bCs/>
          <w:kern w:val="2"/>
          <w:sz w:val="28"/>
          <w:szCs w:val="28"/>
          <w:lang w:val="en-US" w:eastAsia="zh-CN" w:bidi="ar-SA"/>
        </w:rPr>
      </w:pPr>
      <w:bookmarkStart w:id="20" w:name="_Toc28645"/>
      <w:bookmarkStart w:id="21" w:name="_Toc93309304"/>
      <w:bookmarkStart w:id="22" w:name="_Toc93916999"/>
      <w:bookmarkStart w:id="23" w:name="_Toc94278145"/>
      <w:bookmarkStart w:id="24" w:name="_Toc471279251"/>
      <w:r>
        <w:rPr>
          <w:rFonts w:hint="eastAsia" w:ascii="仿宋" w:hAnsi="仿宋" w:eastAsia="仿宋" w:cs="仿宋"/>
          <w:b/>
          <w:bCs/>
          <w:kern w:val="2"/>
          <w:sz w:val="28"/>
          <w:szCs w:val="28"/>
          <w:lang w:val="en-US" w:eastAsia="zh-CN" w:bidi="ar-SA"/>
        </w:rPr>
        <w:t>（二）矿产资源勘查开发与利用现状</w:t>
      </w:r>
      <w:bookmarkEnd w:id="20"/>
      <w:bookmarkEnd w:id="21"/>
      <w:bookmarkEnd w:id="22"/>
      <w:bookmarkEnd w:id="23"/>
    </w:p>
    <w:bookmarkEnd w:id="24"/>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sz w:val="28"/>
          <w:szCs w:val="28"/>
          <w:lang w:eastAsia="zh-CN"/>
        </w:rPr>
        <w:t>矿产资源</w:t>
      </w:r>
      <w:r>
        <w:rPr>
          <w:rFonts w:hint="eastAsia" w:ascii="仿宋" w:hAnsi="仿宋" w:eastAsia="仿宋" w:cs="仿宋"/>
          <w:b/>
          <w:sz w:val="28"/>
          <w:szCs w:val="28"/>
          <w:lang w:val="en-US" w:eastAsia="zh-CN"/>
        </w:rPr>
        <w:t>概况</w:t>
      </w:r>
      <w:r>
        <w:rPr>
          <w:rFonts w:hint="eastAsia" w:ascii="仿宋" w:hAnsi="仿宋" w:eastAsia="仿宋" w:cs="仿宋"/>
          <w:b/>
          <w:sz w:val="28"/>
          <w:szCs w:val="28"/>
          <w:lang w:eastAsia="zh-CN"/>
        </w:rPr>
        <w:t>。</w:t>
      </w:r>
      <w:r>
        <w:rPr>
          <w:rFonts w:hint="eastAsia" w:ascii="仿宋" w:hAnsi="仿宋" w:eastAsia="仿宋" w:cs="仿宋"/>
          <w:sz w:val="28"/>
          <w:szCs w:val="28"/>
          <w:lang w:eastAsia="zh-CN"/>
        </w:rPr>
        <w:t>沙湾市位于欧亚大陆腹地的准噶尔地块-吐哈地块依连哈比尔尕-博格达裂谷盆地和伊宁地块博罗科努早古生代陆缘弧所在地区，蕴</w:t>
      </w:r>
      <w:r>
        <w:rPr>
          <w:rFonts w:hint="eastAsia" w:ascii="仿宋" w:hAnsi="仿宋" w:eastAsia="仿宋" w:cs="仿宋"/>
          <w:color w:val="auto"/>
          <w:sz w:val="28"/>
          <w:szCs w:val="28"/>
          <w:lang w:eastAsia="zh-CN"/>
        </w:rPr>
        <w:t>藏有非常</w:t>
      </w:r>
      <w:r>
        <w:rPr>
          <w:rFonts w:hint="eastAsia" w:ascii="仿宋" w:hAnsi="仿宋" w:eastAsia="仿宋" w:cs="仿宋"/>
          <w:color w:val="auto"/>
          <w:sz w:val="28"/>
          <w:szCs w:val="28"/>
          <w:lang w:val="en-US" w:eastAsia="zh-CN"/>
        </w:rPr>
        <w:t>丰富</w:t>
      </w:r>
      <w:r>
        <w:rPr>
          <w:rFonts w:hint="eastAsia" w:ascii="仿宋" w:hAnsi="仿宋" w:eastAsia="仿宋" w:cs="仿宋"/>
          <w:color w:val="auto"/>
          <w:sz w:val="28"/>
          <w:szCs w:val="28"/>
          <w:lang w:eastAsia="zh-CN"/>
        </w:rPr>
        <w:t>的矿产资源，以其鲜</w:t>
      </w:r>
      <w:r>
        <w:rPr>
          <w:rFonts w:hint="eastAsia" w:ascii="仿宋" w:hAnsi="仿宋" w:eastAsia="仿宋" w:cs="仿宋"/>
          <w:sz w:val="28"/>
          <w:szCs w:val="28"/>
          <w:lang w:eastAsia="zh-CN"/>
        </w:rPr>
        <w:t>明的古生代成矿作用、独特的成矿特点而有别于其他的成矿域，具有得天独厚的成矿地质条件，找矿前景广阔。</w:t>
      </w:r>
      <w:r>
        <w:rPr>
          <w:rFonts w:hint="eastAsia" w:ascii="仿宋" w:hAnsi="仿宋" w:eastAsia="仿宋" w:cs="仿宋"/>
          <w:color w:val="auto"/>
          <w:sz w:val="28"/>
          <w:szCs w:val="28"/>
        </w:rPr>
        <w:t>截</w:t>
      </w:r>
      <w:r>
        <w:rPr>
          <w:rFonts w:hint="eastAsia" w:ascii="仿宋" w:hAnsi="仿宋" w:eastAsia="仿宋" w:cs="仿宋"/>
          <w:color w:val="auto"/>
          <w:sz w:val="28"/>
          <w:szCs w:val="28"/>
          <w:lang w:eastAsia="zh-CN"/>
        </w:rPr>
        <w:t>至</w:t>
      </w:r>
      <w:bookmarkStart w:id="188" w:name="_GoBack"/>
      <w:bookmarkEnd w:id="188"/>
      <w:r>
        <w:rPr>
          <w:rFonts w:hint="eastAsia" w:ascii="仿宋" w:hAnsi="仿宋" w:eastAsia="仿宋" w:cs="仿宋"/>
          <w:color w:val="auto"/>
          <w:sz w:val="28"/>
          <w:szCs w:val="28"/>
        </w:rPr>
        <w:t>2020年底，全</w:t>
      </w:r>
      <w:r>
        <w:rPr>
          <w:rFonts w:hint="eastAsia" w:ascii="仿宋" w:hAnsi="仿宋" w:eastAsia="仿宋" w:cs="仿宋"/>
          <w:color w:val="auto"/>
          <w:sz w:val="28"/>
          <w:szCs w:val="28"/>
          <w:lang w:val="en-US" w:eastAsia="zh-CN"/>
        </w:rPr>
        <w:t>市</w:t>
      </w:r>
      <w:r>
        <w:rPr>
          <w:rFonts w:hint="eastAsia" w:ascii="仿宋" w:hAnsi="仿宋" w:eastAsia="仿宋" w:cs="仿宋"/>
          <w:color w:val="auto"/>
          <w:sz w:val="28"/>
          <w:szCs w:val="28"/>
        </w:rPr>
        <w:t>共有矿产地</w:t>
      </w:r>
      <w:r>
        <w:rPr>
          <w:rFonts w:hint="eastAsia" w:ascii="仿宋" w:hAnsi="仿宋" w:eastAsia="仿宋" w:cs="仿宋"/>
          <w:color w:val="auto"/>
          <w:sz w:val="28"/>
          <w:szCs w:val="28"/>
          <w:lang w:val="en-US" w:eastAsia="zh-CN"/>
        </w:rPr>
        <w:t>63</w:t>
      </w:r>
      <w:r>
        <w:rPr>
          <w:rFonts w:hint="eastAsia" w:ascii="仿宋" w:hAnsi="仿宋" w:eastAsia="仿宋" w:cs="仿宋"/>
          <w:color w:val="auto"/>
          <w:sz w:val="28"/>
          <w:szCs w:val="28"/>
        </w:rPr>
        <w:t>处（不含石油），经过各类地质勘查的矿床</w:t>
      </w:r>
      <w:r>
        <w:rPr>
          <w:rFonts w:hint="eastAsia" w:ascii="仿宋" w:hAnsi="仿宋" w:eastAsia="仿宋" w:cs="仿宋"/>
          <w:color w:val="auto"/>
          <w:sz w:val="28"/>
          <w:szCs w:val="28"/>
          <w:lang w:val="en-US" w:eastAsia="zh-CN"/>
        </w:rPr>
        <w:t>34</w:t>
      </w:r>
      <w:r>
        <w:rPr>
          <w:rFonts w:hint="eastAsia" w:ascii="仿宋" w:hAnsi="仿宋" w:eastAsia="仿宋" w:cs="仿宋"/>
          <w:color w:val="auto"/>
          <w:sz w:val="28"/>
          <w:szCs w:val="28"/>
        </w:rPr>
        <w:t>处</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其中大型矿床</w:t>
      </w: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处，中型矿床</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处，小型矿床</w:t>
      </w:r>
      <w:r>
        <w:rPr>
          <w:rFonts w:hint="eastAsia" w:ascii="仿宋" w:hAnsi="仿宋" w:eastAsia="仿宋" w:cs="仿宋"/>
          <w:color w:val="auto"/>
          <w:sz w:val="28"/>
          <w:szCs w:val="28"/>
          <w:lang w:val="en-US" w:eastAsia="zh-CN"/>
        </w:rPr>
        <w:t>31</w:t>
      </w:r>
      <w:r>
        <w:rPr>
          <w:rFonts w:hint="eastAsia" w:ascii="仿宋" w:hAnsi="仿宋" w:eastAsia="仿宋" w:cs="仿宋"/>
          <w:color w:val="auto"/>
          <w:sz w:val="28"/>
          <w:szCs w:val="28"/>
        </w:rPr>
        <w:t>处，矿点及矿化点</w:t>
      </w:r>
      <w:r>
        <w:rPr>
          <w:rFonts w:hint="eastAsia" w:ascii="仿宋" w:hAnsi="仿宋" w:eastAsia="仿宋" w:cs="仿宋"/>
          <w:color w:val="auto"/>
          <w:sz w:val="28"/>
          <w:szCs w:val="28"/>
          <w:lang w:val="en-US" w:eastAsia="zh-CN"/>
        </w:rPr>
        <w:t>29</w:t>
      </w:r>
      <w:r>
        <w:rPr>
          <w:rFonts w:hint="eastAsia" w:ascii="仿宋" w:hAnsi="仿宋" w:eastAsia="仿宋" w:cs="仿宋"/>
          <w:color w:val="auto"/>
          <w:sz w:val="28"/>
          <w:szCs w:val="28"/>
        </w:rPr>
        <w:t>处，全县已发现各类矿产</w:t>
      </w:r>
      <w:r>
        <w:rPr>
          <w:rFonts w:hint="eastAsia" w:ascii="仿宋" w:hAnsi="仿宋" w:eastAsia="仿宋" w:cs="仿宋"/>
          <w:color w:val="auto"/>
          <w:sz w:val="28"/>
          <w:szCs w:val="28"/>
          <w:lang w:val="en-US" w:eastAsia="zh-CN"/>
        </w:rPr>
        <w:t>16</w:t>
      </w:r>
      <w:r>
        <w:rPr>
          <w:rFonts w:hint="eastAsia" w:ascii="仿宋" w:hAnsi="仿宋" w:eastAsia="仿宋" w:cs="仿宋"/>
          <w:color w:val="auto"/>
          <w:sz w:val="28"/>
          <w:szCs w:val="28"/>
        </w:rPr>
        <w:t>种，</w:t>
      </w:r>
      <w:r>
        <w:rPr>
          <w:rFonts w:hint="eastAsia" w:ascii="仿宋" w:hAnsi="仿宋" w:eastAsia="仿宋" w:cs="仿宋"/>
          <w:color w:val="auto"/>
          <w:sz w:val="28"/>
          <w:szCs w:val="28"/>
          <w:lang w:val="en-US" w:eastAsia="zh-CN"/>
        </w:rPr>
        <w:t>有石油、煤、天然气、煤层气、地热、石灰岩</w:t>
      </w:r>
      <w:r>
        <w:rPr>
          <w:rFonts w:hint="eastAsia" w:ascii="仿宋" w:hAnsi="仿宋" w:eastAsia="仿宋" w:cs="仿宋"/>
          <w:sz w:val="28"/>
          <w:szCs w:val="28"/>
          <w:lang w:val="en-US" w:eastAsia="zh-CN"/>
        </w:rPr>
        <w:t>、玉石、金、铁、玄武岩、蛇纹岩、泥岩、页岩、砖瓦用粘土、建筑用砂、地下水。其中，一、二类矿产主要分布于成矿条件和成矿背景较好的西天山北坡至山前地带；三类矿产集中分布在乌奎高速公路南侧及宁家河、安集海河、金沟河、玛纳斯河等河道两岸。</w:t>
      </w:r>
      <w:r>
        <w:rPr>
          <w:rFonts w:hint="eastAsia" w:ascii="仿宋" w:hAnsi="仿宋" w:eastAsia="仿宋" w:cs="仿宋"/>
          <w:b/>
          <w:color w:val="000000"/>
          <w:sz w:val="28"/>
          <w:szCs w:val="28"/>
          <w:lang w:val="zh-CN"/>
        </w:rPr>
        <w:t>优势矿产</w:t>
      </w:r>
      <w:r>
        <w:rPr>
          <w:rFonts w:hint="eastAsia" w:ascii="仿宋" w:hAnsi="仿宋" w:eastAsia="仿宋" w:cs="仿宋"/>
          <w:color w:val="000000"/>
          <w:sz w:val="28"/>
          <w:szCs w:val="28"/>
          <w:lang w:val="zh-CN"/>
        </w:rPr>
        <w:t>为</w:t>
      </w:r>
      <w:r>
        <w:rPr>
          <w:rFonts w:hint="eastAsia" w:ascii="仿宋" w:hAnsi="仿宋" w:eastAsia="仿宋" w:cs="仿宋"/>
          <w:color w:val="000000"/>
          <w:sz w:val="28"/>
          <w:szCs w:val="28"/>
          <w:lang w:val="en-US" w:eastAsia="zh-CN"/>
        </w:rPr>
        <w:t>煤炭、煤层气、石灰岩。</w:t>
      </w:r>
    </w:p>
    <w:p>
      <w:pPr>
        <w:keepNext w:val="0"/>
        <w:keepLines w:val="0"/>
        <w:pageBreakBefore w:val="0"/>
        <w:widowControl w:val="0"/>
        <w:tabs>
          <w:tab w:val="right" w:leader="dot" w:pos="8296"/>
        </w:tabs>
        <w:kinsoku/>
        <w:wordWrap/>
        <w:overflowPunct/>
        <w:topLinePunct w:val="0"/>
        <w:autoSpaceDE/>
        <w:autoSpaceDN/>
        <w:bidi w:val="0"/>
        <w:adjustRightInd/>
        <w:snapToGrid/>
        <w:spacing w:line="500" w:lineRule="exact"/>
        <w:ind w:firstLine="554" w:firstLineChars="200"/>
        <w:textAlignment w:val="auto"/>
        <w:outlineLvl w:val="9"/>
        <w:rPr>
          <w:rFonts w:hint="eastAsia" w:ascii="仿宋" w:hAnsi="仿宋" w:eastAsia="仿宋" w:cs="仿宋"/>
          <w:color w:val="auto"/>
          <w:spacing w:val="-2"/>
          <w:sz w:val="28"/>
          <w:szCs w:val="28"/>
          <w:lang w:val="en-US" w:eastAsia="zh-CN"/>
        </w:rPr>
      </w:pPr>
      <w:r>
        <w:rPr>
          <w:rFonts w:hint="eastAsia" w:ascii="仿宋" w:hAnsi="仿宋" w:eastAsia="仿宋" w:cs="仿宋"/>
          <w:b/>
          <w:bCs/>
          <w:color w:val="000000"/>
          <w:spacing w:val="-2"/>
          <w:sz w:val="28"/>
          <w:szCs w:val="28"/>
          <w:lang w:val="en-US" w:eastAsia="zh-CN"/>
        </w:rPr>
        <w:t>基础地质调查现状。</w:t>
      </w:r>
      <w:r>
        <w:rPr>
          <w:rFonts w:hint="eastAsia" w:ascii="仿宋" w:hAnsi="仿宋" w:eastAsia="仿宋" w:cs="仿宋"/>
          <w:color w:val="auto"/>
          <w:spacing w:val="-2"/>
          <w:sz w:val="28"/>
          <w:szCs w:val="28"/>
          <w:lang w:val="en-US" w:eastAsia="zh-CN"/>
        </w:rPr>
        <w:t>沙湾</w:t>
      </w:r>
      <w:r>
        <w:rPr>
          <w:rFonts w:hint="eastAsia" w:ascii="仿宋" w:hAnsi="仿宋" w:eastAsia="仿宋" w:cs="仿宋"/>
          <w:color w:val="auto"/>
          <w:spacing w:val="-2"/>
          <w:sz w:val="28"/>
          <w:szCs w:val="28"/>
        </w:rPr>
        <w:t>市</w:t>
      </w:r>
      <w:r>
        <w:rPr>
          <w:rFonts w:hint="eastAsia" w:ascii="仿宋" w:hAnsi="仿宋" w:eastAsia="仿宋" w:cs="仿宋"/>
          <w:color w:val="auto"/>
          <w:spacing w:val="-2"/>
          <w:sz w:val="28"/>
          <w:szCs w:val="28"/>
          <w:lang w:val="en-US" w:eastAsia="zh-CN"/>
        </w:rPr>
        <w:t>中、北部地区被第四系覆盖，</w:t>
      </w:r>
      <w:r>
        <w:rPr>
          <w:rFonts w:hint="eastAsia" w:ascii="仿宋" w:hAnsi="仿宋" w:eastAsia="仿宋" w:cs="仿宋"/>
          <w:color w:val="auto"/>
          <w:spacing w:val="-2"/>
          <w:sz w:val="28"/>
          <w:szCs w:val="28"/>
        </w:rPr>
        <w:t>基础地质研究程度低</w:t>
      </w:r>
      <w:r>
        <w:rPr>
          <w:rFonts w:hint="eastAsia" w:ascii="仿宋" w:hAnsi="仿宋" w:eastAsia="仿宋" w:cs="仿宋"/>
          <w:color w:val="auto"/>
          <w:spacing w:val="-2"/>
          <w:sz w:val="28"/>
          <w:szCs w:val="28"/>
          <w:lang w:eastAsia="zh-CN"/>
        </w:rPr>
        <w:t>，</w:t>
      </w:r>
      <w:r>
        <w:rPr>
          <w:rFonts w:hint="eastAsia" w:ascii="仿宋" w:hAnsi="仿宋" w:eastAsia="仿宋" w:cs="仿宋"/>
          <w:color w:val="auto"/>
          <w:spacing w:val="-2"/>
          <w:sz w:val="28"/>
          <w:szCs w:val="28"/>
          <w:lang w:val="en-US" w:eastAsia="zh-CN"/>
        </w:rPr>
        <w:t>南部地区基础地质研究程度高。1:100区域地质调查全覆盖，</w:t>
      </w:r>
      <w:r>
        <w:rPr>
          <w:rFonts w:hint="eastAsia" w:ascii="仿宋" w:hAnsi="仿宋" w:eastAsia="仿宋" w:cs="仿宋"/>
          <w:color w:val="auto"/>
          <w:sz w:val="28"/>
          <w:szCs w:val="28"/>
          <w:lang w:val="zh-CN"/>
        </w:rPr>
        <w:t>1:25万区域地质调查除</w:t>
      </w:r>
      <w:r>
        <w:rPr>
          <w:rFonts w:hint="eastAsia" w:ascii="仿宋" w:hAnsi="仿宋" w:eastAsia="仿宋" w:cs="仿宋"/>
          <w:color w:val="auto"/>
          <w:sz w:val="28"/>
          <w:szCs w:val="28"/>
          <w:lang w:val="en-US" w:eastAsia="zh-CN"/>
        </w:rPr>
        <w:t>玛纳斯湖幅（L45C003002）</w:t>
      </w:r>
      <w:r>
        <w:rPr>
          <w:rFonts w:hint="eastAsia" w:ascii="仿宋" w:hAnsi="仿宋" w:eastAsia="仿宋" w:cs="仿宋"/>
          <w:color w:val="auto"/>
          <w:sz w:val="28"/>
          <w:szCs w:val="28"/>
          <w:lang w:val="zh-CN"/>
        </w:rPr>
        <w:t>其它区域均已完成，1:20万区域地质调查</w:t>
      </w:r>
      <w:r>
        <w:rPr>
          <w:rFonts w:hint="eastAsia" w:ascii="仿宋" w:hAnsi="仿宋" w:eastAsia="仿宋" w:cs="仿宋"/>
          <w:color w:val="auto"/>
          <w:sz w:val="28"/>
          <w:szCs w:val="28"/>
          <w:lang w:val="en-US" w:eastAsia="zh-CN"/>
        </w:rPr>
        <w:t>托库孜、库马拉克幅（K-45-01）、石场幅（K-45-02）已</w:t>
      </w:r>
      <w:r>
        <w:rPr>
          <w:rFonts w:hint="eastAsia" w:ascii="仿宋" w:hAnsi="仿宋" w:eastAsia="仿宋" w:cs="仿宋"/>
          <w:color w:val="auto"/>
          <w:sz w:val="28"/>
          <w:szCs w:val="28"/>
          <w:lang w:val="zh-CN"/>
        </w:rPr>
        <w:t>测制完成</w:t>
      </w:r>
      <w:r>
        <w:rPr>
          <w:rFonts w:hint="eastAsia" w:ascii="仿宋" w:hAnsi="仿宋" w:eastAsia="仿宋" w:cs="仿宋"/>
          <w:color w:val="auto"/>
          <w:sz w:val="28"/>
          <w:szCs w:val="28"/>
          <w:lang w:val="en-US" w:eastAsia="zh-CN"/>
        </w:rPr>
        <w:t>,</w:t>
      </w:r>
      <w:r>
        <w:rPr>
          <w:rFonts w:hint="eastAsia" w:ascii="仿宋" w:hAnsi="仿宋" w:eastAsia="仿宋" w:cs="仿宋"/>
          <w:color w:val="auto"/>
          <w:sz w:val="28"/>
          <w:szCs w:val="28"/>
          <w:lang w:val="zh-CN"/>
        </w:rPr>
        <w:t>1:</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val="zh-CN"/>
        </w:rPr>
        <w:t>万</w:t>
      </w:r>
      <w:r>
        <w:rPr>
          <w:rFonts w:hint="eastAsia" w:ascii="仿宋" w:hAnsi="仿宋" w:eastAsia="仿宋" w:cs="仿宋"/>
          <w:color w:val="auto"/>
          <w:sz w:val="28"/>
          <w:szCs w:val="28"/>
          <w:lang w:val="en-US" w:eastAsia="zh-CN"/>
        </w:rPr>
        <w:t>沙湾南部</w:t>
      </w:r>
      <w:r>
        <w:rPr>
          <w:rFonts w:hint="eastAsia" w:ascii="仿宋" w:hAnsi="仿宋" w:eastAsia="仿宋" w:cs="仿宋"/>
          <w:color w:val="auto"/>
          <w:sz w:val="28"/>
          <w:szCs w:val="28"/>
          <w:lang w:val="zh-CN"/>
        </w:rPr>
        <w:t>区域地质调查（</w:t>
      </w:r>
      <w:r>
        <w:rPr>
          <w:rFonts w:hint="eastAsia" w:ascii="仿宋" w:hAnsi="仿宋" w:eastAsia="仿宋" w:cs="仿宋"/>
          <w:color w:val="auto"/>
          <w:sz w:val="28"/>
          <w:szCs w:val="28"/>
          <w:lang w:val="en-US" w:eastAsia="zh-CN"/>
        </w:rPr>
        <w:t>16个图幅</w:t>
      </w:r>
      <w:r>
        <w:rPr>
          <w:rFonts w:hint="eastAsia" w:ascii="仿宋" w:hAnsi="仿宋" w:eastAsia="仿宋" w:cs="仿宋"/>
          <w:color w:val="000000"/>
          <w:sz w:val="28"/>
          <w:szCs w:val="28"/>
          <w:lang w:val="zh-CN"/>
        </w:rPr>
        <w:t>，含所跨不完整图幅</w:t>
      </w:r>
      <w:r>
        <w:rPr>
          <w:rFonts w:hint="eastAsia" w:ascii="仿宋" w:hAnsi="仿宋" w:eastAsia="仿宋" w:cs="仿宋"/>
          <w:color w:val="auto"/>
          <w:sz w:val="28"/>
          <w:szCs w:val="28"/>
          <w:lang w:val="zh-CN"/>
        </w:rPr>
        <w:t>）</w:t>
      </w:r>
      <w:r>
        <w:rPr>
          <w:rFonts w:hint="eastAsia" w:ascii="仿宋" w:hAnsi="仿宋" w:eastAsia="仿宋" w:cs="仿宋"/>
          <w:color w:val="auto"/>
          <w:sz w:val="28"/>
          <w:szCs w:val="28"/>
          <w:lang w:val="en-US" w:eastAsia="zh-CN"/>
        </w:rPr>
        <w:t>已</w:t>
      </w:r>
      <w:r>
        <w:rPr>
          <w:rFonts w:hint="eastAsia" w:ascii="仿宋" w:hAnsi="仿宋" w:eastAsia="仿宋" w:cs="仿宋"/>
          <w:color w:val="auto"/>
          <w:sz w:val="28"/>
          <w:szCs w:val="28"/>
          <w:lang w:val="zh-CN"/>
        </w:rPr>
        <w:t>测制完成，1:</w:t>
      </w:r>
      <w:r>
        <w:rPr>
          <w:rFonts w:hint="eastAsia" w:ascii="仿宋" w:hAnsi="仿宋" w:eastAsia="仿宋" w:cs="仿宋"/>
          <w:color w:val="auto"/>
          <w:sz w:val="28"/>
          <w:szCs w:val="28"/>
          <w:lang w:val="en-US" w:eastAsia="zh-CN"/>
        </w:rPr>
        <w:t>50</w:t>
      </w:r>
      <w:r>
        <w:rPr>
          <w:rFonts w:hint="eastAsia" w:ascii="仿宋" w:hAnsi="仿宋" w:eastAsia="仿宋" w:cs="仿宋"/>
          <w:color w:val="auto"/>
          <w:sz w:val="28"/>
          <w:szCs w:val="28"/>
          <w:lang w:val="zh-CN"/>
        </w:rPr>
        <w:t>万</w:t>
      </w:r>
      <w:r>
        <w:rPr>
          <w:rFonts w:hint="eastAsia" w:ascii="仿宋" w:hAnsi="仿宋" w:eastAsia="仿宋" w:cs="仿宋"/>
          <w:color w:val="auto"/>
          <w:sz w:val="28"/>
          <w:szCs w:val="28"/>
          <w:lang w:val="en-US" w:eastAsia="zh-CN"/>
        </w:rPr>
        <w:t>和</w:t>
      </w:r>
      <w:r>
        <w:rPr>
          <w:rFonts w:hint="eastAsia" w:ascii="仿宋" w:hAnsi="仿宋" w:eastAsia="仿宋" w:cs="仿宋"/>
          <w:color w:val="auto"/>
          <w:sz w:val="28"/>
          <w:szCs w:val="28"/>
          <w:lang w:val="zh-CN"/>
        </w:rPr>
        <w:t>1:</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lang w:val="zh-CN"/>
        </w:rPr>
        <w:t>万</w:t>
      </w:r>
      <w:r>
        <w:rPr>
          <w:rFonts w:hint="eastAsia" w:ascii="仿宋" w:hAnsi="仿宋" w:eastAsia="仿宋" w:cs="仿宋"/>
          <w:color w:val="auto"/>
          <w:sz w:val="28"/>
          <w:szCs w:val="28"/>
          <w:lang w:val="en-US" w:eastAsia="zh-CN"/>
        </w:rPr>
        <w:t>水文地质勘查全区域覆盖，</w:t>
      </w:r>
      <w:r>
        <w:rPr>
          <w:rFonts w:hint="eastAsia" w:ascii="仿宋" w:hAnsi="仿宋" w:eastAsia="仿宋" w:cs="仿宋"/>
          <w:color w:val="auto"/>
          <w:sz w:val="28"/>
          <w:szCs w:val="28"/>
          <w:lang w:val="zh-CN"/>
        </w:rPr>
        <w:t>1:</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lang w:val="zh-CN"/>
        </w:rPr>
        <w:t>万</w:t>
      </w:r>
      <w:r>
        <w:rPr>
          <w:rFonts w:hint="eastAsia" w:ascii="仿宋" w:hAnsi="仿宋" w:eastAsia="仿宋" w:cs="仿宋"/>
          <w:color w:val="auto"/>
          <w:sz w:val="28"/>
          <w:szCs w:val="28"/>
          <w:lang w:val="en-US" w:eastAsia="zh-CN"/>
        </w:rPr>
        <w:t>沙湾市水文地质勘查完成面积0.113万平方千米</w:t>
      </w:r>
      <w:r>
        <w:rPr>
          <w:rFonts w:hint="eastAsia" w:ascii="仿宋" w:hAnsi="仿宋" w:eastAsia="仿宋" w:cs="仿宋"/>
          <w:color w:val="auto"/>
          <w:sz w:val="28"/>
          <w:szCs w:val="28"/>
          <w:lang w:val="zh-CN"/>
        </w:rPr>
        <w:t>。</w:t>
      </w:r>
      <w:r>
        <w:rPr>
          <w:rFonts w:hint="eastAsia" w:ascii="仿宋" w:hAnsi="仿宋" w:eastAsia="仿宋" w:cs="仿宋"/>
          <w:color w:val="auto"/>
          <w:spacing w:val="-2"/>
          <w:sz w:val="28"/>
          <w:szCs w:val="28"/>
        </w:rPr>
        <w:t>至2020年</w:t>
      </w:r>
      <w:r>
        <w:rPr>
          <w:rFonts w:hint="eastAsia" w:ascii="仿宋" w:hAnsi="仿宋" w:eastAsia="仿宋" w:cs="仿宋"/>
          <w:color w:val="auto"/>
          <w:spacing w:val="-2"/>
          <w:sz w:val="28"/>
          <w:szCs w:val="28"/>
          <w:lang w:val="en-US" w:eastAsia="zh-CN"/>
        </w:rPr>
        <w:t>沙湾</w:t>
      </w:r>
      <w:r>
        <w:rPr>
          <w:rFonts w:hint="eastAsia" w:ascii="仿宋" w:hAnsi="仿宋" w:eastAsia="仿宋" w:cs="仿宋"/>
          <w:color w:val="auto"/>
          <w:spacing w:val="-2"/>
          <w:sz w:val="28"/>
          <w:szCs w:val="28"/>
        </w:rPr>
        <w:t>市基础地质工作完成情况见专栏</w:t>
      </w:r>
      <w:r>
        <w:rPr>
          <w:rFonts w:hint="eastAsia" w:ascii="仿宋" w:hAnsi="仿宋" w:eastAsia="仿宋" w:cs="仿宋"/>
          <w:color w:val="auto"/>
          <w:spacing w:val="-2"/>
          <w:sz w:val="28"/>
          <w:szCs w:val="28"/>
          <w:lang w:val="en-US" w:eastAsia="zh-CN"/>
        </w:rPr>
        <w:t>3</w:t>
      </w:r>
      <w:r>
        <w:rPr>
          <w:rFonts w:hint="eastAsia" w:ascii="仿宋" w:hAnsi="仿宋" w:eastAsia="仿宋" w:cs="仿宋"/>
          <w:color w:val="auto"/>
          <w:spacing w:val="-2"/>
          <w:sz w:val="28"/>
          <w:szCs w:val="28"/>
          <w:lang w:eastAsia="zh-CN"/>
        </w:rPr>
        <w:t>。</w:t>
      </w:r>
      <w:r>
        <w:rPr>
          <w:rFonts w:hint="eastAsia" w:ascii="仿宋" w:hAnsi="仿宋" w:eastAsia="仿宋" w:cs="仿宋"/>
          <w:color w:val="auto"/>
          <w:spacing w:val="-2"/>
          <w:sz w:val="28"/>
          <w:szCs w:val="28"/>
          <w:lang w:val="en-US" w:eastAsia="zh-CN"/>
        </w:rPr>
        <w:t xml:space="preserve"> </w:t>
      </w:r>
    </w:p>
    <w:tbl>
      <w:tblPr>
        <w:tblStyle w:val="16"/>
        <w:tblW w:w="845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176"/>
        <w:gridCol w:w="2513"/>
        <w:gridCol w:w="1326"/>
        <w:gridCol w:w="1304"/>
        <w:gridCol w:w="213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8454" w:type="dxa"/>
            <w:gridSpan w:val="5"/>
            <w:shd w:val="clear" w:color="auto" w:fill="D7D7D7"/>
            <w:noWrap w:val="0"/>
            <w:vAlign w:val="center"/>
          </w:tcPr>
          <w:p>
            <w:pPr>
              <w:spacing w:before="156" w:beforeLines="50"/>
              <w:ind w:right="136"/>
              <w:jc w:val="center"/>
              <w:rPr>
                <w:rFonts w:hint="eastAsia" w:ascii="仿宋" w:hAnsi="仿宋" w:eastAsia="仿宋" w:cs="仿宋"/>
                <w:bCs/>
                <w:color w:val="000000"/>
                <w:kern w:val="0"/>
                <w:sz w:val="21"/>
                <w:szCs w:val="21"/>
              </w:rPr>
            </w:pPr>
            <w:r>
              <w:rPr>
                <w:rFonts w:hint="eastAsia" w:ascii="仿宋" w:hAnsi="仿宋" w:eastAsia="仿宋" w:cs="仿宋"/>
                <w:b/>
                <w:bCs/>
                <w:color w:val="000000"/>
                <w:sz w:val="21"/>
                <w:szCs w:val="21"/>
                <w:lang w:eastAsia="zh-CN"/>
              </w:rPr>
              <w:t>专栏</w:t>
            </w:r>
            <w:r>
              <w:rPr>
                <w:rFonts w:hint="eastAsia" w:ascii="仿宋" w:hAnsi="仿宋" w:eastAsia="仿宋" w:cs="仿宋"/>
                <w:b/>
                <w:bCs/>
                <w:color w:val="000000"/>
                <w:sz w:val="21"/>
                <w:szCs w:val="21"/>
                <w:lang w:val="en-US" w:eastAsia="zh-CN"/>
              </w:rPr>
              <w:t>3</w:t>
            </w:r>
            <w:r>
              <w:rPr>
                <w:rFonts w:hint="eastAsia" w:ascii="仿宋" w:hAnsi="仿宋" w:eastAsia="仿宋" w:cs="仿宋"/>
                <w:b/>
                <w:bCs/>
                <w:color w:val="000000"/>
                <w:sz w:val="21"/>
                <w:szCs w:val="21"/>
                <w:lang w:eastAsia="zh-CN"/>
              </w:rPr>
              <w:t xml:space="preserve">   </w:t>
            </w:r>
            <w:r>
              <w:rPr>
                <w:rFonts w:hint="eastAsia" w:ascii="仿宋" w:hAnsi="仿宋" w:eastAsia="仿宋" w:cs="仿宋"/>
                <w:b/>
                <w:bCs/>
                <w:color w:val="000000"/>
                <w:sz w:val="21"/>
                <w:szCs w:val="21"/>
                <w:lang w:val="en-US" w:eastAsia="zh-CN"/>
              </w:rPr>
              <w:t xml:space="preserve">    </w:t>
            </w:r>
            <w:r>
              <w:rPr>
                <w:rFonts w:hint="eastAsia" w:ascii="仿宋" w:hAnsi="仿宋" w:eastAsia="仿宋" w:cs="仿宋"/>
                <w:b/>
                <w:bCs/>
                <w:color w:val="000000"/>
                <w:sz w:val="21"/>
                <w:szCs w:val="21"/>
                <w:lang w:eastAsia="zh-CN"/>
              </w:rPr>
              <w:t xml:space="preserve"> </w:t>
            </w:r>
            <w:r>
              <w:rPr>
                <w:rFonts w:hint="eastAsia" w:ascii="仿宋" w:hAnsi="仿宋" w:eastAsia="仿宋" w:cs="仿宋"/>
                <w:b/>
                <w:bCs/>
                <w:color w:val="000000"/>
                <w:sz w:val="21"/>
                <w:szCs w:val="21"/>
                <w:lang w:val="en-US" w:eastAsia="zh-CN"/>
              </w:rPr>
              <w:t>沙湾</w:t>
            </w:r>
            <w:r>
              <w:rPr>
                <w:rFonts w:hint="eastAsia" w:ascii="仿宋" w:hAnsi="仿宋" w:eastAsia="仿宋" w:cs="仿宋"/>
                <w:b/>
                <w:bCs/>
                <w:color w:val="000000"/>
                <w:sz w:val="21"/>
                <w:szCs w:val="21"/>
                <w:lang w:eastAsia="zh-CN"/>
              </w:rPr>
              <w:t>市基础地质工作完成情况一览表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3689" w:type="dxa"/>
            <w:gridSpan w:val="2"/>
            <w:noWrap w:val="0"/>
            <w:vAlign w:val="center"/>
          </w:tcPr>
          <w:p>
            <w:pPr>
              <w:adjustRightInd w:val="0"/>
              <w:snapToGrid w:val="0"/>
              <w:spacing w:line="240" w:lineRule="exact"/>
              <w:jc w:val="center"/>
              <w:textAlignment w:val="baseline"/>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项  目</w:t>
            </w:r>
          </w:p>
        </w:tc>
        <w:tc>
          <w:tcPr>
            <w:tcW w:w="1326" w:type="dxa"/>
            <w:noWrap w:val="0"/>
            <w:vAlign w:val="center"/>
          </w:tcPr>
          <w:p>
            <w:pPr>
              <w:adjustRightInd w:val="0"/>
              <w:snapToGrid w:val="0"/>
              <w:spacing w:line="240" w:lineRule="exact"/>
              <w:jc w:val="center"/>
              <w:textAlignment w:val="baseline"/>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完成面积</w:t>
            </w:r>
          </w:p>
          <w:p>
            <w:pPr>
              <w:adjustRightInd w:val="0"/>
              <w:snapToGrid w:val="0"/>
              <w:spacing w:line="240" w:lineRule="exact"/>
              <w:jc w:val="center"/>
              <w:textAlignment w:val="baseline"/>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w:t>
            </w:r>
            <w:r>
              <w:rPr>
                <w:rFonts w:hint="eastAsia" w:ascii="仿宋" w:hAnsi="仿宋" w:eastAsia="仿宋" w:cs="仿宋"/>
                <w:bCs/>
                <w:color w:val="000000"/>
                <w:kern w:val="0"/>
                <w:sz w:val="21"/>
                <w:szCs w:val="21"/>
                <w:lang w:val="en-US" w:eastAsia="zh-CN"/>
              </w:rPr>
              <w:t>万</w:t>
            </w:r>
            <w:r>
              <w:rPr>
                <w:rFonts w:hint="eastAsia" w:ascii="仿宋" w:hAnsi="仿宋" w:eastAsia="仿宋" w:cs="仿宋"/>
                <w:bCs/>
                <w:color w:val="000000"/>
                <w:kern w:val="0"/>
                <w:sz w:val="21"/>
                <w:szCs w:val="21"/>
              </w:rPr>
              <w:t>km</w:t>
            </w:r>
            <w:r>
              <w:rPr>
                <w:rFonts w:hint="eastAsia" w:ascii="仿宋" w:hAnsi="仿宋" w:eastAsia="仿宋" w:cs="仿宋"/>
                <w:bCs/>
                <w:color w:val="000000"/>
                <w:kern w:val="0"/>
                <w:sz w:val="21"/>
                <w:szCs w:val="21"/>
                <w:vertAlign w:val="superscript"/>
              </w:rPr>
              <w:t>2</w:t>
            </w:r>
            <w:r>
              <w:rPr>
                <w:rFonts w:hint="eastAsia" w:ascii="仿宋" w:hAnsi="仿宋" w:eastAsia="仿宋" w:cs="仿宋"/>
                <w:bCs/>
                <w:color w:val="000000"/>
                <w:kern w:val="0"/>
                <w:sz w:val="21"/>
                <w:szCs w:val="21"/>
              </w:rPr>
              <w:t>）</w:t>
            </w:r>
          </w:p>
        </w:tc>
        <w:tc>
          <w:tcPr>
            <w:tcW w:w="1304" w:type="dxa"/>
            <w:noWrap w:val="0"/>
            <w:vAlign w:val="top"/>
          </w:tcPr>
          <w:p>
            <w:pPr>
              <w:adjustRightInd w:val="0"/>
              <w:snapToGrid w:val="0"/>
              <w:spacing w:line="240" w:lineRule="exact"/>
              <w:jc w:val="center"/>
              <w:textAlignment w:val="baseline"/>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占全区比例</w:t>
            </w:r>
          </w:p>
          <w:p>
            <w:pPr>
              <w:adjustRightInd w:val="0"/>
              <w:snapToGrid w:val="0"/>
              <w:spacing w:line="240" w:lineRule="exact"/>
              <w:jc w:val="center"/>
              <w:textAlignment w:val="baseline"/>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备  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restart"/>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区域地质调查</w:t>
            </w: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1:100万区域地质调查</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1.246</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100</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覆盖全境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1:25万区域地质调查</w:t>
            </w:r>
          </w:p>
        </w:tc>
        <w:tc>
          <w:tcPr>
            <w:tcW w:w="132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1.210</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97.11</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除玛纳斯湖幅，覆盖全境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1:20万区域地质调查</w:t>
            </w:r>
          </w:p>
        </w:tc>
        <w:tc>
          <w:tcPr>
            <w:tcW w:w="1326"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0.369</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29.61</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南部16个图幅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1:5万区域地质调查</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0.369</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29.61</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南部16个图幅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restart"/>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区域地球物理勘查</w:t>
            </w: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1:20万—100万航空磁测</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1.246</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100</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覆盖全境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1:5万物探测量</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0.106</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8.51</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南部6个图幅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restart"/>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区域地球化学勘查</w:t>
            </w: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1:50万化探</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1.246</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100</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覆盖全境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1:5万土地质量调查</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0.369</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29.61</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老沙湾镇、商户乡及周边地区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restart"/>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水工环地质勘查</w:t>
            </w: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1:50万</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1.246</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100</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覆盖全境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1:10万水文普查</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0.113</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9.07</w:t>
            </w:r>
          </w:p>
        </w:tc>
        <w:tc>
          <w:tcPr>
            <w:tcW w:w="2135" w:type="dxa"/>
            <w:noWrap w:val="0"/>
            <w:vAlign w:val="center"/>
          </w:tcPr>
          <w:p>
            <w:pPr>
              <w:adjustRightInd w:val="0"/>
              <w:snapToGrid w:val="0"/>
              <w:spacing w:line="240" w:lineRule="exact"/>
              <w:jc w:val="center"/>
              <w:textAlignment w:val="baseline"/>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炮台北部区域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176" w:type="dxa"/>
            <w:vMerge w:val="continue"/>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p>
        </w:tc>
        <w:tc>
          <w:tcPr>
            <w:tcW w:w="2513"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1:5万地质灾害调查</w:t>
            </w:r>
          </w:p>
        </w:tc>
        <w:tc>
          <w:tcPr>
            <w:tcW w:w="1326"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default"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1.246</w:t>
            </w:r>
          </w:p>
        </w:tc>
        <w:tc>
          <w:tcPr>
            <w:tcW w:w="1304" w:type="dxa"/>
            <w:noWrap w:val="0"/>
            <w:vAlign w:val="center"/>
          </w:tcPr>
          <w:p>
            <w:pPr>
              <w:pStyle w:val="26"/>
              <w:keepNext w:val="0"/>
              <w:keepLines w:val="0"/>
              <w:pageBreakBefore w:val="0"/>
              <w:widowControl w:val="0"/>
              <w:kinsoku/>
              <w:wordWrap/>
              <w:overflowPunct/>
              <w:topLinePunct w:val="0"/>
              <w:autoSpaceDE/>
              <w:autoSpaceDN/>
              <w:bidi w:val="0"/>
              <w:adjustRightInd/>
              <w:snapToGrid/>
              <w:spacing w:before="0" w:after="0" w:line="240" w:lineRule="auto"/>
              <w:ind w:firstLine="0" w:firstLineChars="0"/>
              <w:jc w:val="center"/>
              <w:textAlignment w:val="auto"/>
              <w:outlineLvl w:val="9"/>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100</w:t>
            </w:r>
          </w:p>
        </w:tc>
        <w:tc>
          <w:tcPr>
            <w:tcW w:w="2135" w:type="dxa"/>
            <w:noWrap w:val="0"/>
            <w:vAlign w:val="center"/>
          </w:tcPr>
          <w:p>
            <w:pPr>
              <w:adjustRightInd w:val="0"/>
              <w:snapToGrid w:val="0"/>
              <w:spacing w:line="240" w:lineRule="exact"/>
              <w:jc w:val="center"/>
              <w:textAlignment w:val="baseline"/>
              <w:rPr>
                <w:rFonts w:hint="eastAsia" w:ascii="仿宋" w:hAnsi="仿宋" w:eastAsia="仿宋" w:cs="仿宋"/>
                <w:b w:val="0"/>
                <w:bCs w:val="0"/>
                <w:color w:val="000000"/>
                <w:kern w:val="2"/>
                <w:sz w:val="21"/>
                <w:szCs w:val="21"/>
                <w:lang w:val="en-US" w:eastAsia="zh-CN" w:bidi="ar-SA"/>
              </w:rPr>
            </w:pPr>
            <w:r>
              <w:rPr>
                <w:rFonts w:hint="eastAsia" w:ascii="仿宋" w:hAnsi="仿宋" w:eastAsia="仿宋" w:cs="仿宋"/>
                <w:b w:val="0"/>
                <w:bCs w:val="0"/>
                <w:color w:val="000000"/>
                <w:kern w:val="2"/>
                <w:sz w:val="21"/>
                <w:szCs w:val="21"/>
                <w:lang w:val="en-US" w:eastAsia="zh-CN" w:bidi="ar-SA"/>
              </w:rPr>
              <w:t>覆盖全境</w:t>
            </w:r>
          </w:p>
        </w:tc>
      </w:tr>
    </w:tbl>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sz w:val="28"/>
          <w:szCs w:val="28"/>
        </w:rPr>
        <w:t>矿产资源勘查现状</w:t>
      </w:r>
      <w:r>
        <w:rPr>
          <w:rFonts w:hint="eastAsia" w:ascii="仿宋" w:hAnsi="仿宋" w:eastAsia="仿宋" w:cs="仿宋"/>
          <w:b/>
          <w:sz w:val="28"/>
          <w:szCs w:val="28"/>
          <w:lang w:val="en-US" w:eastAsia="zh-CN"/>
        </w:rPr>
        <w:t>。</w:t>
      </w:r>
      <w:r>
        <w:rPr>
          <w:rFonts w:hint="eastAsia" w:ascii="仿宋" w:hAnsi="仿宋" w:eastAsia="仿宋" w:cs="仿宋"/>
          <w:color w:val="000000"/>
          <w:sz w:val="28"/>
          <w:szCs w:val="28"/>
        </w:rPr>
        <w:t>截至20</w:t>
      </w:r>
      <w:r>
        <w:rPr>
          <w:rFonts w:hint="eastAsia" w:ascii="仿宋" w:hAnsi="仿宋" w:eastAsia="仿宋" w:cs="仿宋"/>
          <w:color w:val="000000"/>
          <w:sz w:val="28"/>
          <w:szCs w:val="28"/>
          <w:lang w:val="en-US" w:eastAsia="zh-CN"/>
        </w:rPr>
        <w:t>20</w:t>
      </w:r>
      <w:r>
        <w:rPr>
          <w:rFonts w:hint="eastAsia" w:ascii="仿宋" w:hAnsi="仿宋" w:eastAsia="仿宋" w:cs="仿宋"/>
          <w:color w:val="000000"/>
          <w:sz w:val="28"/>
          <w:szCs w:val="28"/>
        </w:rPr>
        <w:t>年底，</w:t>
      </w:r>
      <w:r>
        <w:rPr>
          <w:rFonts w:hint="eastAsia" w:ascii="仿宋" w:hAnsi="仿宋" w:eastAsia="仿宋" w:cs="仿宋"/>
          <w:sz w:val="28"/>
          <w:szCs w:val="28"/>
          <w:lang w:val="en-US" w:eastAsia="zh-CN"/>
        </w:rPr>
        <w:t>沙湾市</w:t>
      </w:r>
      <w:r>
        <w:rPr>
          <w:rFonts w:hint="eastAsia" w:ascii="仿宋" w:hAnsi="仿宋" w:eastAsia="仿宋" w:cs="仿宋"/>
          <w:sz w:val="28"/>
          <w:szCs w:val="28"/>
        </w:rPr>
        <w:t>有非油气矿产地</w:t>
      </w:r>
      <w:r>
        <w:rPr>
          <w:rFonts w:hint="eastAsia" w:ascii="仿宋" w:hAnsi="仿宋" w:eastAsia="仿宋" w:cs="仿宋"/>
          <w:color w:val="auto"/>
          <w:sz w:val="28"/>
          <w:szCs w:val="28"/>
        </w:rPr>
        <w:t>质探矿</w:t>
      </w:r>
      <w:r>
        <w:rPr>
          <w:rFonts w:hint="eastAsia" w:ascii="仿宋" w:hAnsi="仿宋" w:eastAsia="仿宋" w:cs="仿宋"/>
          <w:color w:val="auto"/>
          <w:sz w:val="28"/>
          <w:szCs w:val="28"/>
          <w:highlight w:val="none"/>
        </w:rPr>
        <w:t>权</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个</w:t>
      </w:r>
      <w:r>
        <w:rPr>
          <w:rFonts w:hint="eastAsia" w:ascii="仿宋" w:hAnsi="仿宋" w:eastAsia="仿宋" w:cs="仿宋"/>
          <w:sz w:val="28"/>
          <w:szCs w:val="28"/>
        </w:rPr>
        <w:t>。按地质勘查项目的勘查矿种分类：能源矿产</w:t>
      </w:r>
      <w:r>
        <w:rPr>
          <w:rFonts w:hint="eastAsia" w:ascii="仿宋" w:hAnsi="仿宋" w:eastAsia="仿宋" w:cs="仿宋"/>
          <w:sz w:val="28"/>
          <w:szCs w:val="28"/>
          <w:lang w:val="en-US" w:eastAsia="zh-CN"/>
        </w:rPr>
        <w:t>9</w:t>
      </w:r>
      <w:r>
        <w:rPr>
          <w:rFonts w:hint="eastAsia" w:ascii="仿宋" w:hAnsi="仿宋" w:eastAsia="仿宋" w:cs="仿宋"/>
          <w:sz w:val="28"/>
          <w:szCs w:val="28"/>
        </w:rPr>
        <w:t>个，有色金属矿产</w:t>
      </w:r>
      <w:r>
        <w:rPr>
          <w:rFonts w:hint="eastAsia" w:ascii="仿宋" w:hAnsi="仿宋" w:eastAsia="仿宋" w:cs="仿宋"/>
          <w:sz w:val="28"/>
          <w:szCs w:val="28"/>
          <w:lang w:val="en-US" w:eastAsia="zh-CN"/>
        </w:rPr>
        <w:t>1</w:t>
      </w:r>
      <w:r>
        <w:rPr>
          <w:rFonts w:hint="eastAsia" w:ascii="仿宋" w:hAnsi="仿宋" w:eastAsia="仿宋" w:cs="仿宋"/>
          <w:sz w:val="28"/>
          <w:szCs w:val="28"/>
        </w:rPr>
        <w:t>个</w:t>
      </w:r>
      <w:r>
        <w:rPr>
          <w:rFonts w:hint="eastAsia" w:ascii="仿宋" w:hAnsi="仿宋" w:eastAsia="仿宋" w:cs="仿宋"/>
          <w:sz w:val="28"/>
          <w:szCs w:val="28"/>
          <w:lang w:eastAsia="zh-CN"/>
        </w:rPr>
        <w:t>；</w:t>
      </w:r>
      <w:r>
        <w:rPr>
          <w:rFonts w:hint="eastAsia" w:ascii="仿宋" w:hAnsi="仿宋" w:eastAsia="仿宋" w:cs="仿宋"/>
          <w:color w:val="auto"/>
          <w:sz w:val="28"/>
          <w:szCs w:val="28"/>
          <w:lang w:val="en-US" w:eastAsia="zh-CN"/>
        </w:rPr>
        <w:t>沙湾市</w:t>
      </w:r>
      <w:r>
        <w:rPr>
          <w:rFonts w:hint="eastAsia" w:ascii="仿宋" w:hAnsi="仿宋" w:eastAsia="仿宋" w:cs="仿宋"/>
          <w:color w:val="auto"/>
          <w:sz w:val="28"/>
          <w:szCs w:val="28"/>
        </w:rPr>
        <w:t>查明</w:t>
      </w:r>
      <w:r>
        <w:rPr>
          <w:rFonts w:hint="eastAsia" w:ascii="仿宋_GB2312" w:hAnsi="仿宋_GB2312" w:eastAsia="仿宋_GB2312" w:cs="仿宋_GB2312"/>
          <w:color w:val="000000"/>
          <w:sz w:val="28"/>
          <w:szCs w:val="28"/>
          <w:lang w:val="zh-CN"/>
        </w:rPr>
        <w:t>有资源储</w:t>
      </w:r>
      <w:r>
        <w:rPr>
          <w:rFonts w:hint="eastAsia" w:ascii="仿宋_GB2312" w:hAnsi="仿宋_GB2312" w:eastAsia="仿宋_GB2312" w:cs="仿宋_GB2312"/>
          <w:color w:val="000000"/>
          <w:sz w:val="28"/>
          <w:szCs w:val="28"/>
          <w:lang w:val="en-US" w:eastAsia="zh-CN"/>
        </w:rPr>
        <w:t>量</w:t>
      </w:r>
      <w:r>
        <w:rPr>
          <w:rFonts w:hint="eastAsia" w:ascii="仿宋" w:hAnsi="仿宋" w:eastAsia="仿宋" w:cs="仿宋"/>
          <w:color w:val="auto"/>
          <w:sz w:val="28"/>
          <w:szCs w:val="28"/>
        </w:rPr>
        <w:t>的矿种有</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种（不包括油气）</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查明矿种主要是</w:t>
      </w:r>
      <w:r>
        <w:rPr>
          <w:rFonts w:hint="eastAsia" w:ascii="仿宋" w:hAnsi="仿宋" w:eastAsia="仿宋" w:cs="仿宋"/>
          <w:color w:val="auto"/>
          <w:sz w:val="28"/>
          <w:szCs w:val="28"/>
          <w:lang w:val="en-US" w:eastAsia="zh-CN"/>
        </w:rPr>
        <w:t>能源矿产1种、非金属矿产5种，</w:t>
      </w:r>
      <w:r>
        <w:rPr>
          <w:rFonts w:hint="eastAsia" w:ascii="仿宋" w:hAnsi="仿宋" w:eastAsia="仿宋" w:cs="仿宋"/>
          <w:sz w:val="28"/>
          <w:szCs w:val="28"/>
          <w:lang w:val="en-US" w:eastAsia="zh-CN"/>
        </w:rPr>
        <w:t>沙湾市</w:t>
      </w:r>
      <w:r>
        <w:rPr>
          <w:rFonts w:hint="eastAsia" w:ascii="仿宋" w:hAnsi="仿宋" w:eastAsia="仿宋" w:cs="仿宋"/>
          <w:sz w:val="28"/>
          <w:szCs w:val="28"/>
        </w:rPr>
        <w:t>累计探明上表资源量见专栏</w:t>
      </w:r>
      <w:r>
        <w:rPr>
          <w:rFonts w:hint="eastAsia" w:ascii="仿宋" w:hAnsi="仿宋" w:eastAsia="仿宋" w:cs="仿宋"/>
          <w:sz w:val="28"/>
          <w:szCs w:val="28"/>
          <w:lang w:val="en-US" w:eastAsia="zh-CN"/>
        </w:rPr>
        <w:t>4</w:t>
      </w:r>
      <w:r>
        <w:rPr>
          <w:rFonts w:hint="eastAsia" w:ascii="仿宋" w:hAnsi="仿宋" w:eastAsia="仿宋" w:cs="仿宋"/>
          <w:sz w:val="28"/>
          <w:szCs w:val="28"/>
        </w:rPr>
        <w:t>。</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1974"/>
        <w:gridCol w:w="2279"/>
        <w:gridCol w:w="3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8522" w:type="dxa"/>
            <w:gridSpan w:val="4"/>
            <w:shd w:val="clear" w:color="auto" w:fill="D9D9D9"/>
            <w:noWrap w:val="0"/>
            <w:vAlign w:val="center"/>
          </w:tcPr>
          <w:p>
            <w:pPr>
              <w:kinsoku w:val="0"/>
              <w:overflowPunct w:val="0"/>
              <w:autoSpaceDE w:val="0"/>
              <w:autoSpaceDN w:val="0"/>
              <w:adjustRightInd w:val="0"/>
              <w:snapToGrid w:val="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专栏</w:t>
            </w:r>
            <w:r>
              <w:rPr>
                <w:rFonts w:hint="eastAsia" w:ascii="仿宋" w:hAnsi="仿宋" w:eastAsia="仿宋" w:cs="仿宋"/>
                <w:b/>
                <w:bCs/>
                <w:color w:val="000000"/>
                <w:kern w:val="0"/>
                <w:sz w:val="21"/>
                <w:szCs w:val="21"/>
                <w:lang w:val="en-US" w:eastAsia="zh-CN"/>
              </w:rPr>
              <w:t>4</w:t>
            </w:r>
            <w:r>
              <w:rPr>
                <w:rFonts w:hint="eastAsia" w:ascii="仿宋" w:hAnsi="仿宋" w:eastAsia="仿宋" w:cs="仿宋"/>
                <w:b/>
                <w:bCs/>
                <w:color w:val="000000"/>
                <w:kern w:val="0"/>
                <w:sz w:val="21"/>
                <w:szCs w:val="21"/>
              </w:rPr>
              <w:t xml:space="preserve">  截至2020年度</w:t>
            </w:r>
            <w:r>
              <w:rPr>
                <w:rFonts w:hint="eastAsia" w:ascii="仿宋" w:hAnsi="仿宋" w:eastAsia="仿宋" w:cs="仿宋"/>
                <w:b/>
                <w:bCs/>
                <w:color w:val="000000"/>
                <w:kern w:val="0"/>
                <w:sz w:val="21"/>
                <w:szCs w:val="21"/>
                <w:lang w:val="en-US" w:eastAsia="zh-CN"/>
              </w:rPr>
              <w:t>沙湾市</w:t>
            </w:r>
            <w:r>
              <w:rPr>
                <w:rFonts w:hint="eastAsia" w:ascii="仿宋" w:hAnsi="仿宋" w:eastAsia="仿宋" w:cs="仿宋"/>
                <w:b/>
                <w:bCs/>
                <w:color w:val="000000"/>
                <w:kern w:val="0"/>
                <w:sz w:val="21"/>
                <w:szCs w:val="21"/>
              </w:rPr>
              <w:t>矿产资源</w:t>
            </w:r>
            <w:r>
              <w:rPr>
                <w:rFonts w:hint="eastAsia" w:ascii="仿宋" w:hAnsi="仿宋" w:eastAsia="仿宋" w:cs="仿宋"/>
                <w:b/>
                <w:bCs/>
                <w:color w:val="000000"/>
                <w:kern w:val="0"/>
                <w:sz w:val="21"/>
                <w:szCs w:val="21"/>
                <w:lang w:val="en-US" w:eastAsia="zh-CN"/>
              </w:rPr>
              <w:t>储</w:t>
            </w:r>
            <w:r>
              <w:rPr>
                <w:rFonts w:hint="eastAsia" w:ascii="仿宋" w:hAnsi="仿宋" w:eastAsia="仿宋" w:cs="仿宋"/>
                <w:b/>
                <w:bCs/>
                <w:color w:val="000000"/>
                <w:kern w:val="0"/>
                <w:sz w:val="21"/>
                <w:szCs w:val="21"/>
              </w:rPr>
              <w:t>量总量统计表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序号</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矿产名称</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资源储量单位</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lang w:val="en-US" w:eastAsia="zh-CN"/>
              </w:rPr>
            </w:pPr>
            <w:r>
              <w:rPr>
                <w:rFonts w:hint="eastAsia" w:ascii="仿宋" w:hAnsi="仿宋" w:eastAsia="仿宋" w:cs="仿宋"/>
                <w:bCs/>
                <w:color w:val="000000"/>
                <w:kern w:val="0"/>
                <w:sz w:val="21"/>
                <w:szCs w:val="21"/>
              </w:rPr>
              <w:t>累计查明</w:t>
            </w:r>
            <w:r>
              <w:rPr>
                <w:rFonts w:hint="eastAsia" w:ascii="仿宋" w:hAnsi="仿宋" w:eastAsia="仿宋" w:cs="仿宋"/>
                <w:bCs/>
                <w:color w:val="000000"/>
                <w:kern w:val="0"/>
                <w:sz w:val="21"/>
                <w:szCs w:val="21"/>
                <w:lang w:val="en-US" w:eastAsia="zh-CN"/>
              </w:rPr>
              <w:t>资源量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1</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煤炭</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lang w:val="en-US" w:eastAsia="zh-CN"/>
              </w:rPr>
            </w:pPr>
            <w:r>
              <w:rPr>
                <w:rFonts w:hint="eastAsia" w:ascii="仿宋" w:hAnsi="仿宋" w:eastAsia="仿宋" w:cs="仿宋"/>
                <w:bCs/>
                <w:color w:val="000000"/>
                <w:kern w:val="0"/>
                <w:sz w:val="21"/>
                <w:szCs w:val="21"/>
                <w:lang w:val="en-US" w:eastAsia="zh-CN"/>
              </w:rPr>
              <w:t>万吨</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lang w:val="en-US" w:eastAsia="zh-CN"/>
              </w:rPr>
            </w:pPr>
            <w:r>
              <w:rPr>
                <w:rFonts w:hint="eastAsia" w:ascii="仿宋" w:hAnsi="仿宋" w:eastAsia="仿宋" w:cs="仿宋"/>
                <w:bCs/>
                <w:color w:val="000000"/>
                <w:kern w:val="0"/>
                <w:sz w:val="21"/>
                <w:szCs w:val="21"/>
                <w:lang w:val="en-US" w:eastAsia="zh-CN"/>
              </w:rPr>
              <w:t>115901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2</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建筑用砂</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 xml:space="preserve">矿石 </w:t>
            </w:r>
            <w:r>
              <w:rPr>
                <w:rFonts w:hint="eastAsia" w:ascii="仿宋" w:hAnsi="仿宋" w:eastAsia="仿宋" w:cs="仿宋"/>
                <w:bCs/>
                <w:color w:val="000000"/>
                <w:kern w:val="0"/>
                <w:sz w:val="21"/>
                <w:szCs w:val="21"/>
                <w:lang w:val="en-US" w:eastAsia="zh-CN"/>
              </w:rPr>
              <w:t>万</w:t>
            </w:r>
            <w:r>
              <w:rPr>
                <w:rFonts w:hint="eastAsia" w:ascii="仿宋" w:hAnsi="仿宋" w:eastAsia="仿宋" w:cs="仿宋"/>
                <w:bCs/>
                <w:color w:val="000000"/>
                <w:kern w:val="0"/>
                <w:sz w:val="21"/>
                <w:szCs w:val="21"/>
              </w:rPr>
              <w:t>立方米</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351.83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3</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砖瓦用粘土</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 xml:space="preserve">矿石 </w:t>
            </w:r>
            <w:r>
              <w:rPr>
                <w:rFonts w:hint="eastAsia" w:ascii="仿宋" w:hAnsi="仿宋" w:eastAsia="仿宋" w:cs="仿宋"/>
                <w:bCs/>
                <w:color w:val="000000"/>
                <w:kern w:val="0"/>
                <w:sz w:val="21"/>
                <w:szCs w:val="21"/>
                <w:lang w:val="en-US" w:eastAsia="zh-CN"/>
              </w:rPr>
              <w:t>万</w:t>
            </w:r>
            <w:r>
              <w:rPr>
                <w:rFonts w:hint="eastAsia" w:ascii="仿宋" w:hAnsi="仿宋" w:eastAsia="仿宋" w:cs="仿宋"/>
                <w:bCs/>
                <w:color w:val="000000"/>
                <w:kern w:val="0"/>
                <w:sz w:val="21"/>
                <w:szCs w:val="21"/>
              </w:rPr>
              <w:t>立方米</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194.893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4</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建筑用玄武岩</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 xml:space="preserve">矿石 </w:t>
            </w:r>
            <w:r>
              <w:rPr>
                <w:rFonts w:hint="eastAsia" w:ascii="仿宋" w:hAnsi="仿宋" w:eastAsia="仿宋" w:cs="仿宋"/>
                <w:bCs/>
                <w:color w:val="000000"/>
                <w:kern w:val="0"/>
                <w:sz w:val="21"/>
                <w:szCs w:val="21"/>
                <w:lang w:val="en-US" w:eastAsia="zh-CN"/>
              </w:rPr>
              <w:t>万</w:t>
            </w:r>
            <w:r>
              <w:rPr>
                <w:rFonts w:hint="eastAsia" w:ascii="仿宋" w:hAnsi="仿宋" w:eastAsia="仿宋" w:cs="仿宋"/>
                <w:bCs/>
                <w:color w:val="000000"/>
                <w:kern w:val="0"/>
                <w:sz w:val="21"/>
                <w:szCs w:val="21"/>
              </w:rPr>
              <w:t>立方米</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208.29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5</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石灰岩</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lang w:eastAsia="zh-CN"/>
              </w:rPr>
            </w:pPr>
            <w:r>
              <w:rPr>
                <w:rFonts w:hint="eastAsia" w:ascii="仿宋" w:hAnsi="仿宋" w:eastAsia="仿宋" w:cs="仿宋"/>
                <w:bCs/>
                <w:color w:val="000000"/>
                <w:kern w:val="0"/>
                <w:sz w:val="21"/>
                <w:szCs w:val="21"/>
              </w:rPr>
              <w:t xml:space="preserve">矿石 </w:t>
            </w:r>
            <w:r>
              <w:rPr>
                <w:rFonts w:hint="eastAsia" w:ascii="仿宋" w:hAnsi="仿宋" w:eastAsia="仿宋" w:cs="仿宋"/>
                <w:bCs/>
                <w:color w:val="000000"/>
                <w:kern w:val="0"/>
                <w:sz w:val="21"/>
                <w:szCs w:val="21"/>
                <w:lang w:val="en-US" w:eastAsia="zh-CN"/>
              </w:rPr>
              <w:t>万吨</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lang w:val="en-US" w:eastAsia="zh-CN"/>
              </w:rPr>
              <w:t>2814.33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08" w:type="dxa"/>
            <w:noWrap w:val="0"/>
            <w:vAlign w:val="center"/>
          </w:tcPr>
          <w:p>
            <w:pPr>
              <w:kinsoku w:val="0"/>
              <w:overflowPunct w:val="0"/>
              <w:autoSpaceDE w:val="0"/>
              <w:autoSpaceDN w:val="0"/>
              <w:adjustRightInd w:val="0"/>
              <w:snapToGrid w:val="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6</w:t>
            </w:r>
          </w:p>
        </w:tc>
        <w:tc>
          <w:tcPr>
            <w:tcW w:w="1974"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lang w:val="en-US" w:eastAsia="zh-CN"/>
              </w:rPr>
            </w:pPr>
            <w:r>
              <w:rPr>
                <w:rFonts w:hint="eastAsia" w:ascii="仿宋" w:hAnsi="仿宋" w:eastAsia="仿宋" w:cs="仿宋"/>
                <w:bCs/>
                <w:color w:val="000000"/>
                <w:kern w:val="0"/>
                <w:sz w:val="21"/>
                <w:szCs w:val="21"/>
                <w:lang w:val="en-US" w:eastAsia="zh-CN"/>
              </w:rPr>
              <w:t>砖瓦用页岩</w:t>
            </w:r>
          </w:p>
        </w:tc>
        <w:tc>
          <w:tcPr>
            <w:tcW w:w="2279"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rPr>
            </w:pPr>
            <w:r>
              <w:rPr>
                <w:rFonts w:hint="eastAsia" w:ascii="仿宋" w:hAnsi="仿宋" w:eastAsia="仿宋" w:cs="仿宋"/>
                <w:bCs/>
                <w:color w:val="000000"/>
                <w:kern w:val="0"/>
                <w:sz w:val="21"/>
                <w:szCs w:val="21"/>
              </w:rPr>
              <w:t xml:space="preserve">矿石 </w:t>
            </w:r>
            <w:r>
              <w:rPr>
                <w:rFonts w:hint="eastAsia" w:ascii="仿宋" w:hAnsi="仿宋" w:eastAsia="仿宋" w:cs="仿宋"/>
                <w:bCs/>
                <w:color w:val="000000"/>
                <w:kern w:val="0"/>
                <w:sz w:val="21"/>
                <w:szCs w:val="21"/>
                <w:lang w:val="en-US" w:eastAsia="zh-CN"/>
              </w:rPr>
              <w:t>万吨</w:t>
            </w:r>
          </w:p>
        </w:tc>
        <w:tc>
          <w:tcPr>
            <w:tcW w:w="3061" w:type="dxa"/>
            <w:noWrap w:val="0"/>
            <w:vAlign w:val="center"/>
          </w:tcPr>
          <w:p>
            <w:pPr>
              <w:kinsoku w:val="0"/>
              <w:overflowPunct w:val="0"/>
              <w:autoSpaceDE w:val="0"/>
              <w:autoSpaceDN w:val="0"/>
              <w:adjustRightInd w:val="0"/>
              <w:snapToGrid w:val="0"/>
              <w:jc w:val="center"/>
              <w:rPr>
                <w:rFonts w:hint="eastAsia" w:ascii="仿宋" w:hAnsi="仿宋" w:eastAsia="仿宋" w:cs="仿宋"/>
                <w:bCs/>
                <w:color w:val="000000"/>
                <w:kern w:val="0"/>
                <w:sz w:val="21"/>
                <w:szCs w:val="21"/>
                <w:lang w:val="en-US" w:eastAsia="zh-CN"/>
              </w:rPr>
            </w:pPr>
            <w:r>
              <w:rPr>
                <w:rFonts w:hint="eastAsia" w:ascii="仿宋" w:hAnsi="仿宋" w:eastAsia="仿宋" w:cs="仿宋"/>
                <w:bCs/>
                <w:color w:val="000000"/>
                <w:kern w:val="0"/>
                <w:sz w:val="21"/>
                <w:szCs w:val="21"/>
                <w:lang w:val="en-US" w:eastAsia="zh-CN"/>
              </w:rPr>
              <w:t>329.79</w:t>
            </w:r>
          </w:p>
        </w:tc>
      </w:tr>
    </w:tbl>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color w:val="000000"/>
          <w:sz w:val="28"/>
          <w:szCs w:val="28"/>
        </w:rPr>
      </w:pPr>
      <w:r>
        <w:rPr>
          <w:rFonts w:hint="eastAsia" w:ascii="仿宋" w:hAnsi="仿宋" w:eastAsia="仿宋" w:cs="仿宋"/>
          <w:b/>
          <w:sz w:val="28"/>
          <w:szCs w:val="28"/>
        </w:rPr>
        <w:t>矿产资源开发利用现状</w:t>
      </w:r>
      <w:r>
        <w:rPr>
          <w:rFonts w:hint="eastAsia" w:ascii="仿宋" w:hAnsi="仿宋" w:eastAsia="仿宋" w:cs="仿宋"/>
          <w:b/>
          <w:sz w:val="28"/>
          <w:szCs w:val="28"/>
          <w:lang w:eastAsia="zh-CN"/>
        </w:rPr>
        <w:t>。</w:t>
      </w:r>
      <w:r>
        <w:rPr>
          <w:rFonts w:hint="eastAsia" w:ascii="仿宋" w:hAnsi="仿宋" w:eastAsia="仿宋" w:cs="仿宋"/>
          <w:sz w:val="28"/>
          <w:szCs w:val="28"/>
        </w:rPr>
        <w:t>截</w:t>
      </w:r>
      <w:r>
        <w:rPr>
          <w:rFonts w:hint="eastAsia" w:ascii="仿宋" w:hAnsi="仿宋" w:eastAsia="仿宋" w:cs="仿宋"/>
          <w:sz w:val="28"/>
          <w:szCs w:val="28"/>
          <w:lang w:eastAsia="zh-CN"/>
        </w:rPr>
        <w:t>至</w:t>
      </w:r>
      <w:r>
        <w:rPr>
          <w:rFonts w:hint="eastAsia" w:ascii="仿宋" w:hAnsi="仿宋" w:eastAsia="仿宋" w:cs="仿宋"/>
          <w:sz w:val="28"/>
          <w:szCs w:val="28"/>
        </w:rPr>
        <w:t>2020年底，</w:t>
      </w:r>
      <w:r>
        <w:rPr>
          <w:rFonts w:hint="eastAsia" w:ascii="仿宋" w:hAnsi="仿宋" w:eastAsia="仿宋" w:cs="仿宋"/>
          <w:sz w:val="28"/>
          <w:szCs w:val="28"/>
          <w:lang w:val="en-US" w:eastAsia="zh-CN"/>
        </w:rPr>
        <w:t>沙湾</w:t>
      </w:r>
      <w:r>
        <w:rPr>
          <w:rFonts w:hint="eastAsia" w:ascii="仿宋" w:hAnsi="仿宋" w:eastAsia="仿宋" w:cs="仿宋"/>
          <w:sz w:val="28"/>
          <w:szCs w:val="28"/>
        </w:rPr>
        <w:t>市共有</w:t>
      </w:r>
      <w:r>
        <w:rPr>
          <w:rFonts w:hint="eastAsia" w:ascii="仿宋" w:hAnsi="仿宋" w:eastAsia="仿宋" w:cs="仿宋"/>
          <w:sz w:val="28"/>
          <w:szCs w:val="28"/>
          <w:lang w:val="en-US" w:eastAsia="zh-CN"/>
        </w:rPr>
        <w:t>29</w:t>
      </w:r>
      <w:r>
        <w:rPr>
          <w:rFonts w:hint="eastAsia" w:ascii="仿宋" w:hAnsi="仿宋" w:eastAsia="仿宋" w:cs="仿宋"/>
          <w:sz w:val="28"/>
          <w:szCs w:val="28"/>
        </w:rPr>
        <w:t>个非油气</w:t>
      </w:r>
      <w:r>
        <w:rPr>
          <w:rFonts w:hint="eastAsia" w:ascii="仿宋" w:hAnsi="仿宋" w:eastAsia="仿宋" w:cs="仿宋"/>
          <w:sz w:val="28"/>
          <w:szCs w:val="28"/>
          <w:lang w:val="en-US" w:eastAsia="zh-CN"/>
        </w:rPr>
        <w:t>采</w:t>
      </w:r>
      <w:r>
        <w:rPr>
          <w:rFonts w:hint="eastAsia" w:ascii="仿宋" w:hAnsi="仿宋" w:eastAsia="仿宋" w:cs="仿宋"/>
          <w:sz w:val="28"/>
          <w:szCs w:val="28"/>
        </w:rPr>
        <w:t>矿权</w:t>
      </w:r>
      <w:r>
        <w:rPr>
          <w:rFonts w:hint="eastAsia" w:ascii="仿宋" w:hAnsi="仿宋" w:eastAsia="仿宋" w:cs="仿宋"/>
          <w:color w:val="auto"/>
          <w:sz w:val="28"/>
          <w:szCs w:val="28"/>
        </w:rPr>
        <w:t>，涉及矿种</w:t>
      </w:r>
      <w:r>
        <w:rPr>
          <w:rFonts w:hint="eastAsia" w:ascii="仿宋" w:hAnsi="仿宋" w:eastAsia="仿宋" w:cs="仿宋"/>
          <w:color w:val="auto"/>
          <w:sz w:val="28"/>
          <w:szCs w:val="28"/>
          <w:lang w:val="en-US" w:eastAsia="zh-CN"/>
        </w:rPr>
        <w:t>7</w:t>
      </w:r>
      <w:r>
        <w:rPr>
          <w:rFonts w:hint="eastAsia" w:ascii="仿宋" w:hAnsi="仿宋" w:eastAsia="仿宋" w:cs="仿宋"/>
          <w:color w:val="auto"/>
          <w:sz w:val="28"/>
          <w:szCs w:val="28"/>
        </w:rPr>
        <w:t>种，</w:t>
      </w:r>
      <w:r>
        <w:rPr>
          <w:rFonts w:hint="eastAsia" w:ascii="仿宋" w:hAnsi="仿宋" w:eastAsia="仿宋" w:cs="仿宋"/>
          <w:sz w:val="28"/>
          <w:szCs w:val="28"/>
        </w:rPr>
        <w:t>登记矿区面积</w:t>
      </w:r>
      <w:r>
        <w:rPr>
          <w:rFonts w:hint="eastAsia" w:ascii="仿宋" w:hAnsi="仿宋" w:eastAsia="仿宋" w:cs="仿宋"/>
          <w:sz w:val="28"/>
          <w:szCs w:val="28"/>
          <w:lang w:val="en-US" w:eastAsia="zh-CN"/>
        </w:rPr>
        <w:t>共27.047</w:t>
      </w:r>
      <w:r>
        <w:rPr>
          <w:rFonts w:hint="eastAsia" w:ascii="仿宋" w:hAnsi="仿宋" w:eastAsia="仿宋" w:cs="仿宋"/>
          <w:sz w:val="28"/>
          <w:szCs w:val="28"/>
        </w:rPr>
        <w:t>平方千米</w:t>
      </w:r>
      <w:r>
        <w:rPr>
          <w:rFonts w:hint="eastAsia" w:ascii="仿宋" w:hAnsi="仿宋" w:eastAsia="仿宋" w:cs="仿宋"/>
          <w:sz w:val="28"/>
          <w:szCs w:val="28"/>
          <w:lang w:eastAsia="zh-CN"/>
        </w:rPr>
        <w:t>，</w:t>
      </w:r>
      <w:r>
        <w:rPr>
          <w:rFonts w:hint="eastAsia" w:ascii="仿宋" w:hAnsi="仿宋" w:eastAsia="仿宋" w:cs="仿宋"/>
          <w:sz w:val="28"/>
          <w:szCs w:val="28"/>
        </w:rPr>
        <w:t>其中大型</w:t>
      </w:r>
      <w:r>
        <w:rPr>
          <w:rFonts w:hint="eastAsia" w:ascii="仿宋" w:hAnsi="仿宋" w:eastAsia="仿宋" w:cs="仿宋"/>
          <w:sz w:val="28"/>
          <w:szCs w:val="28"/>
          <w:lang w:val="en-US" w:eastAsia="zh-CN"/>
        </w:rPr>
        <w:t>1</w:t>
      </w:r>
      <w:r>
        <w:rPr>
          <w:rFonts w:hint="eastAsia" w:ascii="仿宋" w:hAnsi="仿宋" w:eastAsia="仿宋" w:cs="仿宋"/>
          <w:sz w:val="28"/>
          <w:szCs w:val="28"/>
        </w:rPr>
        <w:t>家，中型</w:t>
      </w:r>
      <w:r>
        <w:rPr>
          <w:rFonts w:hint="eastAsia" w:ascii="仿宋" w:hAnsi="仿宋" w:eastAsia="仿宋" w:cs="仿宋"/>
          <w:sz w:val="28"/>
          <w:szCs w:val="28"/>
          <w:lang w:val="en-US" w:eastAsia="zh-CN"/>
        </w:rPr>
        <w:t>2</w:t>
      </w:r>
      <w:r>
        <w:rPr>
          <w:rFonts w:hint="eastAsia" w:ascii="仿宋" w:hAnsi="仿宋" w:eastAsia="仿宋" w:cs="仿宋"/>
          <w:sz w:val="28"/>
          <w:szCs w:val="28"/>
        </w:rPr>
        <w:t>家，小型及小矿</w:t>
      </w:r>
      <w:r>
        <w:rPr>
          <w:rFonts w:hint="eastAsia" w:ascii="仿宋" w:hAnsi="仿宋" w:eastAsia="仿宋" w:cs="仿宋"/>
          <w:sz w:val="28"/>
          <w:szCs w:val="28"/>
          <w:lang w:val="en-US" w:eastAsia="zh-CN"/>
        </w:rPr>
        <w:t>26</w:t>
      </w:r>
      <w:r>
        <w:rPr>
          <w:rFonts w:hint="eastAsia" w:ascii="仿宋" w:hAnsi="仿宋" w:eastAsia="仿宋" w:cs="仿宋"/>
          <w:sz w:val="28"/>
          <w:szCs w:val="28"/>
        </w:rPr>
        <w:t>家</w:t>
      </w:r>
      <w:r>
        <w:rPr>
          <w:rFonts w:hint="eastAsia" w:ascii="仿宋" w:hAnsi="仿宋" w:eastAsia="仿宋" w:cs="仿宋"/>
          <w:sz w:val="28"/>
          <w:szCs w:val="28"/>
          <w:lang w:eastAsia="zh-CN"/>
        </w:rPr>
        <w:t>。</w:t>
      </w:r>
      <w:r>
        <w:rPr>
          <w:rFonts w:hint="eastAsia" w:ascii="仿宋" w:hAnsi="仿宋" w:eastAsia="仿宋" w:cs="仿宋"/>
          <w:sz w:val="28"/>
          <w:szCs w:val="28"/>
        </w:rPr>
        <w:t>从业人员</w:t>
      </w:r>
      <w:r>
        <w:rPr>
          <w:rFonts w:hint="eastAsia" w:ascii="仿宋" w:hAnsi="仿宋" w:eastAsia="仿宋" w:cs="仿宋"/>
          <w:sz w:val="28"/>
          <w:szCs w:val="28"/>
          <w:lang w:val="en-US" w:eastAsia="zh-CN"/>
        </w:rPr>
        <w:t>957位</w:t>
      </w:r>
      <w:r>
        <w:rPr>
          <w:rFonts w:hint="eastAsia" w:ascii="仿宋" w:hAnsi="仿宋" w:eastAsia="仿宋" w:cs="仿宋"/>
          <w:sz w:val="28"/>
          <w:szCs w:val="28"/>
          <w:lang w:eastAsia="zh-CN"/>
        </w:rPr>
        <w:t>，</w:t>
      </w:r>
      <w:r>
        <w:rPr>
          <w:rFonts w:hint="eastAsia" w:ascii="仿宋" w:hAnsi="仿宋" w:eastAsia="仿宋" w:cs="仿宋"/>
          <w:sz w:val="28"/>
          <w:szCs w:val="28"/>
        </w:rPr>
        <w:t>按矿种划分有能源矿山</w:t>
      </w:r>
      <w:r>
        <w:rPr>
          <w:rFonts w:hint="eastAsia" w:ascii="仿宋" w:hAnsi="仿宋" w:eastAsia="仿宋" w:cs="仿宋"/>
          <w:sz w:val="28"/>
          <w:szCs w:val="28"/>
          <w:lang w:val="en-US" w:eastAsia="zh-CN"/>
        </w:rPr>
        <w:t>9</w:t>
      </w:r>
      <w:r>
        <w:rPr>
          <w:rFonts w:hint="eastAsia" w:ascii="仿宋" w:hAnsi="仿宋" w:eastAsia="仿宋" w:cs="仿宋"/>
          <w:sz w:val="28"/>
          <w:szCs w:val="28"/>
        </w:rPr>
        <w:t>个、非金属矿山</w:t>
      </w:r>
      <w:r>
        <w:rPr>
          <w:rFonts w:hint="eastAsia" w:ascii="仿宋" w:hAnsi="仿宋" w:eastAsia="仿宋" w:cs="仿宋"/>
          <w:sz w:val="28"/>
          <w:szCs w:val="28"/>
          <w:lang w:val="en-US" w:eastAsia="zh-CN"/>
        </w:rPr>
        <w:t>20</w:t>
      </w:r>
      <w:r>
        <w:rPr>
          <w:rFonts w:hint="eastAsia" w:ascii="仿宋" w:hAnsi="仿宋" w:eastAsia="仿宋" w:cs="仿宋"/>
          <w:sz w:val="28"/>
          <w:szCs w:val="28"/>
        </w:rPr>
        <w:t>个</w:t>
      </w:r>
      <w:r>
        <w:rPr>
          <w:rFonts w:hint="eastAsia" w:ascii="仿宋" w:hAnsi="仿宋" w:eastAsia="仿宋" w:cs="仿宋"/>
          <w:sz w:val="28"/>
          <w:szCs w:val="28"/>
          <w:lang w:eastAsia="zh-CN"/>
        </w:rPr>
        <w:t>。矿产资源开发利用现状</w:t>
      </w:r>
      <w:r>
        <w:rPr>
          <w:rFonts w:hint="eastAsia" w:ascii="仿宋" w:hAnsi="仿宋" w:eastAsia="仿宋" w:cs="仿宋"/>
          <w:color w:val="000000"/>
          <w:sz w:val="28"/>
          <w:szCs w:val="28"/>
        </w:rPr>
        <w:t>见专栏</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w:t>
      </w:r>
    </w:p>
    <w:tbl>
      <w:tblPr>
        <w:tblStyle w:val="16"/>
        <w:tblW w:w="85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5435"/>
        <w:gridCol w:w="10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541" w:type="dxa"/>
            <w:gridSpan w:val="3"/>
            <w:shd w:val="clear" w:color="auto" w:fill="D9D9D9"/>
            <w:noWrap w:val="0"/>
            <w:vAlign w:val="center"/>
          </w:tcPr>
          <w:p>
            <w:pPr>
              <w:kinsoku w:val="0"/>
              <w:overflowPunct w:val="0"/>
              <w:autoSpaceDE w:val="0"/>
              <w:autoSpaceDN w:val="0"/>
              <w:adjustRightInd w:val="0"/>
              <w:snapToGrid w:val="0"/>
              <w:jc w:val="center"/>
              <w:rPr>
                <w:rFonts w:hint="eastAsia" w:ascii="仿宋" w:hAnsi="仿宋" w:eastAsia="仿宋" w:cs="仿宋"/>
                <w:b/>
                <w:szCs w:val="21"/>
              </w:rPr>
            </w:pPr>
            <w:r>
              <w:rPr>
                <w:rFonts w:hint="eastAsia" w:ascii="仿宋" w:hAnsi="仿宋" w:eastAsia="仿宋" w:cs="仿宋"/>
                <w:b/>
                <w:bCs/>
                <w:color w:val="000000"/>
                <w:kern w:val="0"/>
                <w:szCs w:val="21"/>
              </w:rPr>
              <w:t>专栏</w:t>
            </w:r>
            <w:r>
              <w:rPr>
                <w:rFonts w:hint="eastAsia" w:ascii="仿宋" w:hAnsi="仿宋" w:eastAsia="仿宋" w:cs="仿宋"/>
                <w:b/>
                <w:bCs/>
                <w:color w:val="000000"/>
                <w:kern w:val="0"/>
                <w:szCs w:val="21"/>
                <w:lang w:val="en-US" w:eastAsia="zh-CN"/>
              </w:rPr>
              <w:t>5</w:t>
            </w:r>
            <w:r>
              <w:rPr>
                <w:rFonts w:hint="eastAsia" w:ascii="仿宋" w:hAnsi="仿宋" w:eastAsia="仿宋" w:cs="仿宋"/>
                <w:b/>
                <w:bCs/>
                <w:color w:val="000000"/>
                <w:kern w:val="0"/>
                <w:szCs w:val="21"/>
              </w:rPr>
              <w:t xml:space="preserve">  </w:t>
            </w:r>
            <w:r>
              <w:rPr>
                <w:rFonts w:hint="eastAsia" w:ascii="仿宋" w:hAnsi="仿宋" w:eastAsia="仿宋" w:cs="仿宋"/>
                <w:b/>
                <w:bCs/>
                <w:color w:val="000000"/>
                <w:kern w:val="0"/>
                <w:szCs w:val="21"/>
                <w:lang w:val="en-US" w:eastAsia="zh-CN"/>
              </w:rPr>
              <w:t>沙湾</w:t>
            </w:r>
            <w:r>
              <w:rPr>
                <w:rFonts w:hint="eastAsia" w:ascii="仿宋" w:hAnsi="仿宋" w:eastAsia="仿宋" w:cs="仿宋"/>
                <w:b/>
                <w:bCs/>
                <w:color w:val="000000"/>
                <w:kern w:val="0"/>
                <w:szCs w:val="21"/>
              </w:rPr>
              <w:t>市已开发利用矿种统计表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5" w:type="dxa"/>
            <w:noWrap w:val="0"/>
            <w:vAlign w:val="center"/>
          </w:tcPr>
          <w:p>
            <w:pPr>
              <w:jc w:val="center"/>
              <w:rPr>
                <w:rFonts w:hint="eastAsia" w:ascii="仿宋" w:hAnsi="仿宋" w:eastAsia="仿宋" w:cs="仿宋"/>
                <w:szCs w:val="21"/>
              </w:rPr>
            </w:pPr>
            <w:r>
              <w:rPr>
                <w:rFonts w:hint="eastAsia" w:ascii="仿宋" w:hAnsi="仿宋" w:eastAsia="仿宋" w:cs="仿宋"/>
                <w:szCs w:val="21"/>
              </w:rPr>
              <w:t>矿产类型</w:t>
            </w:r>
          </w:p>
        </w:tc>
        <w:tc>
          <w:tcPr>
            <w:tcW w:w="5435" w:type="dxa"/>
            <w:noWrap w:val="0"/>
            <w:vAlign w:val="center"/>
          </w:tcPr>
          <w:p>
            <w:pPr>
              <w:jc w:val="center"/>
              <w:rPr>
                <w:rFonts w:hint="eastAsia" w:ascii="仿宋" w:hAnsi="仿宋" w:eastAsia="仿宋" w:cs="仿宋"/>
                <w:szCs w:val="21"/>
              </w:rPr>
            </w:pPr>
            <w:r>
              <w:rPr>
                <w:rFonts w:hint="eastAsia" w:ascii="仿宋" w:hAnsi="仿宋" w:eastAsia="仿宋" w:cs="仿宋"/>
                <w:szCs w:val="21"/>
              </w:rPr>
              <w:t>矿种</w:t>
            </w:r>
          </w:p>
        </w:tc>
        <w:tc>
          <w:tcPr>
            <w:tcW w:w="1051" w:type="dxa"/>
            <w:noWrap w:val="0"/>
            <w:vAlign w:val="center"/>
          </w:tcPr>
          <w:p>
            <w:pPr>
              <w:jc w:val="center"/>
              <w:rPr>
                <w:rFonts w:hint="eastAsia" w:ascii="仿宋" w:hAnsi="仿宋" w:eastAsia="仿宋" w:cs="仿宋"/>
                <w:szCs w:val="21"/>
              </w:rPr>
            </w:pPr>
            <w:r>
              <w:rPr>
                <w:rFonts w:hint="eastAsia" w:ascii="仿宋" w:hAnsi="仿宋" w:eastAsia="仿宋" w:cs="仿宋"/>
                <w:szCs w:val="21"/>
              </w:rPr>
              <w:t>矿种数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5" w:type="dxa"/>
            <w:noWrap w:val="0"/>
            <w:vAlign w:val="center"/>
          </w:tcPr>
          <w:p>
            <w:pPr>
              <w:jc w:val="center"/>
              <w:rPr>
                <w:rFonts w:hint="eastAsia" w:ascii="仿宋" w:hAnsi="仿宋" w:eastAsia="仿宋" w:cs="仿宋"/>
                <w:szCs w:val="21"/>
              </w:rPr>
            </w:pPr>
            <w:r>
              <w:rPr>
                <w:rFonts w:hint="eastAsia" w:ascii="仿宋" w:hAnsi="仿宋" w:eastAsia="仿宋" w:cs="仿宋"/>
                <w:szCs w:val="21"/>
              </w:rPr>
              <w:t>能源矿产</w:t>
            </w:r>
          </w:p>
        </w:tc>
        <w:tc>
          <w:tcPr>
            <w:tcW w:w="5435" w:type="dxa"/>
            <w:noWrap w:val="0"/>
            <w:vAlign w:val="center"/>
          </w:tcPr>
          <w:p>
            <w:pPr>
              <w:jc w:val="center"/>
              <w:rPr>
                <w:rFonts w:hint="default" w:ascii="仿宋" w:hAnsi="仿宋" w:eastAsia="仿宋" w:cs="仿宋"/>
                <w:szCs w:val="21"/>
                <w:lang w:val="en-US" w:eastAsia="zh-CN"/>
              </w:rPr>
            </w:pPr>
            <w:r>
              <w:rPr>
                <w:rFonts w:hint="eastAsia" w:ascii="仿宋" w:hAnsi="仿宋" w:eastAsia="仿宋" w:cs="仿宋"/>
                <w:szCs w:val="21"/>
              </w:rPr>
              <w:t>煤</w:t>
            </w:r>
          </w:p>
        </w:tc>
        <w:tc>
          <w:tcPr>
            <w:tcW w:w="1051" w:type="dxa"/>
            <w:noWrap w:val="0"/>
            <w:vAlign w:val="center"/>
          </w:tcPr>
          <w:p>
            <w:pPr>
              <w:jc w:val="center"/>
              <w:rPr>
                <w:rFonts w:hint="eastAsia" w:ascii="仿宋" w:hAnsi="仿宋" w:eastAsia="仿宋" w:cs="仿宋"/>
                <w:szCs w:val="21"/>
                <w:lang w:eastAsia="zh-CN"/>
              </w:rPr>
            </w:pPr>
            <w:r>
              <w:rPr>
                <w:rFonts w:hint="eastAsia" w:ascii="仿宋" w:hAnsi="仿宋" w:eastAsia="仿宋" w:cs="仿宋"/>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5" w:type="dxa"/>
            <w:noWrap w:val="0"/>
            <w:vAlign w:val="center"/>
          </w:tcPr>
          <w:p>
            <w:pPr>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建材及其它非金属矿产</w:t>
            </w:r>
          </w:p>
        </w:tc>
        <w:tc>
          <w:tcPr>
            <w:tcW w:w="5435" w:type="dxa"/>
            <w:noWrap w:val="0"/>
            <w:vAlign w:val="center"/>
          </w:tcPr>
          <w:p>
            <w:pPr>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建筑用砂、砖瓦用粘土、</w:t>
            </w:r>
            <w:r>
              <w:rPr>
                <w:rFonts w:hint="eastAsia" w:ascii="仿宋" w:hAnsi="仿宋" w:eastAsia="仿宋" w:cs="仿宋"/>
                <w:szCs w:val="21"/>
                <w:lang w:val="en-US" w:eastAsia="zh-CN"/>
              </w:rPr>
              <w:t>石</w:t>
            </w:r>
            <w:r>
              <w:rPr>
                <w:rFonts w:hint="eastAsia" w:ascii="仿宋" w:hAnsi="仿宋" w:eastAsia="仿宋" w:cs="仿宋"/>
                <w:szCs w:val="21"/>
              </w:rPr>
              <w:t>灰岩、</w:t>
            </w:r>
            <w:r>
              <w:rPr>
                <w:rFonts w:hint="eastAsia" w:ascii="仿宋" w:hAnsi="仿宋" w:eastAsia="仿宋" w:cs="仿宋"/>
                <w:szCs w:val="21"/>
                <w:lang w:val="en-US" w:eastAsia="zh-CN"/>
              </w:rPr>
              <w:t>建筑用玄武岩、砖瓦用页岩、玉石</w:t>
            </w:r>
          </w:p>
        </w:tc>
        <w:tc>
          <w:tcPr>
            <w:tcW w:w="1051" w:type="dxa"/>
            <w:noWrap w:val="0"/>
            <w:vAlign w:val="center"/>
          </w:tcPr>
          <w:p>
            <w:pPr>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55" w:type="dxa"/>
            <w:noWrap w:val="0"/>
            <w:vAlign w:val="center"/>
          </w:tcPr>
          <w:p>
            <w:pPr>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总计</w:t>
            </w:r>
          </w:p>
        </w:tc>
        <w:tc>
          <w:tcPr>
            <w:tcW w:w="5435" w:type="dxa"/>
            <w:noWrap w:val="0"/>
            <w:vAlign w:val="center"/>
          </w:tcPr>
          <w:p>
            <w:pPr>
              <w:jc w:val="center"/>
              <w:rPr>
                <w:rFonts w:hint="eastAsia" w:ascii="仿宋" w:hAnsi="仿宋" w:eastAsia="仿宋" w:cs="仿宋"/>
                <w:kern w:val="2"/>
                <w:sz w:val="21"/>
                <w:szCs w:val="21"/>
                <w:lang w:val="en-US" w:eastAsia="zh-CN" w:bidi="ar-SA"/>
              </w:rPr>
            </w:pPr>
            <w:r>
              <w:rPr>
                <w:rFonts w:hint="eastAsia" w:ascii="仿宋" w:hAnsi="仿宋" w:eastAsia="仿宋" w:cs="仿宋"/>
                <w:szCs w:val="21"/>
              </w:rPr>
              <w:t>-</w:t>
            </w:r>
          </w:p>
        </w:tc>
        <w:tc>
          <w:tcPr>
            <w:tcW w:w="1051" w:type="dxa"/>
            <w:noWrap w:val="0"/>
            <w:vAlign w:val="center"/>
          </w:tcPr>
          <w:p>
            <w:pPr>
              <w:jc w:val="center"/>
              <w:rPr>
                <w:rFonts w:hint="eastAsia" w:ascii="仿宋" w:hAnsi="仿宋" w:eastAsia="仿宋" w:cs="仿宋"/>
                <w:kern w:val="2"/>
                <w:sz w:val="21"/>
                <w:szCs w:val="21"/>
                <w:lang w:val="en-US" w:eastAsia="zh-CN" w:bidi="ar-SA"/>
              </w:rPr>
            </w:pPr>
            <w:r>
              <w:rPr>
                <w:rFonts w:hint="eastAsia" w:ascii="仿宋" w:hAnsi="仿宋" w:eastAsia="仿宋" w:cs="仿宋"/>
                <w:szCs w:val="21"/>
                <w:lang w:val="en-US" w:eastAsia="zh-CN"/>
              </w:rPr>
              <w:t>7</w:t>
            </w:r>
          </w:p>
        </w:tc>
      </w:tr>
    </w:tbl>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color w:val="5B9BD5" w:themeColor="accent1"/>
          <w:sz w:val="28"/>
          <w:szCs w:val="28"/>
          <w:lang w:val="en-US" w:eastAsia="zh-CN"/>
          <w14:textFill>
            <w14:solidFill>
              <w14:schemeClr w14:val="accent1"/>
            </w14:solidFill>
          </w14:textFill>
        </w:rPr>
      </w:pPr>
      <w:r>
        <w:rPr>
          <w:rFonts w:hint="eastAsia" w:ascii="仿宋" w:hAnsi="仿宋" w:eastAsia="仿宋" w:cs="仿宋"/>
          <w:b/>
          <w:sz w:val="28"/>
          <w:szCs w:val="28"/>
        </w:rPr>
        <w:t>矿业经济发展现状</w:t>
      </w:r>
      <w:r>
        <w:rPr>
          <w:rFonts w:hint="eastAsia" w:ascii="仿宋" w:hAnsi="仿宋" w:eastAsia="仿宋" w:cs="仿宋"/>
          <w:b/>
          <w:sz w:val="28"/>
          <w:szCs w:val="28"/>
          <w:lang w:val="en-US" w:eastAsia="zh-CN"/>
        </w:rPr>
        <w:t xml:space="preserve"> </w:t>
      </w:r>
      <w:r>
        <w:rPr>
          <w:rFonts w:hint="eastAsia" w:ascii="仿宋" w:hAnsi="仿宋" w:eastAsia="仿宋" w:cs="仿宋"/>
          <w:b/>
          <w:bCs/>
          <w:spacing w:val="0"/>
          <w:kern w:val="2"/>
          <w:sz w:val="28"/>
          <w:szCs w:val="28"/>
          <w:lang w:val="en-US" w:eastAsia="zh-CN" w:bidi="ar-SA"/>
        </w:rPr>
        <w:t>。</w:t>
      </w:r>
      <w:r>
        <w:rPr>
          <w:rFonts w:hint="eastAsia" w:ascii="仿宋" w:hAnsi="仿宋" w:eastAsia="仿宋" w:cs="仿宋"/>
          <w:color w:val="auto"/>
          <w:sz w:val="28"/>
          <w:szCs w:val="28"/>
        </w:rPr>
        <w:t>截至2020年底，</w:t>
      </w:r>
      <w:r>
        <w:rPr>
          <w:rFonts w:hint="eastAsia" w:ascii="仿宋" w:hAnsi="仿宋" w:eastAsia="仿宋" w:cs="仿宋"/>
          <w:color w:val="auto"/>
          <w:sz w:val="28"/>
          <w:szCs w:val="28"/>
          <w:lang w:val="en-US" w:eastAsia="zh-CN"/>
        </w:rPr>
        <w:t>沙湾</w:t>
      </w:r>
      <w:r>
        <w:rPr>
          <w:rFonts w:hint="eastAsia" w:ascii="仿宋" w:hAnsi="仿宋" w:eastAsia="仿宋" w:cs="仿宋"/>
          <w:color w:val="auto"/>
          <w:sz w:val="28"/>
          <w:szCs w:val="28"/>
          <w:lang w:eastAsia="zh-CN"/>
        </w:rPr>
        <w:t>市</w:t>
      </w:r>
      <w:r>
        <w:rPr>
          <w:rFonts w:hint="eastAsia" w:ascii="仿宋" w:hAnsi="仿宋" w:eastAsia="仿宋" w:cs="仿宋"/>
          <w:color w:val="auto"/>
          <w:sz w:val="28"/>
          <w:szCs w:val="28"/>
        </w:rPr>
        <w:t>已开</w:t>
      </w:r>
      <w:r>
        <w:rPr>
          <w:rFonts w:hint="eastAsia" w:ascii="仿宋" w:hAnsi="仿宋" w:eastAsia="仿宋" w:cs="仿宋"/>
          <w:color w:val="auto"/>
          <w:sz w:val="28"/>
          <w:szCs w:val="28"/>
          <w:lang w:val="en-US" w:eastAsia="zh-CN"/>
        </w:rPr>
        <w:t>采</w:t>
      </w:r>
      <w:r>
        <w:rPr>
          <w:rFonts w:hint="eastAsia" w:ascii="仿宋" w:hAnsi="仿宋" w:eastAsia="仿宋" w:cs="仿宋"/>
          <w:color w:val="auto"/>
          <w:sz w:val="28"/>
          <w:szCs w:val="28"/>
        </w:rPr>
        <w:t>的</w:t>
      </w:r>
      <w:r>
        <w:rPr>
          <w:rFonts w:hint="eastAsia" w:ascii="仿宋" w:hAnsi="仿宋" w:eastAsia="仿宋" w:cs="仿宋"/>
          <w:color w:val="auto"/>
          <w:sz w:val="28"/>
          <w:szCs w:val="28"/>
          <w:lang w:val="en-US" w:eastAsia="zh-CN"/>
        </w:rPr>
        <w:t>矿种有煤炭、水泥用石灰岩、建筑用砂、砖瓦用粘土，</w:t>
      </w:r>
      <w:r>
        <w:rPr>
          <w:rFonts w:hint="eastAsia" w:ascii="仿宋" w:hAnsi="仿宋" w:eastAsia="仿宋" w:cs="仿宋"/>
          <w:sz w:val="28"/>
          <w:szCs w:val="28"/>
        </w:rPr>
        <w:t>年产矿</w:t>
      </w:r>
      <w:r>
        <w:rPr>
          <w:rFonts w:hint="eastAsia" w:ascii="仿宋" w:hAnsi="仿宋" w:eastAsia="仿宋" w:cs="仿宋"/>
          <w:sz w:val="28"/>
          <w:szCs w:val="28"/>
          <w:lang w:val="en-US" w:eastAsia="zh-CN"/>
        </w:rPr>
        <w:t>石</w:t>
      </w:r>
      <w:r>
        <w:rPr>
          <w:rFonts w:hint="eastAsia" w:ascii="仿宋" w:hAnsi="仿宋" w:eastAsia="仿宋" w:cs="仿宋"/>
          <w:sz w:val="28"/>
          <w:szCs w:val="28"/>
        </w:rPr>
        <w:t>量</w:t>
      </w:r>
      <w:r>
        <w:rPr>
          <w:rFonts w:hint="eastAsia" w:ascii="仿宋" w:hAnsi="仿宋" w:eastAsia="仿宋" w:cs="仿宋"/>
          <w:snapToGrid w:val="0"/>
          <w:kern w:val="0"/>
          <w:sz w:val="28"/>
          <w:szCs w:val="28"/>
          <w:lang w:val="en-US" w:eastAsia="zh-CN"/>
        </w:rPr>
        <w:t>336.66</w:t>
      </w:r>
      <w:r>
        <w:rPr>
          <w:rFonts w:hint="eastAsia" w:ascii="仿宋" w:hAnsi="仿宋" w:eastAsia="仿宋" w:cs="仿宋"/>
          <w:sz w:val="28"/>
          <w:szCs w:val="28"/>
        </w:rPr>
        <w:t>万吨</w:t>
      </w:r>
      <w:r>
        <w:rPr>
          <w:rFonts w:hint="eastAsia" w:ascii="仿宋" w:hAnsi="仿宋" w:eastAsia="仿宋" w:cs="仿宋"/>
          <w:snapToGrid w:val="0"/>
          <w:kern w:val="0"/>
          <w:sz w:val="28"/>
          <w:szCs w:val="28"/>
        </w:rPr>
        <w:t>，</w:t>
      </w:r>
      <w:r>
        <w:rPr>
          <w:rFonts w:hint="eastAsia" w:ascii="仿宋" w:hAnsi="仿宋" w:eastAsia="仿宋" w:cs="仿宋"/>
          <w:sz w:val="28"/>
          <w:szCs w:val="28"/>
        </w:rPr>
        <w:t>矿业总产值</w:t>
      </w:r>
      <w:r>
        <w:rPr>
          <w:rFonts w:hint="eastAsia" w:ascii="仿宋" w:hAnsi="仿宋" w:eastAsia="仿宋" w:cs="仿宋"/>
          <w:snapToGrid w:val="0"/>
          <w:kern w:val="0"/>
          <w:sz w:val="28"/>
          <w:szCs w:val="28"/>
          <w:lang w:val="en-US" w:eastAsia="zh-CN"/>
        </w:rPr>
        <w:t>3.13</w:t>
      </w:r>
      <w:r>
        <w:rPr>
          <w:rFonts w:hint="eastAsia" w:ascii="仿宋" w:hAnsi="仿宋" w:eastAsia="仿宋" w:cs="仿宋"/>
          <w:sz w:val="28"/>
          <w:szCs w:val="28"/>
        </w:rPr>
        <w:t>亿元（专栏</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eastAsia="zh-CN"/>
        </w:rPr>
        <w:t>。</w:t>
      </w:r>
    </w:p>
    <w:tbl>
      <w:tblPr>
        <w:tblStyle w:val="16"/>
        <w:tblW w:w="8331" w:type="dxa"/>
        <w:tblInd w:w="0" w:type="dxa"/>
        <w:tblLayout w:type="fixed"/>
        <w:tblCellMar>
          <w:top w:w="0" w:type="dxa"/>
          <w:left w:w="0" w:type="dxa"/>
          <w:bottom w:w="0" w:type="dxa"/>
          <w:right w:w="0" w:type="dxa"/>
        </w:tblCellMar>
      </w:tblPr>
      <w:tblGrid>
        <w:gridCol w:w="1452"/>
        <w:gridCol w:w="1453"/>
        <w:gridCol w:w="1453"/>
        <w:gridCol w:w="1453"/>
        <w:gridCol w:w="1455"/>
        <w:gridCol w:w="1065"/>
      </w:tblGrid>
      <w:tr>
        <w:tblPrEx>
          <w:tblCellMar>
            <w:top w:w="0" w:type="dxa"/>
            <w:left w:w="0" w:type="dxa"/>
            <w:bottom w:w="0" w:type="dxa"/>
            <w:right w:w="0" w:type="dxa"/>
          </w:tblCellMar>
        </w:tblPrEx>
        <w:trPr>
          <w:trHeight w:val="340" w:hRule="atLeast"/>
        </w:trPr>
        <w:tc>
          <w:tcPr>
            <w:tcW w:w="8331" w:type="dxa"/>
            <w:gridSpan w:val="6"/>
            <w:tcBorders>
              <w:top w:val="single" w:color="000000" w:sz="8" w:space="0"/>
              <w:left w:val="single" w:color="000000" w:sz="8" w:space="0"/>
              <w:bottom w:val="single" w:color="000000" w:sz="8" w:space="0"/>
              <w:right w:val="single" w:color="000000" w:sz="8" w:space="0"/>
            </w:tcBorders>
            <w:shd w:val="clear" w:color="auto" w:fill="D7D7D7"/>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仿宋" w:hAnsi="仿宋" w:eastAsia="仿宋" w:cs="仿宋"/>
                <w:b/>
                <w:bCs/>
                <w:color w:val="000000"/>
                <w:sz w:val="21"/>
                <w:szCs w:val="21"/>
                <w:lang w:eastAsia="zh-CN"/>
              </w:rPr>
              <w:t>专栏</w:t>
            </w:r>
            <w:r>
              <w:rPr>
                <w:rFonts w:hint="eastAsia" w:ascii="仿宋" w:hAnsi="仿宋" w:eastAsia="仿宋" w:cs="仿宋"/>
                <w:b/>
                <w:bCs/>
                <w:color w:val="000000"/>
                <w:sz w:val="21"/>
                <w:szCs w:val="21"/>
                <w:lang w:val="en-US" w:eastAsia="zh-CN"/>
              </w:rPr>
              <w:t>6</w:t>
            </w:r>
            <w:r>
              <w:rPr>
                <w:rFonts w:hint="eastAsia" w:ascii="仿宋" w:hAnsi="仿宋" w:eastAsia="仿宋" w:cs="仿宋"/>
                <w:b/>
                <w:bCs/>
                <w:color w:val="000000"/>
                <w:sz w:val="21"/>
                <w:szCs w:val="21"/>
                <w:lang w:eastAsia="zh-CN"/>
              </w:rPr>
              <w:t xml:space="preserve">     </w:t>
            </w:r>
            <w:r>
              <w:rPr>
                <w:rFonts w:hint="eastAsia" w:ascii="仿宋" w:hAnsi="仿宋" w:eastAsia="仿宋" w:cs="仿宋"/>
                <w:b/>
                <w:bCs/>
                <w:color w:val="000000"/>
                <w:sz w:val="21"/>
                <w:szCs w:val="21"/>
                <w:lang w:val="en-US" w:eastAsia="zh-CN"/>
              </w:rPr>
              <w:t>沙湾</w:t>
            </w:r>
            <w:r>
              <w:rPr>
                <w:rFonts w:hint="eastAsia" w:ascii="仿宋" w:hAnsi="仿宋" w:eastAsia="仿宋" w:cs="仿宋"/>
                <w:b/>
                <w:bCs/>
                <w:color w:val="000000"/>
                <w:sz w:val="21"/>
                <w:szCs w:val="21"/>
                <w:lang w:eastAsia="zh-CN"/>
              </w:rPr>
              <w:t>市矿产资源开发利用情况表</w:t>
            </w: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矿种名称</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矿山数</w:t>
            </w:r>
          </w:p>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Style w:val="22"/>
                <w:rFonts w:hint="eastAsia" w:ascii="仿宋" w:hAnsi="仿宋" w:eastAsia="仿宋" w:cs="仿宋"/>
                <w:b w:val="0"/>
                <w:bCs w:val="0"/>
                <w:sz w:val="21"/>
                <w:szCs w:val="21"/>
                <w:lang w:val="en-US" w:eastAsia="zh-CN" w:bidi="ar"/>
              </w:rPr>
              <w:t>(</w:t>
            </w:r>
            <w:r>
              <w:rPr>
                <w:rStyle w:val="23"/>
                <w:rFonts w:hint="eastAsia" w:ascii="仿宋" w:hAnsi="仿宋" w:eastAsia="仿宋" w:cs="仿宋"/>
                <w:b w:val="0"/>
                <w:bCs w:val="0"/>
                <w:sz w:val="21"/>
                <w:szCs w:val="21"/>
                <w:lang w:val="en-US" w:eastAsia="zh-CN" w:bidi="ar"/>
              </w:rPr>
              <w:t>家</w:t>
            </w:r>
            <w:r>
              <w:rPr>
                <w:rStyle w:val="22"/>
                <w:rFonts w:hint="eastAsia" w:ascii="仿宋" w:hAnsi="仿宋" w:eastAsia="仿宋" w:cs="仿宋"/>
                <w:b w:val="0"/>
                <w:bCs w:val="0"/>
                <w:sz w:val="21"/>
                <w:szCs w:val="21"/>
                <w:lang w:val="en-US" w:eastAsia="zh-CN" w:bidi="ar"/>
              </w:rPr>
              <w:t>)</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从业人员</w:t>
            </w:r>
          </w:p>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Style w:val="22"/>
                <w:rFonts w:hint="eastAsia" w:ascii="仿宋" w:hAnsi="仿宋" w:eastAsia="仿宋" w:cs="仿宋"/>
                <w:b w:val="0"/>
                <w:bCs w:val="0"/>
                <w:sz w:val="21"/>
                <w:szCs w:val="21"/>
                <w:lang w:val="en-US" w:eastAsia="zh-CN" w:bidi="ar"/>
              </w:rPr>
              <w:t>(</w:t>
            </w:r>
            <w:r>
              <w:rPr>
                <w:rStyle w:val="23"/>
                <w:rFonts w:hint="eastAsia" w:ascii="仿宋" w:hAnsi="仿宋" w:eastAsia="仿宋" w:cs="仿宋"/>
                <w:b w:val="0"/>
                <w:bCs w:val="0"/>
                <w:sz w:val="21"/>
                <w:szCs w:val="21"/>
                <w:lang w:val="en-US" w:eastAsia="zh-CN" w:bidi="ar"/>
              </w:rPr>
              <w:t>人</w:t>
            </w:r>
            <w:r>
              <w:rPr>
                <w:rStyle w:val="22"/>
                <w:rFonts w:hint="eastAsia" w:ascii="仿宋" w:hAnsi="仿宋" w:eastAsia="仿宋" w:cs="仿宋"/>
                <w:b w:val="0"/>
                <w:bCs w:val="0"/>
                <w:sz w:val="21"/>
                <w:szCs w:val="21"/>
                <w:lang w:val="en-US" w:eastAsia="zh-CN" w:bidi="ar"/>
              </w:rPr>
              <w:t>)</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矿石产量</w:t>
            </w:r>
          </w:p>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Style w:val="22"/>
                <w:rFonts w:hint="eastAsia" w:ascii="仿宋" w:hAnsi="仿宋" w:eastAsia="仿宋" w:cs="仿宋"/>
                <w:b w:val="0"/>
                <w:bCs w:val="0"/>
                <w:color w:val="auto"/>
                <w:sz w:val="21"/>
                <w:szCs w:val="21"/>
                <w:lang w:val="en-US" w:eastAsia="zh-CN" w:bidi="ar"/>
              </w:rPr>
              <w:t>(</w:t>
            </w:r>
            <w:r>
              <w:rPr>
                <w:rStyle w:val="23"/>
                <w:rFonts w:hint="eastAsia" w:ascii="仿宋" w:hAnsi="仿宋" w:eastAsia="仿宋" w:cs="仿宋"/>
                <w:b w:val="0"/>
                <w:bCs w:val="0"/>
                <w:color w:val="auto"/>
                <w:sz w:val="21"/>
                <w:szCs w:val="21"/>
                <w:lang w:val="en-US" w:eastAsia="zh-CN" w:bidi="ar"/>
              </w:rPr>
              <w:t>万吨</w:t>
            </w:r>
            <w:r>
              <w:rPr>
                <w:rStyle w:val="22"/>
                <w:rFonts w:hint="eastAsia" w:ascii="仿宋" w:hAnsi="仿宋" w:eastAsia="仿宋" w:cs="仿宋"/>
                <w:b w:val="0"/>
                <w:bCs w:val="0"/>
                <w:color w:val="auto"/>
                <w:sz w:val="21"/>
                <w:szCs w:val="21"/>
                <w:lang w:val="en-US" w:eastAsia="zh-CN" w:bidi="ar"/>
              </w:rPr>
              <w:t>)</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矿石产值</w:t>
            </w:r>
          </w:p>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Style w:val="22"/>
                <w:rFonts w:hint="eastAsia" w:ascii="仿宋" w:hAnsi="仿宋" w:eastAsia="仿宋" w:cs="仿宋"/>
                <w:b w:val="0"/>
                <w:bCs w:val="0"/>
                <w:sz w:val="21"/>
                <w:szCs w:val="21"/>
                <w:lang w:val="en-US" w:eastAsia="zh-CN" w:bidi="ar"/>
              </w:rPr>
              <w:t>(</w:t>
            </w:r>
            <w:r>
              <w:rPr>
                <w:rStyle w:val="23"/>
                <w:rFonts w:hint="eastAsia" w:ascii="仿宋" w:hAnsi="仿宋" w:eastAsia="仿宋" w:cs="仿宋"/>
                <w:b w:val="0"/>
                <w:bCs w:val="0"/>
                <w:sz w:val="21"/>
                <w:szCs w:val="21"/>
                <w:lang w:val="en-US" w:eastAsia="zh-CN" w:bidi="ar"/>
              </w:rPr>
              <w:t>万元</w:t>
            </w:r>
            <w:r>
              <w:rPr>
                <w:rStyle w:val="22"/>
                <w:rFonts w:hint="eastAsia" w:ascii="仿宋" w:hAnsi="仿宋" w:eastAsia="仿宋" w:cs="仿宋"/>
                <w:b w:val="0"/>
                <w:bCs w:val="0"/>
                <w:sz w:val="21"/>
                <w:szCs w:val="21"/>
                <w:lang w:val="en-US" w:eastAsia="zh-CN" w:bidi="ar"/>
              </w:rPr>
              <w:t>)</w:t>
            </w:r>
          </w:p>
        </w:tc>
        <w:tc>
          <w:tcPr>
            <w:tcW w:w="106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备注</w:t>
            </w: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煤炭</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9</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628</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109</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26698.17</w:t>
            </w:r>
          </w:p>
        </w:tc>
        <w:tc>
          <w:tcPr>
            <w:tcW w:w="1065" w:type="dxa"/>
            <w:vMerge w:val="restart"/>
            <w:tcBorders>
              <w:top w:val="single" w:color="000000" w:sz="8" w:space="0"/>
              <w:left w:val="single" w:color="000000" w:sz="8" w:space="0"/>
              <w:right w:val="single" w:color="000000" w:sz="8" w:space="0"/>
            </w:tcBorders>
            <w:noWrap w:val="0"/>
            <w:tcMar>
              <w:top w:w="15" w:type="dxa"/>
              <w:left w:w="15" w:type="dxa"/>
              <w:right w:w="15" w:type="dxa"/>
            </w:tcMar>
            <w:vAlign w:val="center"/>
          </w:tcPr>
          <w:p>
            <w:pPr>
              <w:jc w:val="center"/>
              <w:rPr>
                <w:rFonts w:hint="eastAsia" w:ascii="仿宋" w:hAnsi="仿宋" w:eastAsia="仿宋" w:cs="仿宋"/>
                <w:i w:val="0"/>
                <w:color w:val="000000"/>
                <w:sz w:val="21"/>
                <w:szCs w:val="21"/>
                <w:u w:val="none"/>
                <w:lang w:val="en-US" w:eastAsia="zh-CN"/>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石灰岩</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9</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21.13</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572.30</w:t>
            </w:r>
          </w:p>
        </w:tc>
        <w:tc>
          <w:tcPr>
            <w:tcW w:w="1065" w:type="dxa"/>
            <w:vMerge w:val="continue"/>
            <w:tcBorders>
              <w:left w:val="single" w:color="000000" w:sz="8" w:space="0"/>
              <w:right w:val="single" w:color="000000" w:sz="8" w:space="0"/>
            </w:tcBorders>
            <w:noWrap w:val="0"/>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玉石</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455"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065" w:type="dxa"/>
            <w:vMerge w:val="continue"/>
            <w:tcBorders>
              <w:left w:val="single" w:color="000000" w:sz="8" w:space="0"/>
              <w:right w:val="single" w:color="000000" w:sz="8" w:space="0"/>
            </w:tcBorders>
            <w:noWrap w:val="0"/>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砖瓦用粘土</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9</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243</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color w:val="auto"/>
                <w:kern w:val="0"/>
                <w:sz w:val="21"/>
                <w:szCs w:val="21"/>
                <w:lang w:val="en-US" w:eastAsia="zh-CN"/>
              </w:rPr>
              <w:t>38</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2444.00</w:t>
            </w:r>
          </w:p>
        </w:tc>
        <w:tc>
          <w:tcPr>
            <w:tcW w:w="1065" w:type="dxa"/>
            <w:vMerge w:val="continue"/>
            <w:tcBorders>
              <w:left w:val="single" w:color="000000" w:sz="8" w:space="0"/>
              <w:right w:val="single" w:color="000000" w:sz="8" w:space="0"/>
            </w:tcBorders>
            <w:noWrap w:val="0"/>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建筑用砂</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7</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77</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168.53</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1544.60</w:t>
            </w:r>
          </w:p>
        </w:tc>
        <w:tc>
          <w:tcPr>
            <w:tcW w:w="1065" w:type="dxa"/>
            <w:vMerge w:val="continue"/>
            <w:tcBorders>
              <w:left w:val="single" w:color="000000" w:sz="8" w:space="0"/>
              <w:right w:val="single" w:color="000000" w:sz="8" w:space="0"/>
            </w:tcBorders>
            <w:noWrap w:val="0"/>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kern w:val="0"/>
                <w:sz w:val="21"/>
                <w:szCs w:val="21"/>
                <w:u w:val="none"/>
                <w:lang w:val="en-US" w:eastAsia="zh-CN" w:bidi="ar"/>
              </w:rPr>
            </w:pPr>
            <w:r>
              <w:rPr>
                <w:rFonts w:hint="eastAsia" w:ascii="仿宋" w:hAnsi="仿宋" w:eastAsia="仿宋" w:cs="仿宋"/>
                <w:b w:val="0"/>
                <w:bCs w:val="0"/>
                <w:i w:val="0"/>
                <w:color w:val="000000"/>
                <w:kern w:val="0"/>
                <w:sz w:val="21"/>
                <w:szCs w:val="21"/>
                <w:u w:val="none"/>
                <w:lang w:val="en-US" w:eastAsia="zh-CN" w:bidi="ar"/>
              </w:rPr>
              <w:t>砖瓦瓦用页岩</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tabs>
                <w:tab w:val="left" w:pos="698"/>
                <w:tab w:val="center" w:pos="811"/>
              </w:tabs>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widowControl/>
              <w:adjustRightInd w:val="0"/>
              <w:snapToGrid w:val="0"/>
              <w:jc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065" w:type="dxa"/>
            <w:vMerge w:val="continue"/>
            <w:tcBorders>
              <w:left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420" w:firstLineChars="200"/>
              <w:jc w:val="center"/>
              <w:textAlignment w:val="center"/>
              <w:rPr>
                <w:rFonts w:hint="eastAsia" w:ascii="宋体" w:hAnsi="宋体" w:eastAsia="宋体" w:cs="宋体"/>
                <w:i w:val="0"/>
                <w:color w:val="auto"/>
                <w:kern w:val="0"/>
                <w:sz w:val="21"/>
                <w:szCs w:val="21"/>
                <w:u w:val="none"/>
                <w:lang w:val="en-US" w:eastAsia="zh-CN" w:bidi="ar"/>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kern w:val="2"/>
                <w:sz w:val="21"/>
                <w:szCs w:val="21"/>
                <w:u w:val="none"/>
                <w:lang w:val="en-US" w:eastAsia="zh-CN" w:bidi="ar-SA"/>
              </w:rPr>
            </w:pPr>
            <w:r>
              <w:rPr>
                <w:rFonts w:hint="eastAsia" w:ascii="仿宋" w:hAnsi="仿宋" w:eastAsia="仿宋" w:cs="仿宋"/>
                <w:b w:val="0"/>
                <w:bCs w:val="0"/>
                <w:i w:val="0"/>
                <w:iCs w:val="0"/>
                <w:color w:val="000000"/>
                <w:kern w:val="0"/>
                <w:sz w:val="21"/>
                <w:szCs w:val="21"/>
                <w:u w:val="none"/>
                <w:lang w:val="en-US" w:eastAsia="zh-CN" w:bidi="ar"/>
              </w:rPr>
              <w:t>建筑用玄武岩</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1</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0</w:t>
            </w:r>
          </w:p>
        </w:tc>
        <w:tc>
          <w:tcPr>
            <w:tcW w:w="1065" w:type="dxa"/>
            <w:vMerge w:val="continue"/>
            <w:tcBorders>
              <w:left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420" w:firstLineChars="200"/>
              <w:jc w:val="center"/>
              <w:textAlignment w:val="center"/>
              <w:rPr>
                <w:rFonts w:hint="eastAsia" w:ascii="宋体" w:hAnsi="宋体" w:eastAsia="宋体" w:cs="宋体"/>
                <w:i w:val="0"/>
                <w:color w:val="auto"/>
                <w:kern w:val="0"/>
                <w:sz w:val="21"/>
                <w:szCs w:val="21"/>
                <w:u w:val="none"/>
                <w:lang w:val="en-US" w:eastAsia="zh-CN" w:bidi="ar"/>
              </w:rPr>
            </w:pPr>
          </w:p>
        </w:tc>
      </w:tr>
      <w:tr>
        <w:tblPrEx>
          <w:tblCellMar>
            <w:top w:w="0" w:type="dxa"/>
            <w:left w:w="0" w:type="dxa"/>
            <w:bottom w:w="0" w:type="dxa"/>
            <w:right w:w="0" w:type="dxa"/>
          </w:tblCellMar>
        </w:tblPrEx>
        <w:trPr>
          <w:trHeight w:val="340" w:hRule="atLeast"/>
        </w:trPr>
        <w:tc>
          <w:tcPr>
            <w:tcW w:w="1452"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1"/>
                <w:szCs w:val="21"/>
                <w:u w:val="none"/>
              </w:rPr>
            </w:pPr>
            <w:r>
              <w:rPr>
                <w:rFonts w:hint="eastAsia" w:ascii="仿宋" w:hAnsi="仿宋" w:eastAsia="仿宋" w:cs="仿宋"/>
                <w:b w:val="0"/>
                <w:bCs w:val="0"/>
                <w:i w:val="0"/>
                <w:color w:val="000000"/>
                <w:kern w:val="0"/>
                <w:sz w:val="21"/>
                <w:szCs w:val="21"/>
                <w:u w:val="none"/>
                <w:lang w:val="en-US" w:eastAsia="zh-CN" w:bidi="ar"/>
              </w:rPr>
              <w:t>合计</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29</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957</w:t>
            </w:r>
          </w:p>
        </w:tc>
        <w:tc>
          <w:tcPr>
            <w:tcW w:w="1453"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336.66</w:t>
            </w:r>
          </w:p>
        </w:tc>
        <w:tc>
          <w:tcPr>
            <w:tcW w:w="1455"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auto"/>
                <w:kern w:val="0"/>
                <w:sz w:val="21"/>
                <w:szCs w:val="21"/>
                <w:u w:val="none"/>
                <w:lang w:val="en-US" w:eastAsia="zh-CN" w:bidi="ar"/>
              </w:rPr>
            </w:pPr>
            <w:r>
              <w:rPr>
                <w:rFonts w:hint="eastAsia" w:ascii="仿宋" w:hAnsi="仿宋" w:eastAsia="仿宋" w:cs="仿宋"/>
                <w:b w:val="0"/>
                <w:bCs w:val="0"/>
                <w:i w:val="0"/>
                <w:color w:val="auto"/>
                <w:kern w:val="0"/>
                <w:sz w:val="21"/>
                <w:szCs w:val="21"/>
                <w:u w:val="none"/>
                <w:lang w:val="en-US" w:eastAsia="zh-CN" w:bidi="ar"/>
              </w:rPr>
              <w:t>31259.07</w:t>
            </w:r>
          </w:p>
        </w:tc>
        <w:tc>
          <w:tcPr>
            <w:tcW w:w="1065" w:type="dxa"/>
            <w:vMerge w:val="continue"/>
            <w:tcBorders>
              <w:left w:val="single" w:color="000000" w:sz="8" w:space="0"/>
              <w:bottom w:val="single" w:color="000000" w:sz="8" w:space="0"/>
              <w:right w:val="single" w:color="000000" w:sz="8" w:space="0"/>
            </w:tcBorders>
            <w:noWrap/>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r>
    </w:tbl>
    <w:p>
      <w:pPr>
        <w:pStyle w:val="26"/>
        <w:keepNext w:val="0"/>
        <w:keepLines w:val="0"/>
        <w:pageBreakBefore w:val="0"/>
        <w:widowControl w:val="0"/>
        <w:kinsoku/>
        <w:wordWrap/>
        <w:overflowPunct/>
        <w:topLinePunct w:val="0"/>
        <w:autoSpaceDE/>
        <w:autoSpaceDN/>
        <w:bidi w:val="0"/>
        <w:adjustRightInd/>
        <w:snapToGrid/>
        <w:spacing w:before="0" w:after="0" w:line="500" w:lineRule="exact"/>
        <w:ind w:firstLine="562" w:firstLineChars="200"/>
        <w:textAlignment w:val="auto"/>
        <w:outlineLvl w:val="9"/>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b/>
          <w:sz w:val="28"/>
          <w:szCs w:val="28"/>
          <w:lang w:val="en-US" w:eastAsia="zh-CN"/>
        </w:rPr>
        <w:t>矿区生态保护修复现状。</w:t>
      </w:r>
      <w:r>
        <w:rPr>
          <w:rFonts w:hint="eastAsia" w:ascii="仿宋" w:hAnsi="仿宋" w:eastAsia="仿宋" w:cs="仿宋"/>
          <w:b w:val="0"/>
          <w:bCs w:val="0"/>
          <w:color w:val="auto"/>
          <w:kern w:val="2"/>
          <w:sz w:val="28"/>
          <w:szCs w:val="28"/>
          <w:lang w:val="en-US" w:eastAsia="zh-CN" w:bidi="ar-SA"/>
        </w:rPr>
        <w:t>完成了功能区内矿业权的清理清退和矿山地质环境治理恢复工作；督促政策性关闭砂石粘土矿矿业权人完成矿山地质环境恢复治理工作，矿山企业治理恢复主体责任进一步落实，截至2020年，矿山占地总面积为778公顷，应治理土地面积389公顷，已治理面积317公顷，应治理面积为72公顷（专栏7），土地治理率为81.49%；废石年产出量14.68万吨，废石年处理量14.55万吨，废石治理率为99.11%。</w:t>
      </w:r>
    </w:p>
    <w:p>
      <w:pPr>
        <w:pStyle w:val="26"/>
        <w:keepNext w:val="0"/>
        <w:keepLines w:val="0"/>
        <w:pageBreakBefore w:val="0"/>
        <w:widowControl w:val="0"/>
        <w:kinsoku/>
        <w:wordWrap/>
        <w:overflowPunct/>
        <w:topLinePunct w:val="0"/>
        <w:autoSpaceDE/>
        <w:autoSpaceDN/>
        <w:bidi w:val="0"/>
        <w:adjustRightInd/>
        <w:snapToGrid/>
        <w:spacing w:before="0" w:after="0" w:line="500" w:lineRule="exact"/>
        <w:ind w:firstLine="560" w:firstLineChars="200"/>
        <w:textAlignment w:val="auto"/>
        <w:outlineLvl w:val="9"/>
        <w:rPr>
          <w:rFonts w:hint="eastAsia" w:ascii="仿宋" w:hAnsi="仿宋" w:eastAsia="仿宋" w:cs="仿宋"/>
          <w:b w:val="0"/>
          <w:bCs w:val="0"/>
          <w:color w:val="auto"/>
          <w:kern w:val="2"/>
          <w:sz w:val="28"/>
          <w:szCs w:val="28"/>
          <w:lang w:val="en-US" w:eastAsia="zh-CN" w:bidi="ar-SA"/>
        </w:rPr>
      </w:pPr>
    </w:p>
    <w:tbl>
      <w:tblPr>
        <w:tblStyle w:val="16"/>
        <w:tblW w:w="8522" w:type="dxa"/>
        <w:jc w:val="center"/>
        <w:tblLayout w:type="fixed"/>
        <w:tblCellMar>
          <w:top w:w="0" w:type="dxa"/>
          <w:left w:w="108" w:type="dxa"/>
          <w:bottom w:w="0" w:type="dxa"/>
          <w:right w:w="108" w:type="dxa"/>
        </w:tblCellMar>
      </w:tblPr>
      <w:tblGrid>
        <w:gridCol w:w="1483"/>
        <w:gridCol w:w="1481"/>
        <w:gridCol w:w="1851"/>
        <w:gridCol w:w="1851"/>
        <w:gridCol w:w="1856"/>
      </w:tblGrid>
      <w:tr>
        <w:tblPrEx>
          <w:tblCellMar>
            <w:top w:w="0" w:type="dxa"/>
            <w:left w:w="108" w:type="dxa"/>
            <w:bottom w:w="0" w:type="dxa"/>
            <w:right w:w="108" w:type="dxa"/>
          </w:tblCellMar>
        </w:tblPrEx>
        <w:trPr>
          <w:trHeight w:val="340" w:hRule="atLeast"/>
          <w:jc w:val="center"/>
        </w:trPr>
        <w:tc>
          <w:tcPr>
            <w:tcW w:w="8522" w:type="dxa"/>
            <w:gridSpan w:val="5"/>
            <w:tcBorders>
              <w:top w:val="single" w:color="auto" w:sz="4" w:space="0"/>
              <w:left w:val="single" w:color="auto" w:sz="4" w:space="0"/>
              <w:bottom w:val="single" w:color="auto" w:sz="4" w:space="0"/>
              <w:right w:val="single" w:color="auto" w:sz="4" w:space="0"/>
            </w:tcBorders>
            <w:shd w:val="clear" w:color="auto" w:fill="CFCECE" w:themeFill="background2" w:themeFillShade="E5"/>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000000"/>
                <w:sz w:val="21"/>
                <w:szCs w:val="21"/>
                <w:highlight w:val="none"/>
                <w:shd w:val="clear" w:fill="CFCECE" w:themeFill="background2" w:themeFillShade="E5"/>
                <w:lang w:eastAsia="zh-CN"/>
              </w:rPr>
              <w:t>专栏</w:t>
            </w:r>
            <w:r>
              <w:rPr>
                <w:rFonts w:hint="eastAsia" w:ascii="仿宋" w:hAnsi="仿宋" w:eastAsia="仿宋" w:cs="仿宋"/>
                <w:b/>
                <w:bCs/>
                <w:color w:val="000000"/>
                <w:sz w:val="21"/>
                <w:szCs w:val="21"/>
                <w:highlight w:val="none"/>
                <w:shd w:val="clear" w:fill="CFCECE" w:themeFill="background2" w:themeFillShade="E5"/>
                <w:lang w:val="en-US" w:eastAsia="zh-CN"/>
              </w:rPr>
              <w:t>7</w:t>
            </w:r>
            <w:r>
              <w:rPr>
                <w:rFonts w:hint="eastAsia" w:ascii="仿宋" w:hAnsi="仿宋" w:eastAsia="仿宋" w:cs="仿宋"/>
                <w:b/>
                <w:snapToGrid w:val="0"/>
                <w:color w:val="auto"/>
                <w:kern w:val="0"/>
                <w:sz w:val="21"/>
                <w:szCs w:val="21"/>
                <w:highlight w:val="none"/>
                <w:shd w:val="clear" w:fill="CFCECE" w:themeFill="background2" w:themeFillShade="E5"/>
              </w:rPr>
              <w:t xml:space="preserve">      </w:t>
            </w:r>
            <w:r>
              <w:rPr>
                <w:rFonts w:hint="eastAsia" w:ascii="仿宋" w:hAnsi="仿宋" w:eastAsia="仿宋" w:cs="仿宋"/>
                <w:b/>
                <w:snapToGrid w:val="0"/>
                <w:color w:val="auto"/>
                <w:kern w:val="0"/>
                <w:sz w:val="21"/>
                <w:szCs w:val="21"/>
                <w:highlight w:val="none"/>
                <w:shd w:val="clear" w:fill="CFCECE" w:themeFill="background2" w:themeFillShade="E5"/>
                <w:lang w:eastAsia="zh-CN"/>
              </w:rPr>
              <w:t>沙湾市</w:t>
            </w:r>
            <w:r>
              <w:rPr>
                <w:rFonts w:hint="eastAsia" w:ascii="仿宋" w:hAnsi="仿宋" w:eastAsia="仿宋" w:cs="仿宋"/>
                <w:b/>
                <w:snapToGrid w:val="0"/>
                <w:color w:val="auto"/>
                <w:kern w:val="0"/>
                <w:sz w:val="21"/>
                <w:szCs w:val="21"/>
                <w:highlight w:val="none"/>
                <w:shd w:val="clear" w:fill="CFCECE" w:themeFill="background2" w:themeFillShade="E5"/>
              </w:rPr>
              <w:t>主要矿山地质环境恢复治理一览表</w:t>
            </w:r>
          </w:p>
        </w:tc>
      </w:tr>
      <w:tr>
        <w:tblPrEx>
          <w:tblCellMar>
            <w:top w:w="0" w:type="dxa"/>
            <w:left w:w="108" w:type="dxa"/>
            <w:bottom w:w="0" w:type="dxa"/>
            <w:right w:w="108" w:type="dxa"/>
          </w:tblCellMar>
        </w:tblPrEx>
        <w:trPr>
          <w:trHeight w:val="340" w:hRule="atLeast"/>
          <w:jc w:val="center"/>
        </w:trPr>
        <w:tc>
          <w:tcPr>
            <w:tcW w:w="1483"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序号</w:t>
            </w:r>
          </w:p>
        </w:tc>
        <w:tc>
          <w:tcPr>
            <w:tcW w:w="1481" w:type="dxa"/>
            <w:tcBorders>
              <w:top w:val="single" w:color="auto" w:sz="4" w:space="0"/>
              <w:left w:val="nil"/>
              <w:bottom w:val="single" w:color="auto" w:sz="4" w:space="0"/>
              <w:right w:val="single" w:color="auto" w:sz="4" w:space="0"/>
            </w:tcBorders>
            <w:shd w:val="clear" w:color="auto" w:fill="FFFFFF" w:themeFill="background1"/>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行政区</w:t>
            </w:r>
          </w:p>
        </w:tc>
        <w:tc>
          <w:tcPr>
            <w:tcW w:w="1851" w:type="dxa"/>
            <w:tcBorders>
              <w:top w:val="single" w:color="auto" w:sz="4" w:space="0"/>
              <w:left w:val="nil"/>
              <w:bottom w:val="single" w:color="auto" w:sz="4" w:space="0"/>
              <w:right w:val="single" w:color="auto" w:sz="4" w:space="0"/>
            </w:tcBorders>
            <w:shd w:val="clear" w:color="auto" w:fill="FFFFFF" w:themeFill="background1"/>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应治理面积（公顷）</w:t>
            </w:r>
          </w:p>
        </w:tc>
        <w:tc>
          <w:tcPr>
            <w:tcW w:w="1851" w:type="dxa"/>
            <w:tcBorders>
              <w:top w:val="single" w:color="auto" w:sz="4" w:space="0"/>
              <w:left w:val="nil"/>
              <w:bottom w:val="single" w:color="auto" w:sz="4" w:space="0"/>
              <w:right w:val="single" w:color="auto" w:sz="4" w:space="0"/>
            </w:tcBorders>
            <w:shd w:val="clear" w:color="auto" w:fill="FFFFFF" w:themeFill="background1"/>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已治理面积（公顷）</w:t>
            </w:r>
          </w:p>
        </w:tc>
        <w:tc>
          <w:tcPr>
            <w:tcW w:w="1856" w:type="dxa"/>
            <w:tcBorders>
              <w:top w:val="single" w:color="auto" w:sz="4" w:space="0"/>
              <w:left w:val="nil"/>
              <w:bottom w:val="single" w:color="auto" w:sz="4" w:space="0"/>
              <w:right w:val="single" w:color="auto" w:sz="4" w:space="0"/>
            </w:tcBorders>
            <w:shd w:val="clear" w:color="auto" w:fill="FFFFFF" w:themeFill="background1"/>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需治理面积（公顷）</w:t>
            </w:r>
          </w:p>
        </w:tc>
      </w:tr>
      <w:tr>
        <w:tblPrEx>
          <w:tblCellMar>
            <w:top w:w="0" w:type="dxa"/>
            <w:left w:w="108" w:type="dxa"/>
            <w:bottom w:w="0" w:type="dxa"/>
            <w:right w:w="108" w:type="dxa"/>
          </w:tblCellMar>
        </w:tblPrEx>
        <w:trPr>
          <w:trHeight w:val="340" w:hRule="atLeast"/>
          <w:jc w:val="center"/>
        </w:trPr>
        <w:tc>
          <w:tcPr>
            <w:tcW w:w="1483"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1481"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沙湾市</w:t>
            </w:r>
          </w:p>
        </w:tc>
        <w:tc>
          <w:tcPr>
            <w:tcW w:w="185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389</w:t>
            </w:r>
          </w:p>
        </w:tc>
        <w:tc>
          <w:tcPr>
            <w:tcW w:w="1851"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317</w:t>
            </w:r>
          </w:p>
        </w:tc>
        <w:tc>
          <w:tcPr>
            <w:tcW w:w="1856" w:type="dxa"/>
            <w:tcBorders>
              <w:top w:val="nil"/>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72</w:t>
            </w:r>
          </w:p>
        </w:tc>
      </w:tr>
    </w:tbl>
    <w:p>
      <w:pPr>
        <w:pStyle w:val="3"/>
        <w:keepNext/>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jc w:val="left"/>
        <w:textAlignment w:val="auto"/>
        <w:rPr>
          <w:rFonts w:hint="eastAsia" w:ascii="仿宋" w:hAnsi="仿宋" w:eastAsia="仿宋" w:cs="仿宋"/>
          <w:sz w:val="28"/>
          <w:szCs w:val="28"/>
        </w:rPr>
      </w:pPr>
      <w:bookmarkStart w:id="25" w:name="_Toc18484"/>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w:t>
      </w:r>
      <w:r>
        <w:rPr>
          <w:rFonts w:hint="eastAsia" w:ascii="仿宋" w:hAnsi="仿宋" w:eastAsia="仿宋" w:cs="仿宋"/>
          <w:sz w:val="28"/>
          <w:szCs w:val="28"/>
        </w:rPr>
        <w:t>上轮规划实施成效</w:t>
      </w:r>
      <w:bookmarkEnd w:id="25"/>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新疆维吾尔自治区沙湾市矿产资源总体规划(2015-2020年)》（以下简称《上轮规划》）实施以来，沙湾市以科学发展观统领矿产资源调查评价、规划管理、开发利用与保护工作全局，实施优势资源转换战略和大企业大集团战略，推动新型工业化、城镇化进程，地质找矿取得重大突破，资源供应能力显著增强，矿业秩序明显好转。资源管理能力和水平得到提升，为国民经济持续快速发展做出了重要贡献。</w:t>
      </w:r>
      <w:r>
        <w:rPr>
          <w:rFonts w:hint="eastAsia" w:ascii="仿宋" w:hAnsi="仿宋" w:eastAsia="仿宋" w:cs="仿宋"/>
          <w:sz w:val="28"/>
          <w:szCs w:val="28"/>
        </w:rPr>
        <w:t>（专栏</w:t>
      </w:r>
      <w:r>
        <w:rPr>
          <w:rFonts w:hint="eastAsia" w:ascii="仿宋" w:hAnsi="仿宋" w:eastAsia="仿宋" w:cs="仿宋"/>
          <w:sz w:val="28"/>
          <w:szCs w:val="28"/>
          <w:lang w:val="en-US" w:eastAsia="zh-CN"/>
        </w:rPr>
        <w:t>8</w:t>
      </w:r>
      <w:r>
        <w:rPr>
          <w:rFonts w:hint="eastAsia" w:ascii="仿宋" w:hAnsi="仿宋" w:eastAsia="仿宋" w:cs="仿宋"/>
          <w:sz w:val="28"/>
          <w:szCs w:val="28"/>
        </w:rPr>
        <w:t>）</w:t>
      </w:r>
    </w:p>
    <w:tbl>
      <w:tblPr>
        <w:tblStyle w:val="16"/>
        <w:tblW w:w="8522" w:type="dxa"/>
        <w:jc w:val="center"/>
        <w:tblLayout w:type="fixed"/>
        <w:tblCellMar>
          <w:top w:w="0" w:type="dxa"/>
          <w:left w:w="108" w:type="dxa"/>
          <w:bottom w:w="0" w:type="dxa"/>
          <w:right w:w="108" w:type="dxa"/>
        </w:tblCellMar>
      </w:tblPr>
      <w:tblGrid>
        <w:gridCol w:w="710"/>
        <w:gridCol w:w="2278"/>
        <w:gridCol w:w="1686"/>
        <w:gridCol w:w="1364"/>
        <w:gridCol w:w="1156"/>
        <w:gridCol w:w="1328"/>
      </w:tblGrid>
      <w:tr>
        <w:tblPrEx>
          <w:tblCellMar>
            <w:top w:w="0" w:type="dxa"/>
            <w:left w:w="108" w:type="dxa"/>
            <w:bottom w:w="0" w:type="dxa"/>
            <w:right w:w="108" w:type="dxa"/>
          </w:tblCellMar>
        </w:tblPrEx>
        <w:trPr>
          <w:trHeight w:val="340" w:hRule="atLeast"/>
          <w:jc w:val="center"/>
        </w:trPr>
        <w:tc>
          <w:tcPr>
            <w:tcW w:w="8522" w:type="dxa"/>
            <w:gridSpan w:val="6"/>
            <w:tcBorders>
              <w:top w:val="single" w:color="000000" w:sz="4" w:space="0"/>
              <w:left w:val="single" w:color="000000" w:sz="4" w:space="0"/>
              <w:bottom w:val="single" w:color="000000" w:sz="4" w:space="0"/>
              <w:right w:val="single" w:color="auto" w:sz="4" w:space="0"/>
            </w:tcBorders>
            <w:shd w:val="clear" w:color="auto" w:fill="D9D9D9"/>
            <w:noWrap w:val="0"/>
            <w:vAlign w:val="center"/>
          </w:tcPr>
          <w:p>
            <w:pPr>
              <w:keepNext w:val="0"/>
              <w:keepLines w:val="0"/>
              <w:pageBreakBefore w:val="0"/>
              <w:kinsoku/>
              <w:wordWrap/>
              <w:overflowPunct/>
              <w:topLinePunct w:val="0"/>
              <w:autoSpaceDE/>
              <w:autoSpaceDN/>
              <w:bidi w:val="0"/>
              <w:adjustRightInd/>
              <w:snapToGrid/>
              <w:ind w:firstLine="525"/>
              <w:jc w:val="center"/>
              <w:textAlignment w:val="auto"/>
              <w:rPr>
                <w:rFonts w:hint="eastAsia" w:ascii="仿宋" w:hAnsi="仿宋" w:eastAsia="仿宋" w:cs="仿宋"/>
                <w:b/>
                <w:szCs w:val="21"/>
              </w:rPr>
            </w:pPr>
            <w:r>
              <w:rPr>
                <w:rFonts w:hint="eastAsia" w:ascii="仿宋" w:hAnsi="仿宋" w:eastAsia="仿宋" w:cs="仿宋"/>
                <w:b/>
                <w:szCs w:val="21"/>
              </w:rPr>
              <w:t>专栏</w:t>
            </w:r>
            <w:r>
              <w:rPr>
                <w:rFonts w:hint="eastAsia" w:ascii="仿宋" w:hAnsi="仿宋" w:eastAsia="仿宋" w:cs="仿宋"/>
                <w:b/>
                <w:szCs w:val="21"/>
                <w:lang w:val="en-US" w:eastAsia="zh-CN"/>
              </w:rPr>
              <w:t>8</w:t>
            </w:r>
            <w:r>
              <w:rPr>
                <w:rFonts w:hint="eastAsia" w:ascii="仿宋" w:hAnsi="仿宋" w:eastAsia="仿宋" w:cs="仿宋"/>
                <w:b/>
                <w:szCs w:val="21"/>
              </w:rPr>
              <w:t xml:space="preserve">  沙湾市2016-2020年规划目标完成情况</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序号</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color w:val="000000"/>
                <w:kern w:val="0"/>
                <w:szCs w:val="21"/>
              </w:rPr>
              <w:t>项目</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color w:val="000000"/>
                <w:kern w:val="0"/>
                <w:szCs w:val="21"/>
              </w:rPr>
              <w:t>单位</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规划目标</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kern w:val="0"/>
                <w:szCs w:val="21"/>
              </w:rPr>
              <w:t>完成</w:t>
            </w:r>
          </w:p>
        </w:tc>
        <w:tc>
          <w:tcPr>
            <w:tcW w:w="1328"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完成率</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1</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color w:val="000000"/>
                <w:kern w:val="0"/>
                <w:szCs w:val="21"/>
              </w:rPr>
              <w:t>矿业总产值</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eastAsia="zh-CN"/>
              </w:rPr>
            </w:pPr>
            <w:r>
              <w:rPr>
                <w:rFonts w:hint="eastAsia" w:ascii="仿宋" w:hAnsi="仿宋" w:eastAsia="仿宋" w:cs="仿宋"/>
                <w:color w:val="000000"/>
                <w:kern w:val="0"/>
                <w:szCs w:val="21"/>
              </w:rPr>
              <w:t>亿元</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eastAsia="zh-CN"/>
              </w:rPr>
            </w:pPr>
            <w:r>
              <w:rPr>
                <w:rFonts w:hint="eastAsia" w:ascii="仿宋" w:hAnsi="仿宋" w:eastAsia="仿宋" w:cs="仿宋"/>
                <w:szCs w:val="21"/>
                <w:lang w:val="en-US" w:eastAsia="zh-CN"/>
              </w:rPr>
              <w:t>5.5</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szCs w:val="21"/>
                <w:lang w:val="en-US" w:eastAsia="zh-CN"/>
              </w:rPr>
              <w:t>3.13</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szCs w:val="21"/>
                <w:lang w:val="en-US" w:eastAsia="zh-CN"/>
              </w:rPr>
              <w:t>56.91</w:t>
            </w:r>
            <w:r>
              <w:rPr>
                <w:rFonts w:hint="eastAsia" w:ascii="仿宋" w:hAnsi="仿宋" w:eastAsia="仿宋" w:cs="仿宋"/>
                <w:szCs w:val="21"/>
              </w:rPr>
              <w:t>%</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2</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eastAsia="zh-CN"/>
              </w:rPr>
            </w:pPr>
            <w:r>
              <w:rPr>
                <w:rFonts w:hint="eastAsia" w:ascii="仿宋" w:hAnsi="仿宋" w:eastAsia="仿宋" w:cs="仿宋"/>
                <w:szCs w:val="21"/>
                <w:lang w:val="en-US" w:eastAsia="zh-CN"/>
              </w:rPr>
              <w:t>新发现矿产地</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eastAsia="zh-CN"/>
              </w:rPr>
            </w:pPr>
            <w:r>
              <w:rPr>
                <w:rFonts w:hint="eastAsia" w:ascii="仿宋" w:hAnsi="仿宋" w:eastAsia="仿宋" w:cs="仿宋"/>
                <w:color w:val="000000"/>
                <w:kern w:val="0"/>
                <w:szCs w:val="21"/>
                <w:lang w:val="en-US" w:eastAsia="zh-CN"/>
              </w:rPr>
              <w:t>处</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2</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eastAsia="zh-CN"/>
              </w:rPr>
            </w:pPr>
            <w:r>
              <w:rPr>
                <w:rFonts w:hint="eastAsia" w:ascii="仿宋" w:hAnsi="仿宋" w:eastAsia="仿宋" w:cs="仿宋"/>
                <w:color w:val="000000"/>
                <w:kern w:val="0"/>
                <w:szCs w:val="21"/>
              </w:rPr>
              <w:t>0</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color w:val="000000"/>
                <w:kern w:val="0"/>
                <w:szCs w:val="21"/>
              </w:rPr>
              <w:t>0</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3</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煤</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lang w:eastAsia="zh-CN"/>
              </w:rPr>
            </w:pPr>
            <w:r>
              <w:rPr>
                <w:rFonts w:hint="eastAsia" w:ascii="仿宋" w:hAnsi="仿宋" w:eastAsia="仿宋" w:cs="仿宋"/>
                <w:color w:val="000000"/>
                <w:kern w:val="0"/>
                <w:szCs w:val="21"/>
                <w:lang w:val="en-US" w:eastAsia="zh-CN"/>
              </w:rPr>
              <w:t>万吨</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lang w:val="en-US" w:eastAsia="zh-CN"/>
              </w:rPr>
            </w:pPr>
            <w:r>
              <w:rPr>
                <w:rFonts w:hint="eastAsia" w:ascii="仿宋" w:hAnsi="仿宋" w:eastAsia="仿宋" w:cs="仿宋"/>
                <w:szCs w:val="21"/>
                <w:lang w:val="en-US" w:eastAsia="zh-CN"/>
              </w:rPr>
              <w:t>400</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0</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4</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lang w:val="en-US" w:eastAsia="zh-CN"/>
              </w:rPr>
              <w:t>油砂</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szCs w:val="21"/>
                <w:lang w:val="en-US" w:eastAsia="zh-CN"/>
              </w:rPr>
              <w:t>万吨</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color w:val="000000"/>
                <w:kern w:val="0"/>
                <w:szCs w:val="21"/>
                <w:lang w:val="en-US" w:eastAsia="zh-CN"/>
              </w:rPr>
              <w:t>10</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color w:val="000000"/>
                <w:kern w:val="0"/>
                <w:szCs w:val="21"/>
              </w:rPr>
              <w:t>0</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color w:val="000000"/>
                <w:kern w:val="0"/>
                <w:szCs w:val="21"/>
              </w:rPr>
              <w:t>0</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6</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矿山恢复治理</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公顷</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4.72</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317</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6700</w:t>
            </w:r>
            <w:r>
              <w:rPr>
                <w:rFonts w:hint="eastAsia" w:ascii="仿宋" w:hAnsi="仿宋" w:eastAsia="仿宋" w:cs="仿宋"/>
                <w:szCs w:val="21"/>
              </w:rPr>
              <w:t>%</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7</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大中型矿山比例</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rPr>
            </w:pPr>
            <w:r>
              <w:rPr>
                <w:rFonts w:hint="eastAsia" w:ascii="仿宋" w:hAnsi="仿宋" w:eastAsia="仿宋" w:cs="仿宋"/>
                <w:color w:val="000000"/>
                <w:kern w:val="0"/>
                <w:szCs w:val="21"/>
              </w:rPr>
              <w:t>%</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eastAsia="zh-CN"/>
              </w:rPr>
            </w:pPr>
            <w:r>
              <w:rPr>
                <w:rFonts w:hint="eastAsia" w:ascii="仿宋" w:hAnsi="仿宋" w:eastAsia="仿宋" w:cs="仿宋"/>
                <w:szCs w:val="21"/>
                <w:lang w:val="en-US" w:eastAsia="zh-CN"/>
              </w:rPr>
              <w:t>5</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rPr>
            </w:pPr>
            <w:r>
              <w:rPr>
                <w:rFonts w:hint="eastAsia" w:ascii="仿宋" w:hAnsi="仿宋" w:eastAsia="仿宋" w:cs="仿宋"/>
                <w:szCs w:val="21"/>
                <w:lang w:val="en-US" w:eastAsia="zh-CN"/>
              </w:rPr>
              <w:t>10.3</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default" w:ascii="仿宋" w:hAnsi="仿宋" w:eastAsia="仿宋" w:cs="仿宋"/>
                <w:szCs w:val="21"/>
                <w:lang w:val="en-US"/>
              </w:rPr>
            </w:pPr>
            <w:r>
              <w:rPr>
                <w:rFonts w:hint="eastAsia" w:ascii="仿宋" w:hAnsi="仿宋" w:eastAsia="仿宋" w:cs="仿宋"/>
                <w:szCs w:val="21"/>
                <w:lang w:val="en-US" w:eastAsia="zh-CN"/>
              </w:rPr>
              <w:t>206%</w:t>
            </w:r>
          </w:p>
        </w:tc>
      </w:tr>
      <w:tr>
        <w:tblPrEx>
          <w:tblCellMar>
            <w:top w:w="0" w:type="dxa"/>
            <w:left w:w="108" w:type="dxa"/>
            <w:bottom w:w="0" w:type="dxa"/>
            <w:right w:w="108" w:type="dxa"/>
          </w:tblCellMar>
        </w:tblPrEx>
        <w:trPr>
          <w:trHeight w:val="340"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8</w:t>
            </w:r>
          </w:p>
        </w:tc>
        <w:tc>
          <w:tcPr>
            <w:tcW w:w="227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提供可供勘查地</w:t>
            </w:r>
          </w:p>
        </w:tc>
        <w:tc>
          <w:tcPr>
            <w:tcW w:w="168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color w:val="000000"/>
                <w:kern w:val="0"/>
                <w:szCs w:val="21"/>
                <w:lang w:val="en-US" w:eastAsia="zh-CN"/>
              </w:rPr>
            </w:pPr>
            <w:r>
              <w:rPr>
                <w:rFonts w:hint="eastAsia" w:ascii="仿宋" w:hAnsi="仿宋" w:eastAsia="仿宋" w:cs="仿宋"/>
                <w:color w:val="000000"/>
                <w:kern w:val="0"/>
                <w:szCs w:val="21"/>
                <w:lang w:val="en-US" w:eastAsia="zh-CN"/>
              </w:rPr>
              <w:t>处</w:t>
            </w:r>
          </w:p>
        </w:tc>
        <w:tc>
          <w:tcPr>
            <w:tcW w:w="13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color w:val="000000"/>
                <w:kern w:val="0"/>
                <w:szCs w:val="21"/>
                <w:lang w:val="en-US" w:eastAsia="zh-CN"/>
              </w:rPr>
              <w:t>2-3</w:t>
            </w:r>
          </w:p>
        </w:tc>
        <w:tc>
          <w:tcPr>
            <w:tcW w:w="11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3</w:t>
            </w:r>
          </w:p>
        </w:tc>
        <w:tc>
          <w:tcPr>
            <w:tcW w:w="13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hint="eastAsia" w:ascii="仿宋" w:hAnsi="仿宋" w:eastAsia="仿宋" w:cs="仿宋"/>
                <w:szCs w:val="21"/>
                <w:lang w:val="en-US" w:eastAsia="zh-CN"/>
              </w:rPr>
            </w:pPr>
            <w:r>
              <w:rPr>
                <w:rFonts w:hint="eastAsia" w:ascii="仿宋" w:hAnsi="仿宋" w:eastAsia="仿宋" w:cs="仿宋"/>
                <w:szCs w:val="21"/>
                <w:lang w:val="en-US" w:eastAsia="zh-CN"/>
              </w:rPr>
              <w:t>100</w:t>
            </w:r>
            <w:r>
              <w:rPr>
                <w:rFonts w:hint="eastAsia" w:ascii="仿宋" w:hAnsi="仿宋" w:eastAsia="仿宋" w:cs="仿宋"/>
                <w:szCs w:val="21"/>
              </w:rPr>
              <w:t>%</w:t>
            </w:r>
          </w:p>
        </w:tc>
      </w:tr>
    </w:tbl>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9"/>
        <w:rPr>
          <w:rFonts w:hint="eastAsia" w:ascii="仿宋" w:hAnsi="仿宋" w:eastAsia="仿宋" w:cs="仿宋"/>
          <w:color w:val="FF0000"/>
          <w:sz w:val="28"/>
          <w:szCs w:val="28"/>
          <w:lang w:eastAsia="zh-CN"/>
        </w:rPr>
      </w:pPr>
      <w:r>
        <w:rPr>
          <w:rFonts w:hint="eastAsia" w:ascii="仿宋" w:hAnsi="仿宋" w:eastAsia="仿宋" w:cs="仿宋"/>
          <w:b/>
          <w:sz w:val="28"/>
          <w:szCs w:val="28"/>
          <w:lang w:val="en-US" w:eastAsia="zh-CN"/>
        </w:rPr>
        <w:t>基础地质调查程度进一步提高。</w:t>
      </w:r>
      <w:r>
        <w:rPr>
          <w:rFonts w:hint="eastAsia" w:ascii="仿宋" w:hAnsi="仿宋" w:eastAsia="仿宋" w:cs="仿宋"/>
          <w:color w:val="000000" w:themeColor="text1"/>
          <w:spacing w:val="-2"/>
          <w:sz w:val="28"/>
          <w:szCs w:val="28"/>
          <w14:textFill>
            <w14:solidFill>
              <w14:schemeClr w14:val="tx1"/>
            </w14:solidFill>
          </w14:textFill>
        </w:rPr>
        <w:t>紧密结合经济社会发展需求，开展基础地质调查工作，增强地质公共服务能力。</w:t>
      </w:r>
      <w:r>
        <w:rPr>
          <w:rFonts w:hint="eastAsia" w:ascii="仿宋" w:hAnsi="仿宋" w:eastAsia="仿宋" w:cs="仿宋"/>
          <w:color w:val="000000" w:themeColor="text1"/>
          <w:sz w:val="28"/>
          <w:szCs w:val="28"/>
          <w14:textFill>
            <w14:solidFill>
              <w14:schemeClr w14:val="tx1"/>
            </w14:solidFill>
          </w14:textFill>
        </w:rPr>
        <w:t>“十三五”期间</w:t>
      </w:r>
      <w:r>
        <w:rPr>
          <w:rFonts w:hint="eastAsia" w:ascii="仿宋" w:hAnsi="仿宋" w:eastAsia="仿宋" w:cs="仿宋"/>
          <w:color w:val="000000" w:themeColor="text1"/>
          <w:spacing w:val="-2"/>
          <w:sz w:val="28"/>
          <w:szCs w:val="28"/>
          <w:lang w:val="en-US" w:eastAsia="zh-CN"/>
          <w14:textFill>
            <w14:solidFill>
              <w14:schemeClr w14:val="tx1"/>
            </w14:solidFill>
          </w14:textFill>
        </w:rPr>
        <w:t>开展《</w:t>
      </w:r>
      <w:r>
        <w:rPr>
          <w:rFonts w:hint="eastAsia" w:ascii="仿宋" w:hAnsi="仿宋" w:eastAsia="仿宋" w:cs="仿宋"/>
          <w:color w:val="000000" w:themeColor="text1"/>
          <w:spacing w:val="-2"/>
          <w:sz w:val="28"/>
          <w:szCs w:val="28"/>
          <w14:textFill>
            <w14:solidFill>
              <w14:schemeClr w14:val="tx1"/>
            </w14:solidFill>
          </w14:textFill>
        </w:rPr>
        <w:t>新疆呼图壁—沙湾地区1:25万多目标区域地球化学调查</w:t>
      </w:r>
      <w:r>
        <w:rPr>
          <w:rFonts w:hint="eastAsia" w:ascii="仿宋" w:hAnsi="仿宋" w:eastAsia="仿宋" w:cs="仿宋"/>
          <w:color w:val="000000" w:themeColor="text1"/>
          <w:spacing w:val="-2"/>
          <w:sz w:val="28"/>
          <w:szCs w:val="28"/>
          <w:lang w:eastAsia="zh-CN"/>
          <w14:textFill>
            <w14:solidFill>
              <w14:schemeClr w14:val="tx1"/>
            </w14:solidFill>
          </w14:textFill>
        </w:rPr>
        <w:t>》，</w:t>
      </w:r>
      <w:r>
        <w:rPr>
          <w:rFonts w:hint="eastAsia" w:ascii="仿宋" w:hAnsi="仿宋" w:eastAsia="仿宋" w:cs="仿宋"/>
          <w:color w:val="000000" w:themeColor="text1"/>
          <w:spacing w:val="-2"/>
          <w:sz w:val="28"/>
          <w:szCs w:val="28"/>
          <w:lang w:val="en-US" w:eastAsia="zh-CN"/>
          <w14:textFill>
            <w14:solidFill>
              <w14:schemeClr w14:val="tx1"/>
            </w14:solidFill>
          </w14:textFill>
        </w:rPr>
        <w:t>圈定</w:t>
      </w:r>
      <w:r>
        <w:rPr>
          <w:rFonts w:hint="eastAsia" w:ascii="仿宋" w:hAnsi="仿宋" w:eastAsia="仿宋" w:cs="仿宋"/>
          <w:color w:val="000000" w:themeColor="text1"/>
          <w:spacing w:val="-2"/>
          <w:sz w:val="28"/>
          <w:szCs w:val="28"/>
          <w14:textFill>
            <w14:solidFill>
              <w14:schemeClr w14:val="tx1"/>
            </w14:solidFill>
          </w14:textFill>
        </w:rPr>
        <w:t>沙湾</w:t>
      </w:r>
      <w:r>
        <w:rPr>
          <w:rFonts w:hint="eastAsia" w:ascii="仿宋" w:hAnsi="仿宋" w:eastAsia="仿宋" w:cs="仿宋"/>
          <w:color w:val="000000" w:themeColor="text1"/>
          <w:spacing w:val="-2"/>
          <w:sz w:val="28"/>
          <w:szCs w:val="28"/>
          <w:lang w:val="en-US" w:eastAsia="zh-CN"/>
          <w14:textFill>
            <w14:solidFill>
              <w14:schemeClr w14:val="tx1"/>
            </w14:solidFill>
          </w14:textFill>
        </w:rPr>
        <w:t>市</w:t>
      </w:r>
      <w:r>
        <w:rPr>
          <w:rFonts w:hint="eastAsia" w:ascii="仿宋" w:hAnsi="仿宋" w:eastAsia="仿宋" w:cs="仿宋"/>
          <w:color w:val="000000" w:themeColor="text1"/>
          <w:spacing w:val="-2"/>
          <w:sz w:val="28"/>
          <w:szCs w:val="28"/>
          <w14:textFill>
            <w14:solidFill>
              <w14:schemeClr w14:val="tx1"/>
            </w14:solidFill>
          </w14:textFill>
        </w:rPr>
        <w:t>富硒土壤面积为207平方公里，在富硒土壤上产出的农产品硒的含量水平较高，当地的乌兰乌苏镇大米含硒量每公斤达0.2微克，属于高富硒。此外，沙湾</w:t>
      </w:r>
      <w:r>
        <w:rPr>
          <w:rFonts w:hint="eastAsia" w:ascii="仿宋" w:hAnsi="仿宋" w:eastAsia="仿宋" w:cs="仿宋"/>
          <w:color w:val="000000" w:themeColor="text1"/>
          <w:spacing w:val="-2"/>
          <w:sz w:val="28"/>
          <w:szCs w:val="28"/>
          <w:lang w:val="en-US" w:eastAsia="zh-CN"/>
          <w14:textFill>
            <w14:solidFill>
              <w14:schemeClr w14:val="tx1"/>
            </w14:solidFill>
          </w14:textFill>
        </w:rPr>
        <w:t>市</w:t>
      </w:r>
      <w:r>
        <w:rPr>
          <w:rFonts w:hint="eastAsia" w:ascii="仿宋" w:hAnsi="仿宋" w:eastAsia="仿宋" w:cs="仿宋"/>
          <w:color w:val="000000" w:themeColor="text1"/>
          <w:spacing w:val="-2"/>
          <w:sz w:val="28"/>
          <w:szCs w:val="28"/>
          <w14:textFill>
            <w14:solidFill>
              <w14:schemeClr w14:val="tx1"/>
            </w14:solidFill>
          </w14:textFill>
        </w:rPr>
        <w:t>还将富硒特色与养生理念结合，发展休闲、养生等服务产业，取得了良好的效果</w:t>
      </w:r>
      <w:r>
        <w:rPr>
          <w:rFonts w:hint="eastAsia" w:ascii="仿宋" w:hAnsi="仿宋" w:eastAsia="仿宋" w:cs="仿宋"/>
          <w:color w:val="000000" w:themeColor="text1"/>
          <w:spacing w:val="-2"/>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完成1:5万地质</w:t>
      </w:r>
      <w:r>
        <w:rPr>
          <w:rFonts w:hint="eastAsia" w:ascii="仿宋" w:hAnsi="仿宋" w:eastAsia="仿宋" w:cs="仿宋"/>
          <w:color w:val="000000" w:themeColor="text1"/>
          <w:sz w:val="28"/>
          <w:szCs w:val="28"/>
          <w:lang w:val="en-US" w:eastAsia="zh-CN"/>
          <w14:textFill>
            <w14:solidFill>
              <w14:schemeClr w14:val="tx1"/>
            </w14:solidFill>
          </w14:textFill>
        </w:rPr>
        <w:t>灾害详查1.246万</w:t>
      </w:r>
      <w:r>
        <w:rPr>
          <w:rFonts w:hint="eastAsia" w:ascii="仿宋" w:hAnsi="仿宋" w:eastAsia="仿宋" w:cs="仿宋"/>
          <w:color w:val="000000" w:themeColor="text1"/>
          <w:sz w:val="28"/>
          <w:szCs w:val="28"/>
          <w14:textFill>
            <w14:solidFill>
              <w14:schemeClr w14:val="tx1"/>
            </w14:solidFill>
          </w14:textFill>
        </w:rPr>
        <w:t>平方千米</w:t>
      </w:r>
      <w:r>
        <w:rPr>
          <w:rFonts w:hint="eastAsia" w:ascii="仿宋" w:hAnsi="仿宋" w:eastAsia="仿宋" w:cs="仿宋"/>
          <w:color w:val="000000" w:themeColor="text1"/>
          <w:spacing w:val="-2"/>
          <w:sz w:val="28"/>
          <w:szCs w:val="28"/>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themeColor="text1"/>
          <w:spacing w:val="-2"/>
          <w:sz w:val="28"/>
          <w:szCs w:val="28"/>
          <w14:textFill>
            <w14:solidFill>
              <w14:schemeClr w14:val="tx1"/>
            </w14:solidFill>
          </w14:textFill>
        </w:rPr>
      </w:pPr>
      <w:bookmarkStart w:id="26" w:name="_Toc89547512"/>
      <w:r>
        <w:rPr>
          <w:rFonts w:hint="eastAsia" w:ascii="仿宋" w:hAnsi="仿宋" w:eastAsia="仿宋" w:cs="仿宋"/>
          <w:b/>
          <w:bCs/>
          <w:snapToGrid w:val="0"/>
          <w:kern w:val="0"/>
          <w:sz w:val="28"/>
          <w:szCs w:val="28"/>
          <w:lang w:eastAsia="zh-CN"/>
        </w:rPr>
        <w:t>矿山布局与结构进一步优化。</w:t>
      </w:r>
      <w:r>
        <w:rPr>
          <w:rFonts w:hint="eastAsia" w:ascii="仿宋" w:hAnsi="仿宋" w:eastAsia="仿宋" w:cs="仿宋"/>
          <w:snapToGrid w:val="0"/>
          <w:kern w:val="0"/>
          <w:sz w:val="28"/>
          <w:szCs w:val="28"/>
          <w:lang w:val="en-US" w:eastAsia="zh-CN"/>
        </w:rPr>
        <w:t>一是</w:t>
      </w:r>
      <w:r>
        <w:rPr>
          <w:rFonts w:hint="eastAsia" w:ascii="仿宋" w:hAnsi="仿宋" w:eastAsia="仿宋" w:cs="仿宋"/>
          <w:color w:val="000000" w:themeColor="text1"/>
          <w:spacing w:val="-2"/>
          <w:sz w:val="28"/>
          <w:szCs w:val="28"/>
          <w14:textFill>
            <w14:solidFill>
              <w14:schemeClr w14:val="tx1"/>
            </w14:solidFill>
          </w14:textFill>
        </w:rPr>
        <w:t>矿业产量、产值和从业人员201</w:t>
      </w:r>
      <w:r>
        <w:rPr>
          <w:rFonts w:hint="eastAsia" w:ascii="仿宋" w:hAnsi="仿宋" w:eastAsia="仿宋" w:cs="仿宋"/>
          <w:color w:val="000000" w:themeColor="text1"/>
          <w:spacing w:val="-2"/>
          <w:sz w:val="28"/>
          <w:szCs w:val="28"/>
          <w:lang w:val="en-US" w:eastAsia="zh-CN"/>
          <w14:textFill>
            <w14:solidFill>
              <w14:schemeClr w14:val="tx1"/>
            </w14:solidFill>
          </w14:textFill>
        </w:rPr>
        <w:t>8</w:t>
      </w:r>
      <w:r>
        <w:rPr>
          <w:rFonts w:hint="eastAsia" w:ascii="仿宋" w:hAnsi="仿宋" w:eastAsia="仿宋" w:cs="仿宋"/>
          <w:color w:val="000000" w:themeColor="text1"/>
          <w:spacing w:val="-2"/>
          <w:sz w:val="28"/>
          <w:szCs w:val="28"/>
          <w14:textFill>
            <w14:solidFill>
              <w14:schemeClr w14:val="tx1"/>
            </w14:solidFill>
          </w14:textFill>
        </w:rPr>
        <w:t>年达到高峰后略有下降。二是矿产资源开发利用布局趋向合理、结构优化。</w:t>
      </w:r>
      <w:r>
        <w:rPr>
          <w:rFonts w:hint="eastAsia" w:ascii="仿宋" w:hAnsi="仿宋" w:eastAsia="仿宋" w:cs="仿宋"/>
          <w:sz w:val="28"/>
          <w:szCs w:val="28"/>
        </w:rPr>
        <w:t>通过资源整合、优化布局、政策性关闭、淘汰落后产能及功能区内矿业权政策性退出</w:t>
      </w:r>
      <w:r>
        <w:rPr>
          <w:rFonts w:hint="eastAsia" w:ascii="仿宋" w:hAnsi="仿宋" w:eastAsia="仿宋" w:cs="仿宋"/>
          <w:sz w:val="28"/>
          <w:szCs w:val="28"/>
          <w:lang w:eastAsia="zh-CN"/>
        </w:rPr>
        <w:t>，</w:t>
      </w:r>
      <w:r>
        <w:rPr>
          <w:rFonts w:hint="eastAsia" w:ascii="仿宋" w:hAnsi="仿宋" w:eastAsia="仿宋" w:cs="仿宋"/>
          <w:color w:val="000000" w:themeColor="text1"/>
          <w:spacing w:val="-2"/>
          <w:sz w:val="28"/>
          <w:szCs w:val="28"/>
          <w14:textFill>
            <w14:solidFill>
              <w14:schemeClr w14:val="tx1"/>
            </w14:solidFill>
          </w14:textFill>
        </w:rPr>
        <w:t>矿山数量由201</w:t>
      </w:r>
      <w:r>
        <w:rPr>
          <w:rFonts w:hint="eastAsia" w:ascii="仿宋" w:hAnsi="仿宋" w:eastAsia="仿宋" w:cs="仿宋"/>
          <w:color w:val="000000" w:themeColor="text1"/>
          <w:spacing w:val="-2"/>
          <w:sz w:val="28"/>
          <w:szCs w:val="28"/>
          <w:lang w:val="en-US" w:eastAsia="zh-CN"/>
          <w14:textFill>
            <w14:solidFill>
              <w14:schemeClr w14:val="tx1"/>
            </w14:solidFill>
          </w14:textFill>
        </w:rPr>
        <w:t>5</w:t>
      </w:r>
      <w:r>
        <w:rPr>
          <w:rFonts w:hint="eastAsia" w:ascii="仿宋" w:hAnsi="仿宋" w:eastAsia="仿宋" w:cs="仿宋"/>
          <w:color w:val="000000" w:themeColor="text1"/>
          <w:spacing w:val="-2"/>
          <w:sz w:val="28"/>
          <w:szCs w:val="28"/>
          <w14:textFill>
            <w14:solidFill>
              <w14:schemeClr w14:val="tx1"/>
            </w14:solidFill>
          </w14:textFill>
        </w:rPr>
        <w:t>年的</w:t>
      </w:r>
      <w:r>
        <w:rPr>
          <w:rFonts w:hint="eastAsia" w:ascii="仿宋" w:hAnsi="仿宋" w:eastAsia="仿宋" w:cs="仿宋"/>
          <w:color w:val="000000" w:themeColor="text1"/>
          <w:spacing w:val="-2"/>
          <w:sz w:val="28"/>
          <w:szCs w:val="28"/>
          <w:lang w:val="en-US" w:eastAsia="zh-CN"/>
          <w14:textFill>
            <w14:solidFill>
              <w14:schemeClr w14:val="tx1"/>
            </w14:solidFill>
          </w14:textFill>
        </w:rPr>
        <w:t>66</w:t>
      </w:r>
      <w:r>
        <w:rPr>
          <w:rFonts w:hint="eastAsia" w:ascii="仿宋" w:hAnsi="仿宋" w:eastAsia="仿宋" w:cs="仿宋"/>
          <w:color w:val="000000" w:themeColor="text1"/>
          <w:spacing w:val="-2"/>
          <w:sz w:val="28"/>
          <w:szCs w:val="28"/>
          <w14:textFill>
            <w14:solidFill>
              <w14:schemeClr w14:val="tx1"/>
            </w14:solidFill>
          </w14:textFill>
        </w:rPr>
        <w:t>家</w:t>
      </w:r>
      <w:r>
        <w:rPr>
          <w:rFonts w:hint="eastAsia" w:ascii="仿宋" w:hAnsi="仿宋" w:eastAsia="仿宋" w:cs="仿宋"/>
          <w:color w:val="000000" w:themeColor="text1"/>
          <w:spacing w:val="-2"/>
          <w:sz w:val="28"/>
          <w:szCs w:val="28"/>
          <w:lang w:val="en-US" w:eastAsia="zh-CN"/>
          <w14:textFill>
            <w14:solidFill>
              <w14:schemeClr w14:val="tx1"/>
            </w14:solidFill>
          </w14:textFill>
        </w:rPr>
        <w:t>减少</w:t>
      </w:r>
      <w:r>
        <w:rPr>
          <w:rFonts w:hint="eastAsia" w:ascii="仿宋" w:hAnsi="仿宋" w:eastAsia="仿宋" w:cs="仿宋"/>
          <w:color w:val="000000" w:themeColor="text1"/>
          <w:spacing w:val="-2"/>
          <w:sz w:val="28"/>
          <w:szCs w:val="28"/>
          <w14:textFill>
            <w14:solidFill>
              <w14:schemeClr w14:val="tx1"/>
            </w14:solidFill>
          </w14:textFill>
        </w:rPr>
        <w:t>到20</w:t>
      </w:r>
      <w:r>
        <w:rPr>
          <w:rFonts w:hint="eastAsia" w:ascii="仿宋" w:hAnsi="仿宋" w:eastAsia="仿宋" w:cs="仿宋"/>
          <w:color w:val="000000" w:themeColor="text1"/>
          <w:spacing w:val="-2"/>
          <w:sz w:val="28"/>
          <w:szCs w:val="28"/>
          <w:lang w:val="en-US" w:eastAsia="zh-CN"/>
          <w14:textFill>
            <w14:solidFill>
              <w14:schemeClr w14:val="tx1"/>
            </w14:solidFill>
          </w14:textFill>
        </w:rPr>
        <w:t>20</w:t>
      </w:r>
      <w:r>
        <w:rPr>
          <w:rFonts w:hint="eastAsia" w:ascii="仿宋" w:hAnsi="仿宋" w:eastAsia="仿宋" w:cs="仿宋"/>
          <w:color w:val="000000" w:themeColor="text1"/>
          <w:spacing w:val="-2"/>
          <w:sz w:val="28"/>
          <w:szCs w:val="28"/>
          <w14:textFill>
            <w14:solidFill>
              <w14:schemeClr w14:val="tx1"/>
            </w14:solidFill>
          </w14:textFill>
        </w:rPr>
        <w:t>年的</w:t>
      </w:r>
      <w:r>
        <w:rPr>
          <w:rFonts w:hint="eastAsia" w:ascii="仿宋" w:hAnsi="仿宋" w:eastAsia="仿宋" w:cs="仿宋"/>
          <w:color w:val="000000" w:themeColor="text1"/>
          <w:spacing w:val="-2"/>
          <w:sz w:val="28"/>
          <w:szCs w:val="28"/>
          <w:lang w:val="en-US" w:eastAsia="zh-CN"/>
          <w14:textFill>
            <w14:solidFill>
              <w14:schemeClr w14:val="tx1"/>
            </w14:solidFill>
          </w14:textFill>
        </w:rPr>
        <w:t>29</w:t>
      </w:r>
      <w:r>
        <w:rPr>
          <w:rFonts w:hint="eastAsia" w:ascii="仿宋" w:hAnsi="仿宋" w:eastAsia="仿宋" w:cs="仿宋"/>
          <w:color w:val="000000" w:themeColor="text1"/>
          <w:spacing w:val="-2"/>
          <w:sz w:val="28"/>
          <w:szCs w:val="28"/>
          <w14:textFill>
            <w14:solidFill>
              <w14:schemeClr w14:val="tx1"/>
            </w14:solidFill>
          </w14:textFill>
        </w:rPr>
        <w:t>家，小型及小矿山企业所占比例有所</w:t>
      </w:r>
      <w:r>
        <w:rPr>
          <w:rFonts w:hint="eastAsia" w:ascii="仿宋" w:hAnsi="仿宋" w:eastAsia="仿宋" w:cs="仿宋"/>
          <w:color w:val="000000" w:themeColor="text1"/>
          <w:spacing w:val="-2"/>
          <w:sz w:val="28"/>
          <w:szCs w:val="28"/>
          <w:lang w:val="en-US" w:eastAsia="zh-CN"/>
          <w14:textFill>
            <w14:solidFill>
              <w14:schemeClr w14:val="tx1"/>
            </w14:solidFill>
          </w14:textFill>
        </w:rPr>
        <w:t>减少</w:t>
      </w:r>
      <w:r>
        <w:rPr>
          <w:rFonts w:hint="eastAsia" w:ascii="仿宋" w:hAnsi="仿宋" w:eastAsia="仿宋" w:cs="仿宋"/>
          <w:color w:val="000000" w:themeColor="text1"/>
          <w:spacing w:val="-2"/>
          <w:sz w:val="28"/>
          <w:szCs w:val="28"/>
          <w14:textFill>
            <w14:solidFill>
              <w14:schemeClr w14:val="tx1"/>
            </w14:solidFill>
          </w14:textFill>
        </w:rPr>
        <w:t>，大型、中型矿山企业所占比例趋于稳定，矿山开采规模结构逐步趋于优化。三是矿产资源开发利用成效显著。鼓励及限制矿种年度开采总量指标和矿业权投放数量相结合，加强“三率”指标管理。</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rPr>
          <w:rFonts w:hint="eastAsia" w:ascii="仿宋" w:hAnsi="仿宋" w:eastAsia="仿宋" w:cs="仿宋"/>
          <w:color w:val="000000" w:themeColor="text1"/>
          <w:spacing w:val="-2"/>
          <w:sz w:val="28"/>
          <w:szCs w:val="28"/>
          <w14:textFill>
            <w14:solidFill>
              <w14:schemeClr w14:val="tx1"/>
            </w14:solidFill>
          </w14:textFill>
        </w:rPr>
      </w:pPr>
      <w:r>
        <w:rPr>
          <w:rFonts w:hint="eastAsia" w:ascii="仿宋" w:hAnsi="仿宋" w:eastAsia="仿宋" w:cs="仿宋"/>
          <w:b/>
          <w:bCs/>
          <w:color w:val="000000"/>
          <w:spacing w:val="-2"/>
          <w:sz w:val="28"/>
          <w:szCs w:val="28"/>
          <w:lang w:val="en-US" w:eastAsia="zh-CN"/>
        </w:rPr>
        <w:t>矿山地质环境治理保护进一步加强。</w:t>
      </w:r>
      <w:r>
        <w:rPr>
          <w:rFonts w:hint="eastAsia" w:ascii="仿宋" w:hAnsi="仿宋" w:eastAsia="仿宋" w:cs="仿宋"/>
          <w:color w:val="000000" w:themeColor="text1"/>
          <w:spacing w:val="-2"/>
          <w:sz w:val="28"/>
          <w:szCs w:val="28"/>
          <w14:textFill>
            <w14:solidFill>
              <w14:schemeClr w14:val="tx1"/>
            </w14:solidFill>
          </w14:textFill>
        </w:rPr>
        <w:t>开展矿业布局优化调整，加强矿山地质环境保护管理，对污染严重、自然保护区内、高山冰水涵养区及生态环境造成破坏的矿山进行关闭</w:t>
      </w:r>
      <w:r>
        <w:rPr>
          <w:rFonts w:hint="eastAsia" w:ascii="仿宋" w:hAnsi="仿宋" w:eastAsia="仿宋" w:cs="仿宋"/>
          <w:color w:val="000000" w:themeColor="text1"/>
          <w:spacing w:val="-2"/>
          <w:sz w:val="28"/>
          <w:szCs w:val="28"/>
          <w:lang w:eastAsia="zh-CN"/>
          <w14:textFill>
            <w14:solidFill>
              <w14:schemeClr w14:val="tx1"/>
            </w14:solidFill>
          </w14:textFill>
        </w:rPr>
        <w:t>、</w:t>
      </w:r>
      <w:r>
        <w:rPr>
          <w:rFonts w:hint="eastAsia" w:ascii="仿宋" w:hAnsi="仿宋" w:eastAsia="仿宋" w:cs="仿宋"/>
          <w:color w:val="000000" w:themeColor="text1"/>
          <w:spacing w:val="-2"/>
          <w:sz w:val="28"/>
          <w:szCs w:val="28"/>
          <w14:textFill>
            <w14:solidFill>
              <w14:schemeClr w14:val="tx1"/>
            </w14:solidFill>
          </w14:textFill>
        </w:rPr>
        <w:t>整合。并对</w:t>
      </w:r>
      <w:r>
        <w:rPr>
          <w:rFonts w:hint="eastAsia" w:ascii="仿宋" w:hAnsi="仿宋" w:eastAsia="仿宋" w:cs="仿宋"/>
          <w:color w:val="000000" w:themeColor="text1"/>
          <w:spacing w:val="-2"/>
          <w:sz w:val="28"/>
          <w:szCs w:val="28"/>
          <w:lang w:eastAsia="zh-CN"/>
          <w14:textFill>
            <w14:solidFill>
              <w14:schemeClr w14:val="tx1"/>
            </w14:solidFill>
          </w14:textFill>
        </w:rPr>
        <w:t>沙湾市</w:t>
      </w:r>
      <w:r>
        <w:rPr>
          <w:rFonts w:hint="eastAsia" w:ascii="仿宋" w:hAnsi="仿宋" w:eastAsia="仿宋" w:cs="仿宋"/>
          <w:color w:val="000000" w:themeColor="text1"/>
          <w:spacing w:val="-2"/>
          <w:sz w:val="28"/>
          <w:szCs w:val="28"/>
          <w14:textFill>
            <w14:solidFill>
              <w14:schemeClr w14:val="tx1"/>
            </w14:solidFill>
          </w14:textFill>
        </w:rPr>
        <w:t>砂石料矿</w:t>
      </w:r>
      <w:r>
        <w:rPr>
          <w:rFonts w:hint="eastAsia" w:ascii="仿宋" w:hAnsi="仿宋" w:eastAsia="仿宋" w:cs="仿宋"/>
          <w:color w:val="000000" w:themeColor="text1"/>
          <w:spacing w:val="-2"/>
          <w:sz w:val="28"/>
          <w:szCs w:val="28"/>
          <w:lang w:val="en-US" w:eastAsia="zh-CN"/>
          <w14:textFill>
            <w14:solidFill>
              <w14:schemeClr w14:val="tx1"/>
            </w14:solidFill>
          </w14:textFill>
        </w:rPr>
        <w:t>山和非金属矿山</w:t>
      </w:r>
      <w:r>
        <w:rPr>
          <w:rFonts w:hint="eastAsia" w:ascii="仿宋" w:hAnsi="仿宋" w:eastAsia="仿宋" w:cs="仿宋"/>
          <w:color w:val="000000" w:themeColor="text1"/>
          <w:spacing w:val="-2"/>
          <w:sz w:val="28"/>
          <w:szCs w:val="28"/>
          <w14:textFill>
            <w14:solidFill>
              <w14:schemeClr w14:val="tx1"/>
            </w14:solidFill>
          </w14:textFill>
        </w:rPr>
        <w:t>进行地质环境治理，治理</w:t>
      </w:r>
      <w:r>
        <w:rPr>
          <w:rFonts w:hint="eastAsia" w:ascii="仿宋" w:hAnsi="仿宋" w:eastAsia="仿宋" w:cs="仿宋"/>
          <w:color w:val="000000" w:themeColor="text1"/>
          <w:spacing w:val="-2"/>
          <w:sz w:val="28"/>
          <w:szCs w:val="28"/>
          <w:lang w:val="en-US" w:eastAsia="zh-CN"/>
          <w14:textFill>
            <w14:solidFill>
              <w14:schemeClr w14:val="tx1"/>
            </w14:solidFill>
          </w14:textFill>
        </w:rPr>
        <w:t>总</w:t>
      </w:r>
      <w:r>
        <w:rPr>
          <w:rFonts w:hint="eastAsia" w:ascii="仿宋" w:hAnsi="仿宋" w:eastAsia="仿宋" w:cs="仿宋"/>
          <w:color w:val="000000" w:themeColor="text1"/>
          <w:spacing w:val="-2"/>
          <w:sz w:val="28"/>
          <w:szCs w:val="28"/>
          <w14:textFill>
            <w14:solidFill>
              <w14:schemeClr w14:val="tx1"/>
            </w14:solidFill>
          </w14:textFill>
        </w:rPr>
        <w:t>面积</w:t>
      </w:r>
      <w:r>
        <w:rPr>
          <w:rFonts w:hint="eastAsia" w:ascii="仿宋" w:hAnsi="仿宋" w:eastAsia="仿宋" w:cs="仿宋"/>
          <w:color w:val="000000" w:themeColor="text1"/>
          <w:spacing w:val="-2"/>
          <w:sz w:val="28"/>
          <w:szCs w:val="28"/>
          <w:lang w:val="en-US" w:eastAsia="zh-CN"/>
          <w14:textFill>
            <w14:solidFill>
              <w14:schemeClr w14:val="tx1"/>
            </w14:solidFill>
          </w14:textFill>
        </w:rPr>
        <w:t>317公顷</w:t>
      </w:r>
      <w:r>
        <w:rPr>
          <w:rFonts w:hint="eastAsia" w:ascii="仿宋" w:hAnsi="仿宋" w:eastAsia="仿宋" w:cs="仿宋"/>
          <w:color w:val="000000" w:themeColor="text1"/>
          <w:spacing w:val="-2"/>
          <w:sz w:val="28"/>
          <w:szCs w:val="28"/>
          <w14:textFill>
            <w14:solidFill>
              <w14:schemeClr w14:val="tx1"/>
            </w14:solidFill>
          </w14:textFill>
        </w:rPr>
        <w:t>。通过地质环境治理，</w:t>
      </w:r>
      <w:r>
        <w:rPr>
          <w:rFonts w:hint="eastAsia" w:ascii="仿宋" w:hAnsi="仿宋" w:eastAsia="仿宋" w:cs="仿宋"/>
          <w:color w:val="000000" w:themeColor="text1"/>
          <w:spacing w:val="-2"/>
          <w:sz w:val="28"/>
          <w:szCs w:val="28"/>
          <w:lang w:val="en-US" w:eastAsia="zh-CN"/>
          <w14:textFill>
            <w14:solidFill>
              <w14:schemeClr w14:val="tx1"/>
            </w14:solidFill>
          </w14:textFill>
        </w:rPr>
        <w:t>消除了</w:t>
      </w:r>
      <w:r>
        <w:rPr>
          <w:rFonts w:hint="eastAsia" w:ascii="仿宋" w:hAnsi="仿宋" w:eastAsia="仿宋" w:cs="仿宋"/>
          <w:color w:val="000000" w:themeColor="text1"/>
          <w:spacing w:val="-2"/>
          <w:sz w:val="28"/>
          <w:szCs w:val="28"/>
          <w14:textFill>
            <w14:solidFill>
              <w14:schemeClr w14:val="tx1"/>
            </w14:solidFill>
          </w14:textFill>
        </w:rPr>
        <w:t>农田、引水干渠、农灌渠、绿化林带和附近活动的人员、牲畜</w:t>
      </w:r>
      <w:r>
        <w:rPr>
          <w:rFonts w:hint="eastAsia" w:ascii="仿宋" w:hAnsi="仿宋" w:eastAsia="仿宋" w:cs="仿宋"/>
          <w:color w:val="000000" w:themeColor="text1"/>
          <w:spacing w:val="-2"/>
          <w:sz w:val="28"/>
          <w:szCs w:val="28"/>
          <w:lang w:val="en-US" w:eastAsia="zh-CN"/>
          <w14:textFill>
            <w14:solidFill>
              <w14:schemeClr w14:val="tx1"/>
            </w14:solidFill>
          </w14:textFill>
        </w:rPr>
        <w:t>周边</w:t>
      </w:r>
      <w:r>
        <w:rPr>
          <w:rFonts w:hint="eastAsia" w:ascii="仿宋" w:hAnsi="仿宋" w:eastAsia="仿宋" w:cs="仿宋"/>
          <w:color w:val="000000" w:themeColor="text1"/>
          <w:spacing w:val="-2"/>
          <w:sz w:val="28"/>
          <w:szCs w:val="28"/>
          <w14:textFill>
            <w14:solidFill>
              <w14:schemeClr w14:val="tx1"/>
            </w14:solidFill>
          </w14:textFill>
        </w:rPr>
        <w:t>的安全隐患，有效避免不可预见的人员和财产的损失。进一步改</w:t>
      </w:r>
      <w:r>
        <w:rPr>
          <w:rFonts w:hint="eastAsia" w:ascii="仿宋" w:hAnsi="仿宋" w:eastAsia="仿宋" w:cs="仿宋"/>
          <w:color w:val="000000" w:themeColor="text1"/>
          <w:spacing w:val="-2"/>
          <w:sz w:val="28"/>
          <w:szCs w:val="28"/>
          <w:lang w:val="en-US" w:eastAsia="zh-CN"/>
          <w14:textFill>
            <w14:solidFill>
              <w14:schemeClr w14:val="tx1"/>
            </w14:solidFill>
          </w14:textFill>
        </w:rPr>
        <w:t>善</w:t>
      </w:r>
      <w:r>
        <w:rPr>
          <w:rFonts w:hint="eastAsia" w:ascii="仿宋" w:hAnsi="仿宋" w:eastAsia="仿宋" w:cs="仿宋"/>
          <w:color w:val="000000" w:themeColor="text1"/>
          <w:spacing w:val="-2"/>
          <w:sz w:val="28"/>
          <w:szCs w:val="28"/>
          <w14:textFill>
            <w14:solidFill>
              <w14:schemeClr w14:val="tx1"/>
            </w14:solidFill>
          </w14:textFill>
        </w:rPr>
        <w:t>公路沿线的地貌景观，提高土地</w:t>
      </w:r>
      <w:r>
        <w:rPr>
          <w:rFonts w:hint="eastAsia" w:ascii="仿宋" w:hAnsi="仿宋" w:eastAsia="仿宋" w:cs="仿宋"/>
          <w:color w:val="000000" w:themeColor="text1"/>
          <w:spacing w:val="-2"/>
          <w:sz w:val="28"/>
          <w:szCs w:val="28"/>
          <w:lang w:val="en-US" w:eastAsia="zh-CN"/>
          <w14:textFill>
            <w14:solidFill>
              <w14:schemeClr w14:val="tx1"/>
            </w14:solidFill>
          </w14:textFill>
        </w:rPr>
        <w:t>的</w:t>
      </w:r>
      <w:r>
        <w:rPr>
          <w:rFonts w:hint="eastAsia" w:ascii="仿宋" w:hAnsi="仿宋" w:eastAsia="仿宋" w:cs="仿宋"/>
          <w:color w:val="000000" w:themeColor="text1"/>
          <w:spacing w:val="-2"/>
          <w:sz w:val="28"/>
          <w:szCs w:val="28"/>
          <w14:textFill>
            <w14:solidFill>
              <w14:schemeClr w14:val="tx1"/>
            </w14:solidFill>
          </w14:textFill>
        </w:rPr>
        <w:t>利用率，取得良好的社会经济效益和环境效益。</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rPr>
          <w:rFonts w:hint="eastAsia" w:ascii="仿宋" w:hAnsi="仿宋" w:eastAsia="仿宋" w:cs="仿宋"/>
          <w:color w:val="000000" w:themeColor="text1"/>
          <w:spacing w:val="-2"/>
          <w:sz w:val="28"/>
          <w:szCs w:val="28"/>
          <w14:textFill>
            <w14:solidFill>
              <w14:schemeClr w14:val="tx1"/>
            </w14:solidFill>
          </w14:textFill>
        </w:rPr>
      </w:pPr>
      <w:r>
        <w:rPr>
          <w:rFonts w:hint="eastAsia" w:ascii="仿宋" w:hAnsi="仿宋" w:eastAsia="仿宋" w:cs="仿宋"/>
          <w:b/>
          <w:bCs/>
          <w:color w:val="000000"/>
          <w:spacing w:val="-2"/>
          <w:kern w:val="2"/>
          <w:sz w:val="28"/>
          <w:szCs w:val="28"/>
          <w:lang w:val="en-US" w:eastAsia="zh-CN" w:bidi="ar-SA"/>
        </w:rPr>
        <w:t>矿政管理工作取得显著成效。</w:t>
      </w:r>
      <w:r>
        <w:rPr>
          <w:rFonts w:hint="eastAsia" w:ascii="仿宋" w:hAnsi="仿宋" w:eastAsia="仿宋" w:cs="仿宋"/>
          <w:color w:val="000000" w:themeColor="text1"/>
          <w:spacing w:val="-2"/>
          <w:sz w:val="28"/>
          <w:szCs w:val="28"/>
          <w14:textFill>
            <w14:solidFill>
              <w14:schemeClr w14:val="tx1"/>
            </w14:solidFill>
          </w14:textFill>
        </w:rPr>
        <w:t>落实国家、自治区矿产资源宏观调控政策和矿产资源总体规划，各项管理制度不断完善，依法监督、监测工作得到加强。矿产资源勘查开发布局不断优化，公益性、商业性地质工作分体运行初步形成，多渠道多元化投融资机制进一步发展。规范和整改矿业秩序工作持续向纵深发展，违法违规探矿采矿活动得到有效遏制，矿产资源开发秩序进一步好转。</w:t>
      </w:r>
    </w:p>
    <w:bookmarkEnd w:id="26"/>
    <w:p>
      <w:pPr>
        <w:pStyle w:val="3"/>
        <w:keepNext/>
        <w:keepLines/>
        <w:pageBreakBefore w:val="0"/>
        <w:widowControl w:val="0"/>
        <w:kinsoku/>
        <w:wordWrap/>
        <w:overflowPunct/>
        <w:topLinePunct w:val="0"/>
        <w:autoSpaceDE/>
        <w:autoSpaceDN/>
        <w:bidi w:val="0"/>
        <w:adjustRightInd/>
        <w:snapToGrid/>
        <w:spacing w:before="0" w:after="0" w:line="500" w:lineRule="exact"/>
        <w:ind w:firstLine="562" w:firstLineChars="200"/>
        <w:jc w:val="left"/>
        <w:textAlignment w:val="auto"/>
        <w:rPr>
          <w:rFonts w:hint="eastAsia" w:ascii="仿宋" w:hAnsi="仿宋" w:eastAsia="仿宋" w:cs="仿宋"/>
          <w:b/>
          <w:bCs/>
          <w:sz w:val="28"/>
          <w:szCs w:val="28"/>
          <w:lang w:val="en-US" w:eastAsia="zh-CN"/>
        </w:rPr>
      </w:pPr>
      <w:bookmarkStart w:id="27" w:name="_Toc47"/>
      <w:bookmarkStart w:id="28" w:name="_Toc32239"/>
      <w:bookmarkStart w:id="29" w:name="_Toc12427"/>
      <w:bookmarkStart w:id="30" w:name="_Toc23507"/>
      <w:bookmarkStart w:id="31" w:name="_Toc7868"/>
      <w:bookmarkStart w:id="32" w:name="_Toc3679"/>
      <w:bookmarkStart w:id="33" w:name="_Toc4476"/>
      <w:r>
        <w:rPr>
          <w:rFonts w:hint="eastAsia" w:ascii="仿宋" w:hAnsi="仿宋" w:eastAsia="仿宋" w:cs="仿宋"/>
          <w:b/>
          <w:bCs/>
          <w:sz w:val="28"/>
          <w:szCs w:val="28"/>
          <w:lang w:val="en-US" w:eastAsia="zh-CN"/>
        </w:rPr>
        <w:t>（四）形势和</w:t>
      </w:r>
      <w:bookmarkEnd w:id="27"/>
      <w:bookmarkEnd w:id="28"/>
      <w:r>
        <w:rPr>
          <w:rFonts w:hint="eastAsia" w:ascii="仿宋" w:hAnsi="仿宋" w:eastAsia="仿宋" w:cs="仿宋"/>
          <w:b/>
          <w:bCs/>
          <w:sz w:val="28"/>
          <w:szCs w:val="28"/>
          <w:lang w:val="en-US" w:eastAsia="zh-CN"/>
        </w:rPr>
        <w:t>要求</w:t>
      </w:r>
      <w:bookmarkEnd w:id="29"/>
      <w:bookmarkEnd w:id="30"/>
      <w:bookmarkEnd w:id="31"/>
      <w:bookmarkEnd w:id="32"/>
      <w:bookmarkEnd w:id="33"/>
    </w:p>
    <w:p>
      <w:pPr>
        <w:widowControl w:val="0"/>
        <w:adjustRightInd w:val="0"/>
        <w:snapToGrid w:val="0"/>
        <w:spacing w:line="500" w:lineRule="exact"/>
        <w:ind w:firstLine="560"/>
        <w:rPr>
          <w:rFonts w:hint="eastAsia" w:ascii="仿宋" w:hAnsi="仿宋" w:eastAsia="仿宋" w:cs="仿宋"/>
          <w:color w:val="auto"/>
          <w:sz w:val="28"/>
          <w:szCs w:val="28"/>
        </w:rPr>
      </w:pPr>
      <w:bookmarkStart w:id="34" w:name="_Toc59615785"/>
      <w:bookmarkStart w:id="35" w:name="_Toc29158"/>
      <w:bookmarkStart w:id="36" w:name="_Toc7329"/>
      <w:bookmarkStart w:id="37" w:name="_Toc59571387"/>
      <w:r>
        <w:rPr>
          <w:rFonts w:hint="eastAsia" w:ascii="仿宋_GB2312" w:hAnsi="仿宋_GB2312" w:eastAsia="仿宋_GB2312" w:cs="仿宋_GB2312"/>
          <w:b/>
          <w:bCs/>
          <w:color w:val="000000"/>
          <w:sz w:val="28"/>
          <w:szCs w:val="28"/>
        </w:rPr>
        <w:t>面临形势</w:t>
      </w:r>
      <w:r>
        <w:rPr>
          <w:rFonts w:hint="eastAsia" w:ascii="仿宋_GB2312" w:hAnsi="仿宋_GB2312" w:eastAsia="仿宋_GB2312" w:cs="仿宋_GB2312"/>
          <w:color w:val="000000"/>
          <w:sz w:val="28"/>
          <w:szCs w:val="28"/>
          <w:lang w:eastAsia="zh-CN"/>
        </w:rPr>
        <w:t>：</w:t>
      </w:r>
      <w:r>
        <w:rPr>
          <w:rFonts w:hint="eastAsia" w:ascii="仿宋" w:hAnsi="仿宋" w:eastAsia="仿宋" w:cs="仿宋"/>
          <w:color w:val="auto"/>
          <w:sz w:val="28"/>
          <w:szCs w:val="28"/>
          <w:lang w:val="zh-CN"/>
        </w:rPr>
        <w:t>“十四五”时期，是全面建成小康社会后，开启社会主义现代化建设征程的第一个五年，是基本实现社会主义现代化迈进和转型发展的关键时期，是经济从高速增长向高质量发展转型的攻坚期，是深度参与塔城</w:t>
      </w:r>
      <w:r>
        <w:rPr>
          <w:rFonts w:hint="eastAsia" w:ascii="仿宋" w:hAnsi="仿宋" w:eastAsia="仿宋" w:cs="仿宋"/>
          <w:color w:val="auto"/>
          <w:sz w:val="28"/>
          <w:szCs w:val="28"/>
          <w:lang w:val="en-US" w:eastAsia="zh-CN"/>
        </w:rPr>
        <w:t>地区</w:t>
      </w:r>
      <w:r>
        <w:rPr>
          <w:rFonts w:hint="eastAsia" w:ascii="仿宋" w:hAnsi="仿宋" w:eastAsia="仿宋" w:cs="仿宋"/>
          <w:color w:val="auto"/>
          <w:sz w:val="28"/>
          <w:szCs w:val="28"/>
          <w:lang w:val="zh-CN"/>
        </w:rPr>
        <w:t>开发开放试验区建设，加快融入丝绸之路经济带核心区建设的重要机遇期。受世界经济下行和国家经济结构调整的双重影响，矿业经济陷入持续低迷状态。社会资本进入到找矿领域明显下降，财政投入在缩减。矿产资源勘查开发的制约因素增多，增储增产难度加大。矿产资源需求持续增长，资源环境约束进一步加剧、生态环境保护压力持续加大，矿产资源形势更加严峻。</w:t>
      </w:r>
    </w:p>
    <w:bookmarkEnd w:id="34"/>
    <w:bookmarkEnd w:id="35"/>
    <w:bookmarkEnd w:id="36"/>
    <w:bookmarkEnd w:id="37"/>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default" w:ascii="仿宋" w:hAnsi="仿宋" w:eastAsia="仿宋" w:cs="仿宋"/>
          <w:color w:val="auto"/>
          <w:kern w:val="2"/>
          <w:sz w:val="28"/>
          <w:szCs w:val="28"/>
          <w:lang w:val="en-US" w:eastAsia="zh-CN" w:bidi="ar-SA"/>
        </w:rPr>
      </w:pPr>
      <w:bookmarkStart w:id="38" w:name="_Toc9912"/>
      <w:bookmarkStart w:id="39" w:name="_Toc21176"/>
      <w:bookmarkStart w:id="40" w:name="_Toc13265"/>
      <w:r>
        <w:rPr>
          <w:rFonts w:hint="eastAsia" w:ascii="仿宋" w:hAnsi="仿宋" w:eastAsia="仿宋" w:cs="仿宋"/>
          <w:color w:val="auto"/>
          <w:kern w:val="2"/>
          <w:sz w:val="28"/>
          <w:szCs w:val="28"/>
          <w:lang w:val="en-US" w:eastAsia="zh-CN" w:bidi="ar-SA"/>
        </w:rPr>
        <w:t>“十四五”时期，是沙湾市抢抓第三次中央新疆工作座谈会重大历史机遇，用好新一轮西部大开发、深化对口援疆战略、乡村振兴战略实施、新型城镇化发展机遇等重大支持政策，提升发展质量、实现赶超进位的关键五年，面临诸多机遇和优势，具备乘势而上、加快发展的良好基础。抢抓新型城镇化发展契机，推进撤县建市进程，加快城乡融合发展</w:t>
      </w:r>
      <w:bookmarkStart w:id="41" w:name="OLE_LINK13"/>
      <w:r>
        <w:rPr>
          <w:rFonts w:hint="eastAsia" w:ascii="仿宋" w:hAnsi="仿宋" w:eastAsia="仿宋" w:cs="仿宋"/>
          <w:color w:val="auto"/>
          <w:kern w:val="2"/>
          <w:sz w:val="28"/>
          <w:szCs w:val="28"/>
          <w:lang w:val="en-US" w:eastAsia="zh-CN" w:bidi="ar-SA"/>
        </w:rPr>
        <w:t xml:space="preserve">，为沙湾市城镇化建设和工业园区的发展起支撑作用，保证资源的供给。  </w:t>
      </w:r>
    </w:p>
    <w:bookmarkEnd w:id="41"/>
    <w:p>
      <w:pPr>
        <w:pStyle w:val="2"/>
        <w:keepNext w:val="0"/>
        <w:keepLines w:val="0"/>
        <w:pageBreakBefore w:val="0"/>
        <w:widowControl w:val="0"/>
        <w:kinsoku/>
        <w:wordWrap/>
        <w:overflowPunct/>
        <w:topLinePunct w:val="0"/>
        <w:autoSpaceDE/>
        <w:autoSpaceDN/>
        <w:bidi w:val="0"/>
        <w:adjustRightInd/>
        <w:snapToGrid/>
        <w:spacing w:after="0" w:afterLines="0" w:line="500" w:lineRule="exact"/>
        <w:ind w:firstLine="562" w:firstLineChars="200"/>
        <w:jc w:val="both"/>
        <w:textAlignment w:val="auto"/>
        <w:outlineLvl w:val="9"/>
        <w:rPr>
          <w:rFonts w:hint="eastAsia" w:ascii="仿宋" w:hAnsi="仿宋" w:eastAsia="仿宋" w:cs="仿宋"/>
          <w:b w:val="0"/>
          <w:bCs w:val="0"/>
          <w:color w:val="auto"/>
          <w:kern w:val="2"/>
          <w:sz w:val="28"/>
          <w:szCs w:val="28"/>
          <w:lang w:val="en-US" w:eastAsia="zh-CN" w:bidi="ar-SA"/>
        </w:rPr>
      </w:pPr>
      <w:bookmarkStart w:id="42" w:name="_Toc31304"/>
      <w:r>
        <w:rPr>
          <w:rFonts w:hint="eastAsia" w:ascii="仿宋" w:hAnsi="仿宋" w:eastAsia="仿宋" w:cs="仿宋"/>
          <w:b/>
          <w:bCs/>
          <w:kern w:val="2"/>
          <w:sz w:val="28"/>
          <w:szCs w:val="28"/>
          <w:lang w:val="en-US" w:eastAsia="zh-CN" w:bidi="ar-SA"/>
        </w:rPr>
        <w:t>需求分析：</w:t>
      </w:r>
      <w:r>
        <w:rPr>
          <w:rFonts w:hint="eastAsia" w:ascii="仿宋" w:hAnsi="仿宋" w:eastAsia="仿宋" w:cs="仿宋"/>
          <w:b w:val="0"/>
          <w:bCs w:val="0"/>
          <w:color w:val="auto"/>
          <w:kern w:val="2"/>
          <w:sz w:val="28"/>
          <w:szCs w:val="28"/>
          <w:lang w:val="en-US" w:eastAsia="zh-CN" w:bidi="ar-SA"/>
        </w:rPr>
        <w:t>“十四五”期间，随着沙湾撤县设市，对推进城镇化进程，改善城市基础设施，对能源和非常规能源需求进一步扩大，常规能源资源的勘探开发日益紧迫，煤炭、煤层气开采规模结构逐步趋于优化，控制砖瓦用粘土、砖瓦用页岩、建筑用砂等矿产开采，提高资源保障，立足优势产业，突出地域特色，推动产业集群化发展。</w:t>
      </w:r>
    </w:p>
    <w:p>
      <w:pPr>
        <w:keepNext w:val="0"/>
        <w:keepLines w:val="0"/>
        <w:pageBreakBefore w:val="0"/>
        <w:widowControl/>
        <w:kinsoku/>
        <w:wordWrap/>
        <w:overflowPunct/>
        <w:topLinePunct w:val="0"/>
        <w:autoSpaceDE/>
        <w:autoSpaceDN/>
        <w:bidi w:val="0"/>
        <w:adjustRightInd/>
        <w:snapToGrid/>
        <w:spacing w:before="157" w:beforeLines="50" w:line="360" w:lineRule="auto"/>
        <w:ind w:firstLine="640" w:firstLineChars="200"/>
        <w:jc w:val="left"/>
        <w:textAlignment w:val="auto"/>
        <w:outlineLvl w:val="0"/>
        <w:rPr>
          <w:rFonts w:hint="eastAsia" w:ascii="黑体" w:hAnsi="黑体" w:eastAsia="黑体" w:cs="黑体"/>
          <w:sz w:val="32"/>
          <w:szCs w:val="32"/>
          <w:lang w:val="zh-CN"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lang w:val="zh-CN" w:eastAsia="zh-CN"/>
        </w:rPr>
        <w:t>指导原则与目标</w:t>
      </w:r>
      <w:bookmarkEnd w:id="38"/>
      <w:bookmarkEnd w:id="39"/>
      <w:bookmarkEnd w:id="40"/>
      <w:bookmarkEnd w:id="42"/>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b/>
          <w:sz w:val="28"/>
          <w:szCs w:val="28"/>
          <w:lang w:eastAsia="zh-CN"/>
        </w:rPr>
      </w:pPr>
      <w:bookmarkStart w:id="43" w:name="_Toc32563"/>
      <w:bookmarkStart w:id="44" w:name="_Toc10331"/>
      <w:bookmarkStart w:id="45" w:name="_Toc9535"/>
      <w:bookmarkStart w:id="46" w:name="_Toc23601"/>
      <w:bookmarkStart w:id="47" w:name="_Toc2686"/>
      <w:bookmarkStart w:id="48" w:name="_Toc14398"/>
      <w:r>
        <w:rPr>
          <w:rFonts w:hint="eastAsia" w:ascii="仿宋" w:hAnsi="仿宋" w:eastAsia="仿宋" w:cs="仿宋"/>
          <w:b/>
          <w:bCs/>
          <w:sz w:val="28"/>
          <w:szCs w:val="28"/>
        </w:rPr>
        <w:t>（一）指导思想</w:t>
      </w:r>
      <w:bookmarkEnd w:id="43"/>
      <w:bookmarkEnd w:id="44"/>
      <w:bookmarkEnd w:id="45"/>
      <w:bookmarkEnd w:id="46"/>
      <w:bookmarkEnd w:id="47"/>
      <w:bookmarkEnd w:id="48"/>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以习近平新时代中国特色社会主义思想为指导，全面贯彻党的十九大和十九届</w:t>
      </w:r>
      <w:r>
        <w:rPr>
          <w:rFonts w:hint="eastAsia" w:ascii="仿宋" w:hAnsi="仿宋" w:eastAsia="仿宋" w:cs="仿宋"/>
          <w:sz w:val="28"/>
          <w:szCs w:val="28"/>
          <w:lang w:val="en-US" w:eastAsia="zh-CN"/>
        </w:rPr>
        <w:t>历次</w:t>
      </w:r>
      <w:r>
        <w:rPr>
          <w:rFonts w:hint="eastAsia" w:ascii="仿宋" w:hAnsi="仿宋" w:eastAsia="仿宋" w:cs="仿宋"/>
          <w:sz w:val="28"/>
          <w:szCs w:val="28"/>
        </w:rPr>
        <w:t>全会精神和第三次中央新疆工作座谈会精神，深入贯彻落实以习近平同志为核心的党中央治疆方略，</w:t>
      </w:r>
      <w:r>
        <w:rPr>
          <w:rFonts w:hint="eastAsia" w:ascii="仿宋" w:hAnsi="仿宋" w:eastAsia="仿宋" w:cs="仿宋"/>
          <w:sz w:val="28"/>
          <w:szCs w:val="28"/>
          <w:lang w:eastAsia="zh-CN"/>
        </w:rPr>
        <w:t>从</w:t>
      </w:r>
      <w:r>
        <w:rPr>
          <w:rFonts w:hint="eastAsia" w:ascii="仿宋" w:hAnsi="仿宋" w:eastAsia="仿宋" w:cs="仿宋"/>
          <w:sz w:val="28"/>
          <w:szCs w:val="28"/>
          <w:lang w:val="en-US" w:eastAsia="zh-CN"/>
        </w:rPr>
        <w:t>沙湾</w:t>
      </w:r>
      <w:r>
        <w:rPr>
          <w:rFonts w:hint="eastAsia" w:ascii="仿宋" w:hAnsi="仿宋" w:eastAsia="仿宋" w:cs="仿宋"/>
          <w:sz w:val="28"/>
          <w:szCs w:val="28"/>
          <w:lang w:eastAsia="zh-CN"/>
        </w:rPr>
        <w:t>市</w:t>
      </w:r>
      <w:r>
        <w:rPr>
          <w:rFonts w:hint="eastAsia" w:ascii="仿宋" w:hAnsi="仿宋" w:eastAsia="仿宋" w:cs="仿宋"/>
          <w:sz w:val="28"/>
          <w:szCs w:val="28"/>
        </w:rPr>
        <w:t>矿产资源的实际情况出发，以保障资源安全为目标、以转变资源利用方式为主线、以提升矿业发展质量和效益为中心，</w:t>
      </w:r>
      <w:r>
        <w:rPr>
          <w:rFonts w:hint="eastAsia" w:ascii="仿宋_GB2312" w:hAnsi="仿宋_GB2312" w:eastAsia="仿宋_GB2312" w:cs="仿宋_GB2312"/>
          <w:color w:val="000000"/>
          <w:sz w:val="28"/>
          <w:szCs w:val="28"/>
        </w:rPr>
        <w:t>立足新发展阶段、贯彻新发展理念、融入服务新发展格局，</w:t>
      </w:r>
      <w:r>
        <w:rPr>
          <w:rFonts w:hint="eastAsia" w:ascii="仿宋" w:hAnsi="仿宋" w:eastAsia="仿宋" w:cs="仿宋"/>
          <w:sz w:val="28"/>
          <w:szCs w:val="28"/>
        </w:rPr>
        <w:t>按照建设资源节约型和环境友好型社会的要求，</w:t>
      </w:r>
      <w:r>
        <w:rPr>
          <w:rFonts w:hint="eastAsia" w:ascii="仿宋_GB2312" w:hAnsi="仿宋_GB2312" w:eastAsia="仿宋_GB2312" w:cs="仿宋_GB2312"/>
          <w:color w:val="000000"/>
          <w:sz w:val="28"/>
          <w:szCs w:val="28"/>
        </w:rPr>
        <w:t>全面提高资源利用效率，提升矿业开发水平</w:t>
      </w:r>
      <w:r>
        <w:rPr>
          <w:rFonts w:hint="eastAsia" w:ascii="仿宋_GB2312" w:hAnsi="仿宋_GB2312" w:eastAsia="仿宋_GB2312" w:cs="仿宋_GB2312"/>
          <w:color w:val="000000"/>
          <w:sz w:val="28"/>
          <w:szCs w:val="28"/>
          <w:lang w:eastAsia="zh-CN"/>
        </w:rPr>
        <w:t>，</w:t>
      </w:r>
      <w:r>
        <w:rPr>
          <w:rFonts w:hint="eastAsia" w:ascii="仿宋" w:hAnsi="仿宋" w:eastAsia="仿宋" w:cs="仿宋"/>
          <w:sz w:val="28"/>
          <w:szCs w:val="28"/>
        </w:rPr>
        <w:t>为</w:t>
      </w:r>
      <w:r>
        <w:rPr>
          <w:rFonts w:hint="eastAsia" w:ascii="仿宋" w:hAnsi="仿宋" w:eastAsia="仿宋" w:cs="仿宋"/>
          <w:sz w:val="28"/>
          <w:szCs w:val="28"/>
          <w:lang w:val="en-US" w:eastAsia="zh-CN"/>
        </w:rPr>
        <w:t>沙湾市经济</w:t>
      </w:r>
      <w:r>
        <w:rPr>
          <w:rFonts w:hint="eastAsia" w:ascii="仿宋" w:hAnsi="仿宋" w:eastAsia="仿宋" w:cs="仿宋"/>
          <w:sz w:val="28"/>
          <w:szCs w:val="28"/>
        </w:rPr>
        <w:t>建设</w:t>
      </w:r>
      <w:r>
        <w:rPr>
          <w:rFonts w:hint="eastAsia" w:ascii="仿宋" w:hAnsi="仿宋" w:eastAsia="仿宋" w:cs="仿宋"/>
          <w:sz w:val="28"/>
          <w:szCs w:val="28"/>
          <w:lang w:val="en-US" w:eastAsia="zh-CN"/>
        </w:rPr>
        <w:t>提供充足的资源保障</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b/>
          <w:bCs/>
          <w:sz w:val="28"/>
          <w:szCs w:val="28"/>
        </w:rPr>
      </w:pPr>
      <w:bookmarkStart w:id="49" w:name="_Toc17383"/>
      <w:bookmarkStart w:id="50" w:name="_Toc30746"/>
      <w:bookmarkStart w:id="51" w:name="_Toc20598"/>
      <w:bookmarkStart w:id="52" w:name="_Toc18218"/>
      <w:bookmarkStart w:id="53" w:name="_Toc1533"/>
      <w:bookmarkStart w:id="54" w:name="_Toc17396"/>
      <w:bookmarkStart w:id="55" w:name="_Toc634"/>
      <w:r>
        <w:rPr>
          <w:rFonts w:hint="eastAsia" w:ascii="仿宋" w:hAnsi="仿宋" w:eastAsia="仿宋" w:cs="仿宋"/>
          <w:b/>
          <w:bCs/>
          <w:sz w:val="28"/>
          <w:szCs w:val="28"/>
        </w:rPr>
        <w:t>（二）基本原则</w:t>
      </w:r>
      <w:bookmarkEnd w:id="49"/>
      <w:bookmarkEnd w:id="50"/>
      <w:bookmarkEnd w:id="51"/>
      <w:bookmarkEnd w:id="52"/>
      <w:bookmarkEnd w:id="53"/>
      <w:bookmarkEnd w:id="54"/>
      <w:bookmarkEnd w:id="55"/>
    </w:p>
    <w:p>
      <w:pPr>
        <w:pStyle w:val="14"/>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00" w:lineRule="exact"/>
        <w:ind w:firstLine="560" w:firstLineChars="200"/>
        <w:jc w:val="both"/>
        <w:textAlignment w:val="auto"/>
        <w:rPr>
          <w:rFonts w:hint="eastAsia" w:ascii="仿宋" w:hAnsi="仿宋" w:eastAsia="仿宋" w:cs="仿宋"/>
          <w:kern w:val="2"/>
          <w:sz w:val="28"/>
          <w:szCs w:val="28"/>
        </w:rPr>
      </w:pPr>
      <w:r>
        <w:rPr>
          <w:rFonts w:hint="eastAsia" w:ascii="仿宋" w:hAnsi="仿宋" w:eastAsia="仿宋" w:cs="仿宋"/>
          <w:kern w:val="2"/>
          <w:sz w:val="28"/>
          <w:szCs w:val="28"/>
        </w:rPr>
        <w:t>编制规划应综合考虑资源基础、产业经济、环境保护和区域发展等因素，按照“空间范围落地、管控制度落实、政策和措施相结合”方针，建立矿产资源规划空间管制体系，优化矿产资源勘查开发布局结构，并遵循下列原则：</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b/>
          <w:bCs/>
          <w:sz w:val="28"/>
          <w:szCs w:val="28"/>
          <w:lang w:val="en-US" w:eastAsia="zh-CN"/>
        </w:rPr>
        <w:t>推进矿业绿色发展，坚持生态环境可持续的原则。</w:t>
      </w:r>
      <w:r>
        <w:rPr>
          <w:rFonts w:hint="eastAsia" w:ascii="仿宋" w:hAnsi="仿宋" w:eastAsia="仿宋" w:cs="仿宋"/>
          <w:kern w:val="2"/>
          <w:sz w:val="28"/>
          <w:szCs w:val="28"/>
          <w:lang w:val="en-US" w:eastAsia="zh-CN" w:bidi="ar-SA"/>
        </w:rPr>
        <w:t>坚持资源节约和环境保护的基本国策，协调矿产资源勘查开发与生态环境之间的关系，把发展建立在生态安全的基础上，强化生态环保理念，严守生态保护底线，调控矿业开发总量与强度，推动资源利用方式根本转变，大力发展绿色矿业，促进矿产资源高效开发利用和生态环境保护相协调，积极推进生态文明建设。确保矿产资源开发利用与当地的资源承载能力相协调，落实最严格资源管理制度，寻求一条“在保护中发展，在发展中保护”的科学发展新道路。</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b/>
          <w:bCs/>
          <w:sz w:val="28"/>
          <w:szCs w:val="28"/>
          <w:lang w:val="en-US" w:eastAsia="zh-CN"/>
        </w:rPr>
        <w:t>统筹规划、协调发展原则。</w:t>
      </w:r>
      <w:r>
        <w:rPr>
          <w:rFonts w:hint="eastAsia" w:ascii="仿宋" w:hAnsi="仿宋" w:eastAsia="仿宋" w:cs="仿宋"/>
          <w:kern w:val="2"/>
          <w:sz w:val="28"/>
          <w:szCs w:val="28"/>
          <w:lang w:val="en-US" w:eastAsia="zh-CN" w:bidi="ar-SA"/>
        </w:rPr>
        <w:t>调整优化发展布局，加快形成定位清晰、衔接有序的矿业经济发展新格局。统筹生态功能区建设、城市规划建设、矿产资源开发、人与自然和谐发展，建设资源节约型、环境友好型社会，实现当前利益与长远利益，经济效益与社会效益、生态效益相统一。</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b/>
          <w:bCs/>
          <w:sz w:val="28"/>
          <w:szCs w:val="28"/>
          <w:lang w:val="en-US" w:eastAsia="zh-CN"/>
        </w:rPr>
        <w:t>科技创新和科学发展的原则。</w:t>
      </w:r>
      <w:r>
        <w:rPr>
          <w:rFonts w:hint="eastAsia" w:ascii="仿宋" w:hAnsi="仿宋" w:eastAsia="仿宋" w:cs="仿宋"/>
          <w:kern w:val="2"/>
          <w:sz w:val="28"/>
          <w:szCs w:val="28"/>
          <w:lang w:val="en-US" w:eastAsia="zh-CN" w:bidi="ar-SA"/>
        </w:rPr>
        <w:t>始终把推动科学发展作为解决一切问题的基础，加快转变发展方式，坚持在科学发展过程中解决资源利用环境保护问题。发展循环经济，坚持开发节约并重，节约优先的要求，推进矿业经济高起点、高水平、高效益跨越式发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b/>
          <w:bCs/>
          <w:sz w:val="28"/>
          <w:szCs w:val="28"/>
          <w:lang w:val="en-US" w:eastAsia="zh-CN"/>
        </w:rPr>
        <w:t>市场导向原则。</w:t>
      </w:r>
      <w:r>
        <w:rPr>
          <w:rFonts w:hint="eastAsia" w:ascii="仿宋" w:hAnsi="仿宋" w:eastAsia="仿宋" w:cs="仿宋"/>
          <w:kern w:val="2"/>
          <w:sz w:val="28"/>
          <w:szCs w:val="28"/>
          <w:lang w:val="en-US" w:eastAsia="zh-CN" w:bidi="ar-SA"/>
        </w:rPr>
        <w:t>按照市场经济规则，优化资源配置，调整产品结构和产业布局，依据矿产资源的特点，统筹规划、发挥优势，合理布局、扬长避短、突出重点，分工合作，协调发展。积极推进优势矿产资源开发利用，形成矿业经济发展新格局。</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z w:val="28"/>
          <w:szCs w:val="28"/>
        </w:rPr>
      </w:pPr>
      <w:r>
        <w:rPr>
          <w:rFonts w:hint="eastAsia" w:ascii="仿宋" w:hAnsi="仿宋" w:eastAsia="仿宋" w:cs="仿宋"/>
          <w:b/>
          <w:bCs/>
          <w:sz w:val="28"/>
          <w:szCs w:val="28"/>
          <w:lang w:val="en-US" w:eastAsia="zh-CN"/>
        </w:rPr>
        <w:t>对内对外开放原则。</w:t>
      </w:r>
      <w:r>
        <w:rPr>
          <w:rFonts w:hint="eastAsia" w:ascii="仿宋" w:hAnsi="仿宋" w:eastAsia="仿宋" w:cs="仿宋"/>
          <w:color w:val="000000"/>
          <w:spacing w:val="-6"/>
          <w:sz w:val="28"/>
          <w:szCs w:val="28"/>
          <w:lang w:eastAsia="zh-CN"/>
        </w:rPr>
        <w:t>充分</w:t>
      </w:r>
      <w:r>
        <w:rPr>
          <w:rFonts w:hint="eastAsia" w:ascii="仿宋" w:hAnsi="仿宋" w:eastAsia="仿宋" w:cs="仿宋"/>
          <w:color w:val="000000"/>
          <w:spacing w:val="-6"/>
          <w:sz w:val="28"/>
          <w:szCs w:val="28"/>
        </w:rPr>
        <w:t>发挥</w:t>
      </w:r>
      <w:r>
        <w:rPr>
          <w:rFonts w:hint="eastAsia" w:ascii="仿宋" w:hAnsi="仿宋" w:eastAsia="仿宋" w:cs="仿宋"/>
          <w:color w:val="000000"/>
          <w:spacing w:val="-6"/>
          <w:sz w:val="28"/>
          <w:szCs w:val="28"/>
          <w:lang w:val="en-US" w:eastAsia="zh-CN"/>
        </w:rPr>
        <w:t>沙湾市处于古丝绸之路的地</w:t>
      </w:r>
      <w:r>
        <w:rPr>
          <w:rFonts w:hint="eastAsia" w:ascii="仿宋" w:hAnsi="仿宋" w:eastAsia="仿宋" w:cs="仿宋"/>
          <w:color w:val="000000"/>
          <w:spacing w:val="-6"/>
          <w:sz w:val="28"/>
          <w:szCs w:val="28"/>
        </w:rPr>
        <w:t>位优势，</w:t>
      </w:r>
      <w:r>
        <w:rPr>
          <w:rFonts w:hint="eastAsia" w:ascii="仿宋" w:hAnsi="仿宋" w:eastAsia="仿宋" w:cs="仿宋"/>
          <w:color w:val="000000"/>
          <w:spacing w:val="-6"/>
          <w:sz w:val="28"/>
          <w:szCs w:val="28"/>
          <w:lang w:val="en-US" w:eastAsia="zh-CN"/>
        </w:rPr>
        <w:t>进行招商引资</w:t>
      </w:r>
      <w:r>
        <w:rPr>
          <w:rFonts w:hint="eastAsia" w:ascii="仿宋" w:hAnsi="仿宋" w:eastAsia="仿宋" w:cs="仿宋"/>
          <w:color w:val="000000"/>
          <w:spacing w:val="-6"/>
          <w:sz w:val="28"/>
          <w:szCs w:val="28"/>
        </w:rPr>
        <w:t>，促进矿业</w:t>
      </w:r>
      <w:r>
        <w:rPr>
          <w:rFonts w:hint="eastAsia" w:ascii="仿宋" w:hAnsi="仿宋" w:eastAsia="仿宋" w:cs="仿宋"/>
          <w:color w:val="000000"/>
          <w:spacing w:val="-6"/>
          <w:sz w:val="28"/>
          <w:szCs w:val="28"/>
          <w:lang w:eastAsia="zh-CN"/>
        </w:rPr>
        <w:t>高质量</w:t>
      </w:r>
      <w:r>
        <w:rPr>
          <w:rFonts w:hint="eastAsia" w:ascii="仿宋" w:hAnsi="仿宋" w:eastAsia="仿宋" w:cs="仿宋"/>
          <w:color w:val="000000"/>
          <w:spacing w:val="-6"/>
          <w:sz w:val="28"/>
          <w:szCs w:val="28"/>
        </w:rPr>
        <w:t>发展</w:t>
      </w:r>
      <w:r>
        <w:rPr>
          <w:rFonts w:hint="eastAsia" w:ascii="仿宋" w:hAnsi="仿宋" w:eastAsia="仿宋" w:cs="仿宋"/>
          <w:color w:val="000000"/>
          <w:spacing w:val="-6"/>
          <w:sz w:val="28"/>
          <w:szCs w:val="28"/>
          <w:lang w:eastAsia="zh-CN"/>
        </w:rPr>
        <w:t>，加大矿产资源领域对外开放，扶持、鼓励和引导有实力的企业“走出去”，积极探索矿产资源合作开发的多种方式。</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kern w:val="2"/>
          <w:sz w:val="28"/>
          <w:szCs w:val="28"/>
          <w:lang w:val="en-US" w:eastAsia="zh-CN" w:bidi="ar-SA"/>
        </w:rPr>
      </w:pPr>
      <w:r>
        <w:rPr>
          <w:rFonts w:hint="eastAsia" w:ascii="仿宋" w:hAnsi="仿宋" w:eastAsia="仿宋" w:cs="仿宋"/>
          <w:b/>
          <w:bCs/>
          <w:sz w:val="28"/>
          <w:szCs w:val="28"/>
          <w:lang w:val="en-US" w:eastAsia="zh-CN"/>
        </w:rPr>
        <w:t>依法管理的原则。</w:t>
      </w:r>
      <w:r>
        <w:rPr>
          <w:rFonts w:hint="eastAsia" w:ascii="仿宋" w:hAnsi="仿宋" w:eastAsia="仿宋" w:cs="仿宋"/>
          <w:kern w:val="2"/>
          <w:sz w:val="28"/>
          <w:szCs w:val="28"/>
          <w:lang w:val="en-US" w:eastAsia="zh-CN" w:bidi="ar-SA"/>
        </w:rPr>
        <w:t>按照自治区、塔城地区矿业权出让审批登记工作实施方案（试行）等各相关制度要求，依法、严格、规范矿产资源管理，促进沙湾市矿产资源勘查开发及经济社会持续健康发展。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b w:val="0"/>
          <w:bCs w:val="0"/>
          <w:color w:val="000000"/>
          <w:sz w:val="28"/>
          <w:szCs w:val="28"/>
          <w:lang w:eastAsia="zh-CN"/>
        </w:rPr>
      </w:pPr>
      <w:r>
        <w:rPr>
          <w:rFonts w:hint="eastAsia" w:ascii="仿宋" w:hAnsi="仿宋" w:eastAsia="仿宋" w:cs="仿宋"/>
          <w:b/>
          <w:bCs/>
          <w:color w:val="auto"/>
          <w:sz w:val="28"/>
          <w:szCs w:val="28"/>
        </w:rPr>
        <w:t>资源惠民、助力乡村振兴原则</w:t>
      </w:r>
      <w:r>
        <w:rPr>
          <w:rFonts w:hint="eastAsia" w:ascii="仿宋" w:hAnsi="仿宋" w:eastAsia="仿宋" w:cs="仿宋"/>
          <w:b/>
          <w:bCs/>
          <w:color w:val="000000"/>
          <w:sz w:val="28"/>
          <w:szCs w:val="28"/>
          <w:lang w:eastAsia="zh-CN"/>
        </w:rPr>
        <w:t>。</w:t>
      </w:r>
      <w:bookmarkStart w:id="56" w:name="_Toc9197"/>
      <w:bookmarkStart w:id="57" w:name="_Toc17499"/>
      <w:bookmarkStart w:id="58" w:name="_Toc11080"/>
      <w:bookmarkStart w:id="59" w:name="_Toc24458"/>
      <w:bookmarkStart w:id="60" w:name="_Toc16424"/>
      <w:r>
        <w:rPr>
          <w:rFonts w:hint="eastAsia" w:ascii="仿宋" w:hAnsi="仿宋" w:eastAsia="仿宋" w:cs="仿宋"/>
          <w:b w:val="0"/>
          <w:bCs w:val="0"/>
          <w:color w:val="000000"/>
          <w:sz w:val="28"/>
          <w:szCs w:val="28"/>
          <w:lang w:eastAsia="zh-CN"/>
        </w:rPr>
        <w:t>因地制宜，发挥矿产资源在乡村振兴中的支撑作用，巩固脱贫攻坚成果，拓宽矿产资源利民惠民渠道。推动矿山企业履行社会责任，拓宽矿产资源利民惠民渠道，实现地方、企业、矿区群众资源开发收益共享，使人民共享发展成果。将矿产资源开发利用与乡村振兴、惠民工程相结合，带动当地就业，加快资源优势转化为经济优势，服务区域发展和民生改善。</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b/>
          <w:bCs/>
          <w:sz w:val="28"/>
          <w:szCs w:val="28"/>
          <w:lang w:val="en-US" w:eastAsia="zh-CN"/>
        </w:rPr>
      </w:pPr>
      <w:bookmarkStart w:id="61" w:name="_Toc15325"/>
      <w:r>
        <w:rPr>
          <w:rFonts w:hint="eastAsia" w:ascii="仿宋" w:hAnsi="仿宋" w:eastAsia="仿宋" w:cs="仿宋"/>
          <w:b/>
          <w:bCs/>
          <w:sz w:val="28"/>
          <w:szCs w:val="28"/>
          <w:lang w:val="en-US" w:eastAsia="zh-CN"/>
        </w:rPr>
        <w:t>（三）规划目标</w:t>
      </w:r>
      <w:bookmarkEnd w:id="56"/>
      <w:bookmarkEnd w:id="57"/>
      <w:bookmarkEnd w:id="58"/>
      <w:bookmarkEnd w:id="59"/>
      <w:bookmarkEnd w:id="60"/>
      <w:bookmarkEnd w:id="61"/>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kern w:val="2"/>
          <w:sz w:val="28"/>
          <w:szCs w:val="28"/>
          <w:lang w:val="en-US" w:eastAsia="zh-CN" w:bidi="ar-SA"/>
        </w:rPr>
      </w:pPr>
      <w:bookmarkStart w:id="62" w:name="_Toc497606484"/>
      <w:bookmarkStart w:id="63" w:name="_Toc512425974"/>
      <w:bookmarkStart w:id="64" w:name="_Toc479759186"/>
      <w:bookmarkStart w:id="65" w:name="_Toc58666797"/>
      <w:r>
        <w:rPr>
          <w:rFonts w:hint="eastAsia" w:ascii="仿宋" w:hAnsi="仿宋" w:eastAsia="仿宋" w:cs="仿宋"/>
          <w:b/>
          <w:bCs/>
          <w:sz w:val="28"/>
          <w:szCs w:val="28"/>
        </w:rPr>
        <w:t>总体目标</w:t>
      </w:r>
      <w:bookmarkEnd w:id="62"/>
      <w:bookmarkEnd w:id="63"/>
      <w:bookmarkEnd w:id="64"/>
      <w:bookmarkEnd w:id="65"/>
      <w:r>
        <w:rPr>
          <w:rFonts w:hint="eastAsia" w:ascii="仿宋" w:hAnsi="仿宋" w:eastAsia="仿宋" w:cs="仿宋"/>
          <w:b/>
          <w:bCs/>
          <w:sz w:val="28"/>
          <w:szCs w:val="28"/>
          <w:lang w:eastAsia="zh-CN"/>
        </w:rPr>
        <w:t>：</w:t>
      </w:r>
      <w:r>
        <w:rPr>
          <w:rFonts w:hint="eastAsia" w:ascii="仿宋" w:hAnsi="仿宋" w:eastAsia="仿宋" w:cs="仿宋"/>
          <w:kern w:val="2"/>
          <w:sz w:val="28"/>
          <w:szCs w:val="28"/>
          <w:lang w:val="en-US" w:eastAsia="zh-CN" w:bidi="ar-SA"/>
        </w:rPr>
        <w:t>到2025年，国家战略性和自治区优势矿产资源安全保障能力明显提高,市权限内的主要非金属矿产资源量稳步增长，矿产资源勘查开发利用与保护布局进一步优化，资源节约集约和高效利用水平进一步提升，矿业发展质量显著提升，绿色矿业发展全面推进，基本形成矿产资源勘查开发与生态环境保护协调发展新格局。</w:t>
      </w:r>
    </w:p>
    <w:tbl>
      <w:tblPr>
        <w:tblStyle w:val="16"/>
        <w:tblW w:w="85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026"/>
        <w:gridCol w:w="2013"/>
        <w:gridCol w:w="1472"/>
        <w:gridCol w:w="1872"/>
        <w:gridCol w:w="1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8507" w:type="dxa"/>
            <w:gridSpan w:val="6"/>
            <w:shd w:val="clear" w:color="auto" w:fill="D9D9D9"/>
            <w:noWrap w:val="0"/>
            <w:vAlign w:val="center"/>
          </w:tcPr>
          <w:p>
            <w:pPr>
              <w:widowControl/>
              <w:adjustRightInd w:val="0"/>
              <w:snapToGrid w:val="0"/>
              <w:spacing w:line="300" w:lineRule="exact"/>
              <w:jc w:val="center"/>
              <w:rPr>
                <w:rFonts w:hint="eastAsia" w:ascii="仿宋" w:hAnsi="仿宋" w:eastAsia="仿宋" w:cs="仿宋"/>
                <w:b/>
                <w:bCs/>
                <w:color w:val="000000"/>
                <w:kern w:val="0"/>
                <w:sz w:val="21"/>
                <w:szCs w:val="21"/>
              </w:rPr>
            </w:pPr>
            <w:r>
              <w:rPr>
                <w:rFonts w:hint="eastAsia" w:ascii="仿宋" w:hAnsi="仿宋" w:eastAsia="仿宋" w:cs="仿宋"/>
                <w:b/>
                <w:color w:val="000000"/>
                <w:kern w:val="0"/>
                <w:sz w:val="21"/>
                <w:szCs w:val="21"/>
              </w:rPr>
              <w:t>专栏</w:t>
            </w:r>
            <w:r>
              <w:rPr>
                <w:rFonts w:hint="eastAsia" w:ascii="仿宋" w:hAnsi="仿宋" w:eastAsia="仿宋" w:cs="仿宋"/>
                <w:b/>
                <w:color w:val="000000"/>
                <w:kern w:val="0"/>
                <w:sz w:val="21"/>
                <w:szCs w:val="21"/>
                <w:lang w:val="en-US" w:eastAsia="zh-CN"/>
              </w:rPr>
              <w:t>9</w:t>
            </w:r>
            <w:r>
              <w:rPr>
                <w:rFonts w:hint="eastAsia" w:ascii="仿宋" w:hAnsi="仿宋" w:eastAsia="仿宋" w:cs="仿宋"/>
                <w:b/>
                <w:color w:val="000000"/>
                <w:kern w:val="0"/>
                <w:sz w:val="21"/>
                <w:szCs w:val="21"/>
              </w:rPr>
              <w:t xml:space="preserve">  </w:t>
            </w:r>
            <w:r>
              <w:rPr>
                <w:rFonts w:hint="eastAsia" w:ascii="仿宋" w:hAnsi="仿宋" w:eastAsia="仿宋" w:cs="仿宋"/>
                <w:b/>
                <w:color w:val="000000"/>
                <w:kern w:val="0"/>
                <w:sz w:val="21"/>
                <w:szCs w:val="21"/>
                <w:lang w:val="en-US" w:eastAsia="zh-CN"/>
              </w:rPr>
              <w:t>沙湾市</w:t>
            </w:r>
            <w:r>
              <w:rPr>
                <w:rFonts w:hint="eastAsia" w:ascii="仿宋" w:hAnsi="仿宋" w:eastAsia="仿宋" w:cs="仿宋"/>
                <w:b/>
                <w:color w:val="000000"/>
                <w:kern w:val="0"/>
                <w:sz w:val="21"/>
                <w:szCs w:val="21"/>
              </w:rPr>
              <w:t>矿产资源规划主要目标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931" w:type="dxa"/>
            <w:noWrap w:val="0"/>
            <w:vAlign w:val="center"/>
          </w:tcPr>
          <w:p>
            <w:pPr>
              <w:widowControl/>
              <w:adjustRightInd w:val="0"/>
              <w:snapToGrid w:val="0"/>
              <w:spacing w:line="30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类别</w:t>
            </w: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指标名称</w:t>
            </w:r>
          </w:p>
        </w:tc>
        <w:tc>
          <w:tcPr>
            <w:tcW w:w="1472" w:type="dxa"/>
            <w:noWrap w:val="0"/>
            <w:vAlign w:val="center"/>
          </w:tcPr>
          <w:p>
            <w:pPr>
              <w:widowControl/>
              <w:adjustRightInd w:val="0"/>
              <w:snapToGrid w:val="0"/>
              <w:spacing w:line="30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单位</w:t>
            </w:r>
          </w:p>
        </w:tc>
        <w:tc>
          <w:tcPr>
            <w:tcW w:w="1872" w:type="dxa"/>
            <w:noWrap w:val="0"/>
            <w:vAlign w:val="center"/>
          </w:tcPr>
          <w:p>
            <w:pPr>
              <w:widowControl/>
              <w:adjustRightInd w:val="0"/>
              <w:snapToGrid w:val="0"/>
              <w:spacing w:line="30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规划目标</w:t>
            </w:r>
          </w:p>
        </w:tc>
        <w:tc>
          <w:tcPr>
            <w:tcW w:w="1193" w:type="dxa"/>
            <w:noWrap w:val="0"/>
            <w:vAlign w:val="center"/>
          </w:tcPr>
          <w:p>
            <w:pPr>
              <w:widowControl/>
              <w:adjustRightInd w:val="0"/>
              <w:snapToGrid w:val="0"/>
              <w:spacing w:line="300" w:lineRule="exact"/>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指标属性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基础</w:t>
            </w:r>
          </w:p>
          <w:p>
            <w:pPr>
              <w:widowControl/>
              <w:adjustRightInd w:val="0"/>
              <w:snapToGrid w:val="0"/>
              <w:spacing w:line="300" w:lineRule="exact"/>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地质</w:t>
            </w:r>
          </w:p>
          <w:p>
            <w:pPr>
              <w:widowControl/>
              <w:adjustRightInd w:val="0"/>
              <w:snapToGrid w:val="0"/>
              <w:spacing w:line="300" w:lineRule="exact"/>
              <w:jc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调查</w:t>
            </w: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1:5-1:10万水文环境地质调查</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平方千米</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1000</w:t>
            </w:r>
          </w:p>
        </w:tc>
        <w:tc>
          <w:tcPr>
            <w:tcW w:w="1193"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highlight w:val="none"/>
              </w:rPr>
            </w:pP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1:5万土地质量地球化学调查</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平方千米</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400</w:t>
            </w:r>
          </w:p>
        </w:tc>
        <w:tc>
          <w:tcPr>
            <w:tcW w:w="1193"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highlight w:val="none"/>
              </w:rPr>
            </w:pP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旅游地质资源调查</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处</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3</w:t>
            </w:r>
          </w:p>
        </w:tc>
        <w:tc>
          <w:tcPr>
            <w:tcW w:w="1193"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矿产</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资源</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勘查</w:t>
            </w:r>
          </w:p>
        </w:tc>
        <w:tc>
          <w:tcPr>
            <w:tcW w:w="1026"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新增</w:t>
            </w:r>
          </w:p>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储量</w:t>
            </w:r>
          </w:p>
        </w:tc>
        <w:tc>
          <w:tcPr>
            <w:tcW w:w="2013"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煤层气</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lang w:val="en-US" w:eastAsia="zh-CN"/>
              </w:rPr>
              <w:t>万</w:t>
            </w:r>
            <w:r>
              <w:rPr>
                <w:rFonts w:hint="eastAsia" w:ascii="仿宋" w:hAnsi="仿宋" w:eastAsia="仿宋" w:cs="仿宋"/>
                <w:color w:val="auto"/>
                <w:sz w:val="21"/>
                <w:szCs w:val="21"/>
                <w:highlight w:val="none"/>
              </w:rPr>
              <w:t>立方米</w:t>
            </w:r>
          </w:p>
        </w:tc>
        <w:tc>
          <w:tcPr>
            <w:tcW w:w="1872" w:type="dxa"/>
            <w:noWrap w:val="0"/>
            <w:vAlign w:val="center"/>
          </w:tcPr>
          <w:p>
            <w:pPr>
              <w:widowControl/>
              <w:adjustRightInd w:val="0"/>
              <w:snapToGrid w:val="0"/>
              <w:spacing w:line="300" w:lineRule="exact"/>
              <w:jc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 xml:space="preserve">1000          </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矿产</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资源</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开发</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利用</w:t>
            </w:r>
          </w:p>
        </w:tc>
        <w:tc>
          <w:tcPr>
            <w:tcW w:w="1026"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采矿</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权数</w:t>
            </w:r>
          </w:p>
        </w:tc>
        <w:tc>
          <w:tcPr>
            <w:tcW w:w="2013"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总数</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个</w:t>
            </w:r>
          </w:p>
        </w:tc>
        <w:tc>
          <w:tcPr>
            <w:tcW w:w="1872" w:type="dxa"/>
            <w:noWrap w:val="0"/>
            <w:vAlign w:val="center"/>
          </w:tcPr>
          <w:p>
            <w:pPr>
              <w:jc w:val="center"/>
              <w:rPr>
                <w:rFonts w:hint="default" w:ascii="仿宋" w:hAnsi="仿宋" w:eastAsia="仿宋" w:cs="仿宋"/>
                <w:color w:val="auto"/>
                <w:sz w:val="21"/>
                <w:szCs w:val="21"/>
                <w:lang w:val="en-US" w:eastAsia="zh-CN"/>
              </w:rPr>
            </w:pPr>
            <w:r>
              <w:rPr>
                <w:rFonts w:hint="eastAsia" w:ascii="宋体" w:hAnsi="宋体" w:eastAsia="宋体" w:cs="宋体"/>
                <w:color w:val="000000"/>
                <w:sz w:val="21"/>
                <w:szCs w:val="21"/>
              </w:rPr>
              <w:t>≤</w:t>
            </w:r>
            <w:r>
              <w:rPr>
                <w:rFonts w:hint="eastAsia" w:ascii="仿宋" w:hAnsi="仿宋" w:eastAsia="仿宋" w:cs="仿宋"/>
                <w:color w:val="auto"/>
                <w:sz w:val="21"/>
                <w:szCs w:val="21"/>
                <w:lang w:val="en-US" w:eastAsia="zh-CN"/>
              </w:rPr>
              <w:t>50</w:t>
            </w:r>
          </w:p>
        </w:tc>
        <w:tc>
          <w:tcPr>
            <w:tcW w:w="1193"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建筑用砂石土</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个</w:t>
            </w:r>
          </w:p>
        </w:tc>
        <w:tc>
          <w:tcPr>
            <w:tcW w:w="1872" w:type="dxa"/>
            <w:noWrap w:val="0"/>
            <w:vAlign w:val="center"/>
          </w:tcPr>
          <w:p>
            <w:pPr>
              <w:jc w:val="center"/>
              <w:rPr>
                <w:rFonts w:hint="eastAsia" w:ascii="仿宋" w:hAnsi="仿宋" w:eastAsia="仿宋" w:cs="仿宋"/>
                <w:color w:val="auto"/>
                <w:sz w:val="21"/>
                <w:szCs w:val="21"/>
                <w:lang w:val="en-US" w:eastAsia="zh-CN"/>
              </w:rPr>
            </w:pPr>
            <w:r>
              <w:rPr>
                <w:rFonts w:hint="eastAsia" w:ascii="宋体" w:hAnsi="宋体" w:eastAsia="宋体" w:cs="宋体"/>
                <w:color w:val="000000"/>
                <w:sz w:val="21"/>
                <w:szCs w:val="21"/>
              </w:rPr>
              <w:t>≤</w:t>
            </w:r>
            <w:r>
              <w:rPr>
                <w:rFonts w:hint="eastAsia" w:ascii="仿宋" w:hAnsi="仿宋" w:eastAsia="仿宋" w:cs="仿宋"/>
                <w:color w:val="auto"/>
                <w:sz w:val="21"/>
                <w:szCs w:val="21"/>
                <w:lang w:val="en-US" w:eastAsia="zh-CN"/>
              </w:rPr>
              <w:t>25</w:t>
            </w:r>
          </w:p>
        </w:tc>
        <w:tc>
          <w:tcPr>
            <w:tcW w:w="1193"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lang w:eastAsia="zh-CN"/>
              </w:rPr>
            </w:pPr>
            <w:r>
              <w:rPr>
                <w:rFonts w:hint="eastAsia"/>
                <w:lang w:eastAsia="zh-CN"/>
              </w:rPr>
              <w:t>1</w:t>
            </w:r>
          </w:p>
          <w:p>
            <w:pPr>
              <w:pStyle w:val="3"/>
              <w:rPr>
                <w:rFonts w:hint="eastAsia"/>
                <w:lang w:eastAsia="zh-CN"/>
              </w:rPr>
            </w:pPr>
          </w:p>
        </w:tc>
        <w:tc>
          <w:tcPr>
            <w:tcW w:w="1026"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开采</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总</w:t>
            </w:r>
            <w:r>
              <w:rPr>
                <w:rFonts w:hint="eastAsia" w:ascii="仿宋" w:hAnsi="仿宋" w:eastAsia="仿宋" w:cs="仿宋"/>
                <w:color w:val="000000"/>
                <w:kern w:val="0"/>
                <w:sz w:val="21"/>
                <w:szCs w:val="21"/>
              </w:rPr>
              <w:t>量</w:t>
            </w: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煤炭</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zh-CN"/>
              </w:rPr>
              <w:t>万吨</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rPr>
              <w:t>21</w:t>
            </w:r>
            <w:r>
              <w:rPr>
                <w:rFonts w:hint="eastAsia" w:ascii="仿宋" w:hAnsi="仿宋" w:eastAsia="仿宋" w:cs="仿宋"/>
                <w:color w:val="auto"/>
                <w:kern w:val="0"/>
                <w:sz w:val="21"/>
                <w:szCs w:val="21"/>
              </w:rPr>
              <w:t>00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建筑用砂</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万</w:t>
            </w:r>
            <w:r>
              <w:rPr>
                <w:rFonts w:hint="eastAsia" w:ascii="仿宋" w:hAnsi="仿宋" w:eastAsia="仿宋" w:cs="仿宋"/>
                <w:color w:val="000000"/>
                <w:kern w:val="0"/>
                <w:sz w:val="21"/>
                <w:szCs w:val="21"/>
              </w:rPr>
              <w:t>立方米</w:t>
            </w:r>
          </w:p>
        </w:tc>
        <w:tc>
          <w:tcPr>
            <w:tcW w:w="1872" w:type="dxa"/>
            <w:noWrap w:val="0"/>
            <w:vAlign w:val="center"/>
          </w:tcPr>
          <w:p>
            <w:pPr>
              <w:widowControl/>
              <w:adjustRightInd w:val="0"/>
              <w:snapToGrid w:val="0"/>
              <w:spacing w:line="300" w:lineRule="exact"/>
              <w:jc w:val="center"/>
              <w:rPr>
                <w:rFonts w:hint="default"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400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砖瓦用粘土</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万</w:t>
            </w:r>
            <w:r>
              <w:rPr>
                <w:rFonts w:hint="eastAsia" w:ascii="仿宋" w:hAnsi="仿宋" w:eastAsia="仿宋" w:cs="仿宋"/>
                <w:color w:val="000000"/>
                <w:kern w:val="0"/>
                <w:sz w:val="21"/>
                <w:szCs w:val="21"/>
              </w:rPr>
              <w:t>立方米</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50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建筑用玄武岩</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万</w:t>
            </w:r>
            <w:r>
              <w:rPr>
                <w:rFonts w:hint="eastAsia" w:ascii="仿宋" w:hAnsi="仿宋" w:eastAsia="仿宋" w:cs="仿宋"/>
                <w:color w:val="000000"/>
                <w:kern w:val="0"/>
                <w:sz w:val="21"/>
                <w:szCs w:val="21"/>
              </w:rPr>
              <w:t>立方米</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75</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石灰岩</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万吨</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200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砖瓦用页岩</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万吨</w:t>
            </w:r>
          </w:p>
        </w:tc>
        <w:tc>
          <w:tcPr>
            <w:tcW w:w="18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30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玉石</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吨</w:t>
            </w:r>
          </w:p>
        </w:tc>
        <w:tc>
          <w:tcPr>
            <w:tcW w:w="1872" w:type="dxa"/>
            <w:noWrap w:val="0"/>
            <w:vAlign w:val="bottom"/>
          </w:tcPr>
          <w:p>
            <w:pPr>
              <w:widowControl/>
              <w:adjustRightInd w:val="0"/>
              <w:snapToGrid w:val="0"/>
              <w:spacing w:line="300" w:lineRule="exact"/>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rPr>
              <w:t>30</w:t>
            </w:r>
            <w:r>
              <w:rPr>
                <w:rFonts w:hint="eastAsia" w:ascii="仿宋" w:hAnsi="仿宋" w:eastAsia="仿宋" w:cs="仿宋"/>
                <w:color w:val="auto"/>
                <w:kern w:val="0"/>
                <w:sz w:val="21"/>
                <w:szCs w:val="21"/>
                <w:lang w:val="en-US" w:eastAsia="zh-CN"/>
              </w:rPr>
              <w:t>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固体矿山“三率”水平达标率</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p>
        </w:tc>
        <w:tc>
          <w:tcPr>
            <w:tcW w:w="1872" w:type="dxa"/>
            <w:noWrap w:val="0"/>
            <w:vAlign w:val="center"/>
          </w:tcPr>
          <w:p>
            <w:pPr>
              <w:jc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100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矿业产值</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亿元</w:t>
            </w:r>
          </w:p>
        </w:tc>
        <w:tc>
          <w:tcPr>
            <w:tcW w:w="1872" w:type="dxa"/>
            <w:noWrap w:val="0"/>
            <w:vAlign w:val="center"/>
          </w:tcPr>
          <w:p>
            <w:pPr>
              <w:jc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5.1</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绿色</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发展</w:t>
            </w:r>
          </w:p>
        </w:tc>
        <w:tc>
          <w:tcPr>
            <w:tcW w:w="1026"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绿色</w:t>
            </w:r>
          </w:p>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矿山</w:t>
            </w:r>
          </w:p>
        </w:tc>
        <w:tc>
          <w:tcPr>
            <w:tcW w:w="201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新建矿山</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p>
        </w:tc>
        <w:tc>
          <w:tcPr>
            <w:tcW w:w="1872" w:type="dxa"/>
            <w:noWrap w:val="0"/>
            <w:vAlign w:val="center"/>
          </w:tcPr>
          <w:p>
            <w:pPr>
              <w:jc w:val="center"/>
              <w:rPr>
                <w:rFonts w:hint="eastAsia" w:ascii="仿宋" w:hAnsi="仿宋" w:eastAsia="仿宋" w:cs="仿宋"/>
                <w:sz w:val="21"/>
                <w:szCs w:val="21"/>
              </w:rPr>
            </w:pPr>
            <w:r>
              <w:rPr>
                <w:rFonts w:hint="eastAsia" w:ascii="仿宋" w:hAnsi="仿宋" w:eastAsia="仿宋" w:cs="仿宋"/>
                <w:sz w:val="21"/>
                <w:szCs w:val="21"/>
              </w:rPr>
              <w:t>100</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1026"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2013" w:type="dxa"/>
            <w:vMerge w:val="restart"/>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已建矿山</w:t>
            </w:r>
          </w:p>
        </w:tc>
        <w:tc>
          <w:tcPr>
            <w:tcW w:w="1472" w:type="dxa"/>
            <w:vMerge w:val="restart"/>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w:t>
            </w:r>
          </w:p>
        </w:tc>
        <w:tc>
          <w:tcPr>
            <w:tcW w:w="1872" w:type="dxa"/>
            <w:noWrap w:val="0"/>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大型≥40</w:t>
            </w:r>
          </w:p>
        </w:tc>
        <w:tc>
          <w:tcPr>
            <w:tcW w:w="1193" w:type="dxa"/>
            <w:vMerge w:val="restart"/>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r>
              <w:rPr>
                <w:rFonts w:hint="eastAsia" w:ascii="仿宋" w:hAnsi="仿宋" w:eastAsia="仿宋" w:cs="仿宋"/>
                <w:color w:val="auto"/>
                <w:kern w:val="0"/>
                <w:sz w:val="21"/>
                <w:szCs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31" w:type="dxa"/>
            <w:vMerge w:val="continue"/>
            <w:noWrap w:val="0"/>
            <w:vAlign w:val="center"/>
          </w:tcPr>
          <w:p>
            <w:pPr>
              <w:jc w:val="center"/>
            </w:pPr>
          </w:p>
        </w:tc>
        <w:tc>
          <w:tcPr>
            <w:tcW w:w="1026" w:type="dxa"/>
            <w:vMerge w:val="continue"/>
            <w:noWrap w:val="0"/>
            <w:vAlign w:val="center"/>
          </w:tcPr>
          <w:p>
            <w:pPr>
              <w:jc w:val="center"/>
            </w:pPr>
          </w:p>
        </w:tc>
        <w:tc>
          <w:tcPr>
            <w:tcW w:w="2013" w:type="dxa"/>
            <w:vMerge w:val="continue"/>
            <w:noWrap w:val="0"/>
            <w:vAlign w:val="center"/>
          </w:tcPr>
          <w:p>
            <w:pPr>
              <w:jc w:val="center"/>
            </w:pPr>
          </w:p>
        </w:tc>
        <w:tc>
          <w:tcPr>
            <w:tcW w:w="1472" w:type="dxa"/>
            <w:vMerge w:val="continue"/>
            <w:noWrap w:val="0"/>
            <w:vAlign w:val="center"/>
          </w:tcPr>
          <w:p>
            <w:pPr>
              <w:jc w:val="center"/>
            </w:pPr>
          </w:p>
        </w:tc>
        <w:tc>
          <w:tcPr>
            <w:tcW w:w="1872" w:type="dxa"/>
            <w:noWrap w:val="0"/>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中型≥40</w:t>
            </w:r>
          </w:p>
        </w:tc>
        <w:tc>
          <w:tcPr>
            <w:tcW w:w="1193" w:type="dxa"/>
            <w:vMerge w:val="continue"/>
            <w:noWrap w:val="0"/>
            <w:vAlign w:val="center"/>
          </w:tcPr>
          <w:p>
            <w:pPr>
              <w:jc w:val="center"/>
              <w:rPr>
                <w:rFonts w:hint="eastAsia" w:ascii="仿宋" w:hAnsi="仿宋" w:eastAsia="仿宋"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31" w:type="dxa"/>
            <w:vMerge w:val="continue"/>
            <w:noWrap w:val="0"/>
            <w:vAlign w:val="center"/>
          </w:tcPr>
          <w:p>
            <w:pPr>
              <w:widowControl/>
              <w:adjustRightInd w:val="0"/>
              <w:snapToGrid w:val="0"/>
              <w:spacing w:line="300" w:lineRule="exact"/>
              <w:jc w:val="center"/>
              <w:rPr>
                <w:rFonts w:hint="eastAsia" w:ascii="仿宋" w:hAnsi="仿宋" w:eastAsia="仿宋" w:cs="仿宋"/>
                <w:color w:val="000000"/>
                <w:kern w:val="0"/>
                <w:sz w:val="21"/>
                <w:szCs w:val="21"/>
              </w:rPr>
            </w:pPr>
          </w:p>
        </w:tc>
        <w:tc>
          <w:tcPr>
            <w:tcW w:w="3039" w:type="dxa"/>
            <w:gridSpan w:val="2"/>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地质环境治理恢复面积</w:t>
            </w:r>
          </w:p>
        </w:tc>
        <w:tc>
          <w:tcPr>
            <w:tcW w:w="1472"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公顷</w:t>
            </w:r>
          </w:p>
        </w:tc>
        <w:tc>
          <w:tcPr>
            <w:tcW w:w="1872" w:type="dxa"/>
            <w:noWrap w:val="0"/>
            <w:vAlign w:val="center"/>
          </w:tcPr>
          <w:p>
            <w:pPr>
              <w:widowControl/>
              <w:adjustRightInd w:val="0"/>
              <w:snapToGrid w:val="0"/>
              <w:spacing w:line="300" w:lineRule="exact"/>
              <w:jc w:val="center"/>
              <w:rPr>
                <w:rFonts w:hint="default"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46.4</w:t>
            </w:r>
          </w:p>
        </w:tc>
        <w:tc>
          <w:tcPr>
            <w:tcW w:w="1193" w:type="dxa"/>
            <w:noWrap w:val="0"/>
            <w:vAlign w:val="center"/>
          </w:tcPr>
          <w:p>
            <w:pPr>
              <w:widowControl/>
              <w:adjustRightInd w:val="0"/>
              <w:snapToGrid w:val="0"/>
              <w:spacing w:line="300" w:lineRule="exact"/>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预期性</w:t>
            </w:r>
          </w:p>
        </w:tc>
      </w:tr>
    </w:tbl>
    <w:p>
      <w:pPr>
        <w:pStyle w:val="7"/>
        <w:keepNext w:val="0"/>
        <w:keepLines w:val="0"/>
        <w:pageBreakBefore w:val="0"/>
        <w:widowControl w:val="0"/>
        <w:kinsoku/>
        <w:wordWrap/>
        <w:overflowPunct/>
        <w:topLinePunct w:val="0"/>
        <w:autoSpaceDE/>
        <w:autoSpaceDN/>
        <w:bidi w:val="0"/>
        <w:adjustRightInd/>
        <w:snapToGrid/>
        <w:spacing w:after="0" w:line="500" w:lineRule="exact"/>
        <w:ind w:firstLine="562" w:firstLineChars="200"/>
        <w:textAlignment w:val="auto"/>
        <w:outlineLvl w:val="9"/>
        <w:rPr>
          <w:rFonts w:hint="eastAsia" w:ascii="仿宋" w:hAnsi="仿宋" w:eastAsia="仿宋" w:cs="仿宋"/>
          <w:color w:val="auto"/>
          <w:kern w:val="2"/>
          <w:sz w:val="28"/>
          <w:szCs w:val="28"/>
          <w:lang w:val="en-US" w:eastAsia="zh-CN" w:bidi="ar-SA"/>
        </w:rPr>
      </w:pPr>
      <w:r>
        <w:rPr>
          <w:rFonts w:hint="eastAsia" w:ascii="仿宋" w:hAnsi="仿宋" w:eastAsia="仿宋" w:cs="仿宋"/>
          <w:b/>
          <w:bCs/>
          <w:color w:val="000000"/>
          <w:sz w:val="28"/>
          <w:szCs w:val="28"/>
        </w:rPr>
        <w:t>地质</w:t>
      </w:r>
      <w:r>
        <w:rPr>
          <w:rFonts w:hint="eastAsia" w:ascii="仿宋" w:hAnsi="仿宋" w:eastAsia="仿宋" w:cs="仿宋"/>
          <w:b/>
          <w:bCs/>
          <w:color w:val="000000"/>
          <w:sz w:val="28"/>
          <w:szCs w:val="28"/>
          <w:lang w:eastAsia="zh-CN"/>
        </w:rPr>
        <w:t>基础</w:t>
      </w:r>
      <w:r>
        <w:rPr>
          <w:rFonts w:hint="eastAsia" w:ascii="仿宋" w:hAnsi="仿宋" w:eastAsia="仿宋" w:cs="仿宋"/>
          <w:b/>
          <w:bCs/>
          <w:color w:val="000000"/>
          <w:sz w:val="28"/>
          <w:szCs w:val="28"/>
        </w:rPr>
        <w:t>服务能力</w:t>
      </w:r>
      <w:r>
        <w:rPr>
          <w:rFonts w:hint="eastAsia" w:ascii="仿宋" w:hAnsi="仿宋" w:eastAsia="仿宋" w:cs="仿宋"/>
          <w:b/>
          <w:bCs/>
          <w:color w:val="000000"/>
          <w:sz w:val="28"/>
          <w:szCs w:val="28"/>
          <w:lang w:eastAsia="zh-CN"/>
        </w:rPr>
        <w:t>持续提升</w:t>
      </w:r>
      <w:r>
        <w:rPr>
          <w:rFonts w:hint="eastAsia" w:ascii="仿宋" w:hAnsi="仿宋" w:eastAsia="仿宋" w:cs="仿宋"/>
          <w:b/>
          <w:color w:val="auto"/>
          <w:spacing w:val="-2"/>
          <w:sz w:val="28"/>
          <w:szCs w:val="28"/>
          <w:lang w:eastAsia="zh-CN"/>
        </w:rPr>
        <w:t>。</w:t>
      </w:r>
      <w:r>
        <w:rPr>
          <w:rFonts w:hint="eastAsia" w:ascii="仿宋" w:hAnsi="仿宋" w:eastAsia="仿宋" w:cs="仿宋"/>
          <w:color w:val="auto"/>
          <w:kern w:val="2"/>
          <w:sz w:val="28"/>
          <w:szCs w:val="28"/>
          <w:lang w:val="en-US" w:eastAsia="zh-CN" w:bidi="ar-SA"/>
        </w:rPr>
        <w:t>落实上级规划在本市部署的基础地质调查工作：在沙湾市天山北坡经济带开展1:5万土地质量地球化学调查，总面积400平方千米，以推进重要农业经济区、粮食主产区、畜牧草原区等土地质量调查工作；加强沙湾市1:5-1:10万水文环境地质调查，面积1000平方千米；推进沙湾市旅游地质调查工作。</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auto"/>
          <w:kern w:val="2"/>
          <w:sz w:val="28"/>
          <w:szCs w:val="28"/>
          <w:lang w:val="en-US" w:eastAsia="zh-CN" w:bidi="ar-SA"/>
        </w:rPr>
      </w:pPr>
      <w:bookmarkStart w:id="66" w:name="OLE_LINK2"/>
      <w:r>
        <w:rPr>
          <w:rFonts w:hint="eastAsia" w:ascii="仿宋" w:hAnsi="仿宋" w:eastAsia="仿宋" w:cs="仿宋"/>
          <w:b/>
          <w:bCs/>
          <w:color w:val="auto"/>
          <w:kern w:val="2"/>
          <w:sz w:val="28"/>
          <w:szCs w:val="28"/>
          <w:lang w:val="en-US" w:eastAsia="zh-CN" w:bidi="ar-SA"/>
        </w:rPr>
        <w:t>开发利用目标</w:t>
      </w:r>
      <w:r>
        <w:rPr>
          <w:rFonts w:hint="eastAsia" w:ascii="仿宋" w:hAnsi="仿宋" w:eastAsia="仿宋" w:cs="仿宋"/>
          <w:color w:val="auto"/>
          <w:kern w:val="2"/>
          <w:sz w:val="28"/>
          <w:szCs w:val="28"/>
          <w:lang w:val="en-US" w:eastAsia="zh-CN" w:bidi="ar-SA"/>
        </w:rPr>
        <w:t>。扩大煤炭、水泥用石灰岩开采规模，延长资源利用产业链，提高产品附加值，预期2025年末煤炭开采总规模达到2100万吨、石灰岩200万吨。建筑用砂石及砖瓦用粘土、建筑用玄武岩（道渣石）等二类矿产年开采量满足辖区需求，矿山数量及规模结构更加合理。争取利用沙湾市及周边地区优势资源建设精深加工矿业企业。</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rPr>
          <w:rFonts w:hint="eastAsia" w:ascii="仿宋" w:hAnsi="仿宋" w:eastAsia="仿宋" w:cs="仿宋"/>
          <w:color w:val="FF0000"/>
          <w:spacing w:val="-2"/>
          <w:sz w:val="28"/>
          <w:szCs w:val="28"/>
        </w:rPr>
      </w:pPr>
      <w:r>
        <w:rPr>
          <w:rFonts w:hint="eastAsia" w:ascii="仿宋" w:hAnsi="仿宋" w:eastAsia="仿宋" w:cs="仿宋"/>
          <w:b/>
          <w:color w:val="000000"/>
          <w:spacing w:val="-2"/>
          <w:sz w:val="28"/>
          <w:szCs w:val="28"/>
        </w:rPr>
        <w:t>矿产资源保护与合理利用水平进一步提高</w:t>
      </w:r>
      <w:r>
        <w:rPr>
          <w:rFonts w:hint="eastAsia" w:ascii="仿宋" w:hAnsi="仿宋" w:eastAsia="仿宋" w:cs="仿宋"/>
          <w:b/>
          <w:color w:val="000000"/>
          <w:spacing w:val="-2"/>
          <w:sz w:val="28"/>
          <w:szCs w:val="28"/>
          <w:lang w:eastAsia="zh-CN"/>
        </w:rPr>
        <w:t>。</w:t>
      </w:r>
      <w:r>
        <w:rPr>
          <w:rFonts w:hint="eastAsia" w:ascii="仿宋" w:hAnsi="仿宋" w:eastAsia="仿宋" w:cs="仿宋"/>
          <w:color w:val="000000"/>
          <w:spacing w:val="-2"/>
          <w:sz w:val="28"/>
          <w:szCs w:val="28"/>
        </w:rPr>
        <w:t>通过资源整合，优化产业结构，科学管控开发总量，合理控制</w:t>
      </w:r>
      <w:r>
        <w:rPr>
          <w:rFonts w:hint="eastAsia" w:ascii="仿宋" w:hAnsi="仿宋" w:eastAsia="仿宋" w:cs="仿宋"/>
          <w:color w:val="000000"/>
          <w:spacing w:val="-2"/>
          <w:sz w:val="28"/>
          <w:szCs w:val="28"/>
          <w:lang w:val="en-US" w:eastAsia="zh-CN"/>
        </w:rPr>
        <w:t>建筑用砂</w:t>
      </w:r>
      <w:r>
        <w:rPr>
          <w:rFonts w:hint="eastAsia" w:ascii="仿宋" w:hAnsi="仿宋" w:eastAsia="仿宋" w:cs="仿宋"/>
          <w:color w:val="000000"/>
          <w:spacing w:val="-2"/>
          <w:sz w:val="28"/>
          <w:szCs w:val="28"/>
        </w:rPr>
        <w:t>、</w:t>
      </w:r>
      <w:r>
        <w:rPr>
          <w:rFonts w:hint="eastAsia" w:ascii="仿宋" w:hAnsi="仿宋" w:eastAsia="仿宋" w:cs="仿宋"/>
          <w:color w:val="000000"/>
          <w:spacing w:val="-2"/>
          <w:sz w:val="28"/>
          <w:szCs w:val="28"/>
          <w:lang w:val="en-US" w:eastAsia="zh-CN"/>
        </w:rPr>
        <w:t>砖瓦用粘土</w:t>
      </w:r>
      <w:r>
        <w:rPr>
          <w:rFonts w:hint="eastAsia" w:ascii="仿宋" w:hAnsi="仿宋" w:eastAsia="仿宋" w:cs="仿宋"/>
          <w:color w:val="000000"/>
          <w:spacing w:val="-2"/>
          <w:sz w:val="28"/>
          <w:szCs w:val="28"/>
        </w:rPr>
        <w:t>及</w:t>
      </w:r>
      <w:r>
        <w:rPr>
          <w:rFonts w:hint="eastAsia" w:ascii="仿宋" w:hAnsi="仿宋" w:eastAsia="仿宋" w:cs="仿宋"/>
          <w:color w:val="000000"/>
          <w:spacing w:val="-2"/>
          <w:sz w:val="28"/>
          <w:szCs w:val="28"/>
          <w:lang w:val="en-US" w:eastAsia="zh-CN"/>
        </w:rPr>
        <w:t>砖瓦用页岩</w:t>
      </w:r>
      <w:r>
        <w:rPr>
          <w:rFonts w:hint="eastAsia" w:ascii="仿宋" w:hAnsi="仿宋" w:eastAsia="仿宋" w:cs="仿宋"/>
          <w:color w:val="000000"/>
          <w:spacing w:val="-2"/>
          <w:sz w:val="28"/>
          <w:szCs w:val="28"/>
        </w:rPr>
        <w:t>等非金属矿产的开发强度，提高矿山集约化规模化程度，增加中型矿山比例。推广应用先进的采矿方法和选矿工艺，提高资源综合利用效</w:t>
      </w:r>
      <w:r>
        <w:rPr>
          <w:rFonts w:hint="eastAsia" w:ascii="仿宋" w:hAnsi="仿宋" w:eastAsia="仿宋" w:cs="仿宋"/>
          <w:color w:val="auto"/>
          <w:spacing w:val="-2"/>
          <w:sz w:val="28"/>
          <w:szCs w:val="28"/>
        </w:rPr>
        <w:t>率，</w:t>
      </w:r>
      <w:r>
        <w:rPr>
          <w:rFonts w:hint="eastAsia" w:ascii="仿宋" w:hAnsi="仿宋" w:eastAsia="仿宋" w:cs="仿宋"/>
          <w:color w:val="auto"/>
          <w:spacing w:val="-2"/>
          <w:sz w:val="28"/>
          <w:szCs w:val="28"/>
          <w:lang w:val="en-US" w:eastAsia="zh-CN"/>
        </w:rPr>
        <w:t>固体</w:t>
      </w:r>
      <w:r>
        <w:rPr>
          <w:rFonts w:hint="eastAsia" w:ascii="仿宋" w:hAnsi="仿宋" w:eastAsia="仿宋" w:cs="仿宋"/>
          <w:color w:val="auto"/>
          <w:spacing w:val="-2"/>
          <w:sz w:val="28"/>
          <w:szCs w:val="28"/>
        </w:rPr>
        <w:t>矿山“三率”指标达标率为</w:t>
      </w:r>
      <w:r>
        <w:rPr>
          <w:rFonts w:hint="eastAsia" w:ascii="仿宋" w:hAnsi="仿宋" w:eastAsia="仿宋" w:cs="仿宋"/>
          <w:color w:val="auto"/>
          <w:spacing w:val="-2"/>
          <w:sz w:val="28"/>
          <w:szCs w:val="28"/>
          <w:lang w:val="en-US" w:eastAsia="zh-CN"/>
        </w:rPr>
        <w:t>100</w:t>
      </w:r>
      <w:r>
        <w:rPr>
          <w:rFonts w:hint="eastAsia" w:ascii="仿宋" w:hAnsi="仿宋" w:eastAsia="仿宋" w:cs="仿宋"/>
          <w:color w:val="auto"/>
          <w:spacing w:val="-2"/>
          <w:sz w:val="28"/>
          <w:szCs w:val="28"/>
        </w:rPr>
        <w:t>%。</w:t>
      </w:r>
    </w:p>
    <w:p>
      <w:pPr>
        <w:pStyle w:val="7"/>
        <w:keepNext w:val="0"/>
        <w:keepLines w:val="0"/>
        <w:pageBreakBefore w:val="0"/>
        <w:widowControl w:val="0"/>
        <w:kinsoku/>
        <w:wordWrap/>
        <w:overflowPunct/>
        <w:topLinePunct w:val="0"/>
        <w:autoSpaceDE/>
        <w:autoSpaceDN/>
        <w:bidi w:val="0"/>
        <w:adjustRightInd/>
        <w:snapToGrid/>
        <w:spacing w:after="0" w:line="500" w:lineRule="exact"/>
        <w:ind w:firstLine="554" w:firstLineChars="200"/>
        <w:textAlignment w:val="auto"/>
        <w:outlineLvl w:val="9"/>
        <w:rPr>
          <w:rFonts w:hint="eastAsia" w:ascii="仿宋" w:hAnsi="仿宋" w:eastAsia="仿宋" w:cs="仿宋"/>
          <w:color w:val="000000"/>
          <w:sz w:val="28"/>
          <w:szCs w:val="28"/>
        </w:rPr>
      </w:pPr>
      <w:r>
        <w:rPr>
          <w:rFonts w:hint="eastAsia" w:ascii="仿宋" w:hAnsi="仿宋" w:eastAsia="仿宋" w:cs="仿宋"/>
          <w:b/>
          <w:color w:val="000000"/>
          <w:spacing w:val="-2"/>
          <w:sz w:val="28"/>
          <w:szCs w:val="28"/>
        </w:rPr>
        <w:t>绿色矿业发展格局基本形成</w:t>
      </w:r>
      <w:r>
        <w:rPr>
          <w:rFonts w:hint="eastAsia" w:ascii="仿宋" w:hAnsi="仿宋" w:eastAsia="仿宋" w:cs="仿宋"/>
          <w:b/>
          <w:color w:val="000000"/>
          <w:spacing w:val="-2"/>
          <w:sz w:val="28"/>
          <w:szCs w:val="28"/>
          <w:lang w:eastAsia="zh-CN"/>
        </w:rPr>
        <w:t>。</w:t>
      </w:r>
      <w:r>
        <w:rPr>
          <w:rFonts w:hint="eastAsia" w:ascii="仿宋" w:hAnsi="仿宋" w:eastAsia="仿宋" w:cs="仿宋"/>
          <w:color w:val="000000"/>
          <w:spacing w:val="-2"/>
          <w:sz w:val="28"/>
          <w:szCs w:val="28"/>
        </w:rPr>
        <w:t>绿色勘查全面推开，矿山集约节约利用水平显著提升，矿业提质增效和转型升级取得成效。</w:t>
      </w:r>
      <w:r>
        <w:rPr>
          <w:rFonts w:hint="eastAsia" w:ascii="仿宋" w:hAnsi="仿宋" w:eastAsia="仿宋" w:cs="仿宋"/>
          <w:color w:val="000000"/>
          <w:sz w:val="28"/>
          <w:szCs w:val="28"/>
          <w:lang w:val="en-US" w:eastAsia="zh-CN"/>
        </w:rPr>
        <w:t>十四五期间</w:t>
      </w:r>
      <w:r>
        <w:rPr>
          <w:rFonts w:hint="eastAsia" w:ascii="仿宋" w:hAnsi="仿宋" w:eastAsia="仿宋" w:cs="仿宋"/>
          <w:sz w:val="28"/>
          <w:szCs w:val="28"/>
        </w:rPr>
        <w:t>所有矿山保持绿色矿山标准进行矿产开发。新开发建设的矿山，必须进行绿色矿山建设规划，按照绿色矿山标准进行规范管理。</w:t>
      </w:r>
      <w:r>
        <w:rPr>
          <w:rFonts w:hint="eastAsia" w:ascii="仿宋" w:hAnsi="仿宋" w:eastAsia="仿宋" w:cs="仿宋"/>
          <w:sz w:val="28"/>
          <w:szCs w:val="28"/>
          <w:lang w:val="en-US" w:eastAsia="zh-CN"/>
        </w:rPr>
        <w:t>截至2025年</w:t>
      </w:r>
      <w:r>
        <w:rPr>
          <w:rFonts w:hint="eastAsia" w:ascii="仿宋" w:hAnsi="仿宋" w:eastAsia="仿宋" w:cs="仿宋"/>
          <w:color w:val="auto"/>
          <w:sz w:val="28"/>
          <w:szCs w:val="28"/>
          <w:lang w:val="en-US" w:eastAsia="zh-CN"/>
        </w:rPr>
        <w:t>，大、</w:t>
      </w:r>
      <w:r>
        <w:rPr>
          <w:rFonts w:hint="eastAsia" w:ascii="仿宋" w:hAnsi="仿宋" w:eastAsia="仿宋" w:cs="仿宋"/>
          <w:color w:val="auto"/>
          <w:kern w:val="2"/>
          <w:sz w:val="28"/>
          <w:szCs w:val="28"/>
          <w:lang w:val="en-US" w:eastAsia="zh-CN" w:bidi="ar-SA"/>
        </w:rPr>
        <w:t>中型生产绿色矿山规模比例为40%。</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rPr>
          <w:rFonts w:hint="eastAsia" w:ascii="仿宋" w:hAnsi="仿宋" w:eastAsia="仿宋" w:cs="仿宋"/>
          <w:kern w:val="28"/>
          <w:sz w:val="28"/>
          <w:szCs w:val="28"/>
        </w:rPr>
      </w:pPr>
      <w:r>
        <w:rPr>
          <w:rFonts w:hint="eastAsia" w:ascii="仿宋" w:hAnsi="仿宋" w:eastAsia="仿宋" w:cs="仿宋"/>
          <w:b/>
          <w:color w:val="000000"/>
          <w:spacing w:val="-2"/>
          <w:sz w:val="28"/>
          <w:szCs w:val="28"/>
        </w:rPr>
        <w:t>矿山地质环境保护与治理恢复取得新进展</w:t>
      </w:r>
      <w:r>
        <w:rPr>
          <w:rFonts w:hint="eastAsia" w:ascii="仿宋" w:hAnsi="仿宋" w:eastAsia="仿宋" w:cs="仿宋"/>
          <w:b/>
          <w:color w:val="000000"/>
          <w:spacing w:val="-2"/>
          <w:sz w:val="28"/>
          <w:szCs w:val="28"/>
          <w:lang w:eastAsia="zh-CN"/>
        </w:rPr>
        <w:t>。</w:t>
      </w:r>
      <w:r>
        <w:rPr>
          <w:rFonts w:hint="eastAsia" w:ascii="仿宋" w:hAnsi="仿宋" w:eastAsia="仿宋" w:cs="仿宋"/>
          <w:color w:val="000000"/>
          <w:spacing w:val="-2"/>
          <w:sz w:val="28"/>
          <w:szCs w:val="28"/>
        </w:rPr>
        <w:t>全面落实矿山地质环境保护与治理恢复责任机制，初步建立矿山地质环境动态监测体系，探索建设矿山生态环境保护修复监管信息系统</w:t>
      </w:r>
      <w:r>
        <w:rPr>
          <w:rFonts w:hint="eastAsia" w:ascii="仿宋" w:hAnsi="仿宋" w:eastAsia="仿宋" w:cs="仿宋"/>
          <w:color w:val="000000"/>
          <w:spacing w:val="-2"/>
          <w:sz w:val="28"/>
          <w:szCs w:val="28"/>
          <w:lang w:eastAsia="zh-CN"/>
        </w:rPr>
        <w:t>，</w:t>
      </w:r>
      <w:r>
        <w:rPr>
          <w:rFonts w:hint="eastAsia" w:ascii="仿宋" w:hAnsi="仿宋" w:eastAsia="仿宋" w:cs="仿宋"/>
          <w:sz w:val="28"/>
          <w:szCs w:val="28"/>
        </w:rPr>
        <w:t>做到</w:t>
      </w:r>
      <w:r>
        <w:rPr>
          <w:rFonts w:hint="eastAsia" w:ascii="仿宋" w:hAnsi="仿宋" w:eastAsia="仿宋" w:cs="仿宋"/>
          <w:snapToGrid w:val="0"/>
          <w:sz w:val="28"/>
          <w:szCs w:val="28"/>
        </w:rPr>
        <w:t>新建和生产矿山基本不欠新账，矿山地质环境问题的恢复治理率大幅提高，矿区土地复垦率不断提高</w:t>
      </w:r>
      <w:r>
        <w:rPr>
          <w:rFonts w:hint="eastAsia" w:ascii="仿宋" w:hAnsi="仿宋" w:eastAsia="仿宋" w:cs="仿宋"/>
          <w:color w:val="000000"/>
          <w:spacing w:val="-2"/>
          <w:sz w:val="28"/>
          <w:szCs w:val="28"/>
        </w:rPr>
        <w:t>。</w:t>
      </w:r>
      <w:r>
        <w:rPr>
          <w:rFonts w:hint="eastAsia" w:ascii="仿宋" w:hAnsi="仿宋" w:eastAsia="仿宋" w:cs="仿宋"/>
          <w:sz w:val="28"/>
          <w:szCs w:val="28"/>
        </w:rPr>
        <w:t>到2025年完成矿山地质环境治理恢复</w:t>
      </w:r>
      <w:r>
        <w:rPr>
          <w:rFonts w:hint="eastAsia" w:ascii="仿宋" w:hAnsi="仿宋" w:eastAsia="仿宋" w:cs="仿宋"/>
          <w:color w:val="auto"/>
          <w:sz w:val="28"/>
          <w:szCs w:val="28"/>
        </w:rPr>
        <w:t>面积</w:t>
      </w:r>
      <w:r>
        <w:rPr>
          <w:rFonts w:hint="eastAsia" w:ascii="仿宋" w:hAnsi="仿宋" w:eastAsia="仿宋" w:cs="仿宋"/>
          <w:color w:val="auto"/>
          <w:sz w:val="28"/>
          <w:szCs w:val="28"/>
          <w:lang w:val="en-US" w:eastAsia="zh-CN"/>
        </w:rPr>
        <w:t>46.4</w:t>
      </w:r>
      <w:r>
        <w:rPr>
          <w:rFonts w:hint="eastAsia" w:ascii="仿宋" w:hAnsi="仿宋" w:eastAsia="仿宋" w:cs="仿宋"/>
          <w:color w:val="auto"/>
          <w:sz w:val="28"/>
          <w:szCs w:val="28"/>
        </w:rPr>
        <w:t>公</w:t>
      </w:r>
      <w:r>
        <w:rPr>
          <w:rFonts w:hint="eastAsia" w:ascii="仿宋" w:hAnsi="仿宋" w:eastAsia="仿宋" w:cs="仿宋"/>
          <w:sz w:val="28"/>
          <w:szCs w:val="28"/>
        </w:rPr>
        <w:t>顷</w:t>
      </w:r>
      <w:r>
        <w:rPr>
          <w:rFonts w:hint="eastAsia" w:ascii="仿宋" w:hAnsi="仿宋" w:eastAsia="仿宋" w:cs="仿宋"/>
          <w:kern w:val="28"/>
          <w:sz w:val="28"/>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pacing w:val="-2"/>
          <w:sz w:val="28"/>
          <w:szCs w:val="28"/>
        </w:rPr>
      </w:pPr>
      <w:r>
        <w:rPr>
          <w:rFonts w:hint="eastAsia" w:ascii="仿宋" w:hAnsi="仿宋" w:eastAsia="仿宋" w:cs="仿宋"/>
          <w:b/>
          <w:bCs/>
          <w:sz w:val="28"/>
          <w:szCs w:val="28"/>
        </w:rPr>
        <w:t>矿产资源管理能力和水平不断提升</w:t>
      </w:r>
      <w:r>
        <w:rPr>
          <w:rFonts w:hint="eastAsia" w:ascii="仿宋" w:hAnsi="仿宋" w:eastAsia="仿宋" w:cs="仿宋"/>
          <w:b/>
          <w:color w:val="000000"/>
          <w:spacing w:val="-2"/>
          <w:sz w:val="28"/>
          <w:szCs w:val="28"/>
          <w:lang w:eastAsia="zh-CN"/>
        </w:rPr>
        <w:t>。</w:t>
      </w:r>
      <w:r>
        <w:rPr>
          <w:rFonts w:hint="eastAsia" w:ascii="仿宋" w:hAnsi="仿宋" w:eastAsia="仿宋" w:cs="仿宋"/>
          <w:color w:val="000000"/>
          <w:spacing w:val="-2"/>
          <w:sz w:val="28"/>
          <w:szCs w:val="28"/>
        </w:rPr>
        <w:t>地质勘查管理、储量管理、矿业权管理、监督管理等制度不断健全完善。落实矿产资源资产产权和统一确权登记制度；进一步提升矿产资源信息化管理水平，建立矿产资源信息平台；进一步推进“放管服”改革，精简办事程序，提高服务水平，矿政管理效能明显提高。构建勘查开发执法监管责任机制，营造勘查开发良好环境。</w:t>
      </w:r>
    </w:p>
    <w:bookmarkEnd w:id="66"/>
    <w:p>
      <w:pPr>
        <w:keepNext w:val="0"/>
        <w:keepLines w:val="0"/>
        <w:pageBreakBefore w:val="0"/>
        <w:widowControl w:val="0"/>
        <w:kinsoku/>
        <w:wordWrap/>
        <w:overflowPunct/>
        <w:topLinePunct w:val="0"/>
        <w:autoSpaceDE/>
        <w:autoSpaceDN/>
        <w:bidi w:val="0"/>
        <w:adjustRightInd/>
        <w:snapToGrid/>
        <w:spacing w:line="500" w:lineRule="exact"/>
        <w:ind w:firstLine="538" w:firstLineChars="200"/>
        <w:textAlignment w:val="auto"/>
        <w:rPr>
          <w:rFonts w:hint="eastAsia" w:ascii="仿宋" w:hAnsi="仿宋" w:eastAsia="仿宋" w:cs="仿宋"/>
          <w:sz w:val="28"/>
          <w:szCs w:val="28"/>
          <w:lang w:val="zh-CN" w:eastAsia="zh-CN"/>
        </w:rPr>
      </w:pPr>
      <w:r>
        <w:rPr>
          <w:rFonts w:hint="eastAsia" w:ascii="仿宋" w:hAnsi="仿宋" w:eastAsia="仿宋" w:cs="仿宋"/>
          <w:b/>
          <w:bCs/>
          <w:color w:val="000000"/>
          <w:spacing w:val="-6"/>
          <w:sz w:val="28"/>
          <w:szCs w:val="28"/>
        </w:rPr>
        <w:t>2035年展望目标：</w:t>
      </w:r>
      <w:r>
        <w:rPr>
          <w:rFonts w:hint="eastAsia" w:ascii="仿宋" w:hAnsi="仿宋" w:eastAsia="仿宋" w:cs="仿宋"/>
          <w:sz w:val="28"/>
          <w:szCs w:val="28"/>
          <w:lang w:val="en-US" w:eastAsia="zh-CN"/>
        </w:rPr>
        <w:t>基础地质服务领域持续拓展，基础地质工作水平迈上新台阶；矿产资源保障能力和矿产资源管理水平明显提高；</w:t>
      </w:r>
      <w:r>
        <w:rPr>
          <w:rFonts w:hint="eastAsia" w:ascii="仿宋" w:hAnsi="仿宋" w:eastAsia="仿宋" w:cs="仿宋"/>
          <w:sz w:val="28"/>
          <w:szCs w:val="28"/>
        </w:rPr>
        <w:t>矿产</w:t>
      </w:r>
      <w:r>
        <w:rPr>
          <w:rFonts w:hint="eastAsia" w:ascii="仿宋" w:hAnsi="仿宋" w:eastAsia="仿宋" w:cs="仿宋"/>
          <w:sz w:val="28"/>
          <w:szCs w:val="28"/>
          <w:lang w:val="en-US" w:eastAsia="zh-CN"/>
        </w:rPr>
        <w:t>资源利用结构和布局得到进一步优化，矿产资源开发和生态环境保护进一步协调，</w:t>
      </w:r>
      <w:r>
        <w:rPr>
          <w:rFonts w:hint="eastAsia" w:ascii="仿宋" w:hAnsi="仿宋" w:eastAsia="仿宋" w:cs="仿宋"/>
          <w:color w:val="000000"/>
          <w:spacing w:val="-2"/>
          <w:sz w:val="28"/>
          <w:szCs w:val="28"/>
        </w:rPr>
        <w:t>矿业绿色低碳发展格局基本形成，矿政管理机制更加完善，服务水平显著提高，矿产资源治理体系和治理能力现代化基本实现。</w:t>
      </w:r>
      <w:bookmarkStart w:id="67" w:name="_Toc4920"/>
      <w:bookmarkStart w:id="68" w:name="_Toc3560"/>
      <w:bookmarkStart w:id="69" w:name="_Toc21714"/>
    </w:p>
    <w:p>
      <w:pPr>
        <w:rPr>
          <w:rFonts w:hint="eastAsia" w:ascii="黑体" w:hAnsi="黑体" w:eastAsia="黑体" w:cs="黑体"/>
          <w:color w:val="000000"/>
          <w:spacing w:val="-2"/>
          <w:sz w:val="32"/>
          <w:szCs w:val="32"/>
          <w:lang w:val="zh-CN" w:eastAsia="zh-CN"/>
        </w:rPr>
      </w:pPr>
      <w:bookmarkStart w:id="70" w:name="_Toc6693"/>
      <w:r>
        <w:rPr>
          <w:rFonts w:hint="eastAsia" w:ascii="黑体" w:hAnsi="黑体" w:eastAsia="黑体" w:cs="黑体"/>
          <w:color w:val="000000"/>
          <w:spacing w:val="-2"/>
          <w:sz w:val="32"/>
          <w:szCs w:val="32"/>
          <w:lang w:val="zh-CN" w:eastAsia="zh-CN"/>
        </w:rPr>
        <w:br w:type="page"/>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632" w:firstLineChars="200"/>
        <w:textAlignment w:val="auto"/>
        <w:outlineLvl w:val="0"/>
        <w:rPr>
          <w:rFonts w:hint="eastAsia" w:ascii="黑体" w:hAnsi="黑体" w:eastAsia="黑体" w:cs="黑体"/>
          <w:color w:val="000000"/>
          <w:spacing w:val="-2"/>
          <w:sz w:val="32"/>
          <w:szCs w:val="32"/>
          <w:lang w:val="zh-CN" w:eastAsia="zh-CN"/>
        </w:rPr>
      </w:pPr>
      <w:r>
        <w:rPr>
          <w:rFonts w:hint="eastAsia" w:ascii="黑体" w:hAnsi="黑体" w:eastAsia="黑体" w:cs="黑体"/>
          <w:color w:val="000000"/>
          <w:spacing w:val="-2"/>
          <w:sz w:val="32"/>
          <w:szCs w:val="32"/>
          <w:lang w:val="zh-CN" w:eastAsia="zh-CN"/>
        </w:rPr>
        <w:t>三、矿产勘查开发与保护布局</w:t>
      </w:r>
      <w:bookmarkEnd w:id="67"/>
      <w:bookmarkEnd w:id="68"/>
      <w:bookmarkEnd w:id="69"/>
      <w:bookmarkEnd w:id="70"/>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textAlignment w:val="auto"/>
        <w:rPr>
          <w:rFonts w:hint="eastAsia" w:ascii="仿宋" w:hAnsi="仿宋" w:eastAsia="仿宋" w:cs="仿宋"/>
          <w:sz w:val="28"/>
          <w:szCs w:val="28"/>
        </w:rPr>
      </w:pPr>
      <w:bookmarkStart w:id="71" w:name="_Toc31703"/>
      <w:bookmarkStart w:id="72" w:name="_Toc16963"/>
      <w:bookmarkStart w:id="73" w:name="_Toc15243"/>
      <w:bookmarkStart w:id="74" w:name="_Toc26255"/>
      <w:bookmarkStart w:id="75" w:name="_Toc6877"/>
      <w:bookmarkStart w:id="76" w:name="_Toc21865"/>
      <w:r>
        <w:rPr>
          <w:rFonts w:hint="eastAsia" w:ascii="仿宋" w:hAnsi="仿宋" w:eastAsia="仿宋" w:cs="仿宋"/>
          <w:color w:val="000000"/>
          <w:spacing w:val="-2"/>
          <w:sz w:val="28"/>
          <w:szCs w:val="28"/>
        </w:rPr>
        <w:t>坚持矿产资源勘查开发与资源环境承载力相匹配，做好与自治区</w:t>
      </w:r>
      <w:r>
        <w:rPr>
          <w:rFonts w:hint="eastAsia" w:ascii="仿宋" w:hAnsi="仿宋" w:eastAsia="仿宋" w:cs="仿宋"/>
          <w:color w:val="000000"/>
          <w:spacing w:val="-2"/>
          <w:sz w:val="28"/>
          <w:szCs w:val="28"/>
          <w:lang w:val="en-US" w:eastAsia="zh-CN"/>
        </w:rPr>
        <w:t>及塔城地区</w:t>
      </w:r>
      <w:r>
        <w:rPr>
          <w:rFonts w:hint="eastAsia" w:ascii="仿宋" w:hAnsi="仿宋" w:eastAsia="仿宋" w:cs="仿宋"/>
          <w:color w:val="000000"/>
          <w:spacing w:val="-2"/>
          <w:sz w:val="28"/>
          <w:szCs w:val="28"/>
        </w:rPr>
        <w:t>区域发展战略及主体功能区的衔接，加强国土空间三条控制线内矿业活动管制。落实生态环境准入清单，严格矿产资源勘查开发禁止和限制的环境准入要求，坚守环境质量底线，加强矿产资源开发管控，合理调控全市矿产资源开发利用总量、强度，提高矿产资源利用效率。</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b/>
          <w:bCs/>
          <w:sz w:val="28"/>
          <w:szCs w:val="28"/>
          <w:lang w:val="en-US" w:eastAsia="zh-CN"/>
        </w:rPr>
      </w:pPr>
      <w:bookmarkStart w:id="77" w:name="_Toc10217"/>
      <w:r>
        <w:rPr>
          <w:rFonts w:hint="eastAsia" w:ascii="仿宋" w:hAnsi="仿宋" w:eastAsia="仿宋" w:cs="仿宋"/>
          <w:b/>
          <w:bCs/>
          <w:sz w:val="28"/>
          <w:szCs w:val="28"/>
          <w:lang w:val="en-US" w:eastAsia="zh-CN"/>
        </w:rPr>
        <w:t>（一）</w:t>
      </w:r>
      <w:bookmarkEnd w:id="71"/>
      <w:bookmarkEnd w:id="72"/>
      <w:bookmarkEnd w:id="73"/>
      <w:bookmarkEnd w:id="74"/>
      <w:bookmarkEnd w:id="75"/>
      <w:bookmarkEnd w:id="76"/>
      <w:r>
        <w:rPr>
          <w:rFonts w:hint="eastAsia" w:ascii="仿宋" w:hAnsi="仿宋" w:eastAsia="仿宋" w:cs="仿宋"/>
          <w:b/>
          <w:bCs/>
          <w:sz w:val="28"/>
          <w:szCs w:val="28"/>
          <w:lang w:val="en-US" w:eastAsia="zh-CN"/>
        </w:rPr>
        <w:t>矿产资源勘查开发调控方向</w:t>
      </w:r>
      <w:bookmarkEnd w:id="77"/>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b/>
          <w:bCs/>
          <w:sz w:val="28"/>
          <w:szCs w:val="28"/>
        </w:rPr>
        <w:t>重要矿种勘查开发方向</w:t>
      </w:r>
      <w:r>
        <w:rPr>
          <w:rFonts w:hint="eastAsia" w:ascii="仿宋" w:hAnsi="仿宋" w:eastAsia="仿宋" w:cs="仿宋"/>
          <w:sz w:val="28"/>
          <w:szCs w:val="28"/>
        </w:rPr>
        <w:t>。</w:t>
      </w:r>
      <w:r>
        <w:rPr>
          <w:rFonts w:hint="eastAsia" w:ascii="仿宋" w:hAnsi="仿宋" w:eastAsia="仿宋" w:cs="仿宋"/>
          <w:color w:val="auto"/>
          <w:kern w:val="2"/>
          <w:sz w:val="28"/>
          <w:szCs w:val="28"/>
          <w:lang w:val="en-US" w:eastAsia="zh-CN" w:bidi="ar-SA"/>
        </w:rPr>
        <w:t>落实国家能源资源安全战略和自治区</w:t>
      </w:r>
      <w:r>
        <w:rPr>
          <w:rFonts w:hint="eastAsia" w:ascii="仿宋" w:hAnsi="仿宋" w:eastAsia="仿宋" w:cs="仿宋"/>
          <w:color w:val="000000"/>
          <w:spacing w:val="-2"/>
          <w:sz w:val="28"/>
          <w:szCs w:val="28"/>
        </w:rPr>
        <w:t>的重点、限制、禁止勘查开采矿种</w:t>
      </w:r>
      <w:r>
        <w:rPr>
          <w:rFonts w:hint="eastAsia" w:ascii="仿宋" w:hAnsi="仿宋" w:eastAsia="仿宋" w:cs="仿宋"/>
          <w:color w:val="auto"/>
          <w:kern w:val="2"/>
          <w:sz w:val="28"/>
          <w:szCs w:val="28"/>
          <w:lang w:val="en-US" w:eastAsia="zh-CN" w:bidi="ar-SA"/>
        </w:rPr>
        <w:t>，结合沙湾市实际，合理确定重点、限制和禁止勘查开采的矿种。</w:t>
      </w:r>
    </w:p>
    <w:p>
      <w:pPr>
        <w:keepNext w:val="0"/>
        <w:keepLines w:val="0"/>
        <w:pageBreakBefore w:val="0"/>
        <w:widowControl w:val="0"/>
        <w:kinsoku/>
        <w:wordWrap/>
        <w:overflowPunct/>
        <w:topLinePunct w:val="0"/>
        <w:autoSpaceDE/>
        <w:autoSpaceDN/>
        <w:bidi w:val="0"/>
        <w:adjustRightInd/>
        <w:snapToGrid/>
        <w:spacing w:line="500" w:lineRule="exact"/>
        <w:ind w:firstLine="534" w:firstLineChars="200"/>
        <w:textAlignment w:val="auto"/>
        <w:rPr>
          <w:rFonts w:hint="eastAsia" w:ascii="仿宋" w:hAnsi="仿宋" w:eastAsia="仿宋" w:cs="仿宋"/>
          <w:snapToGrid w:val="0"/>
          <w:kern w:val="0"/>
          <w:sz w:val="28"/>
          <w:szCs w:val="28"/>
        </w:rPr>
      </w:pPr>
      <w:r>
        <w:rPr>
          <w:rFonts w:hint="eastAsia" w:ascii="仿宋" w:hAnsi="仿宋" w:eastAsia="仿宋" w:cs="仿宋"/>
          <w:b/>
          <w:bCs/>
          <w:w w:val="95"/>
          <w:sz w:val="28"/>
          <w:szCs w:val="28"/>
          <w:lang w:val="en-US" w:eastAsia="zh-CN"/>
        </w:rPr>
        <w:t>--</w:t>
      </w:r>
      <w:r>
        <w:rPr>
          <w:rFonts w:hint="eastAsia" w:ascii="仿宋" w:hAnsi="仿宋" w:eastAsia="仿宋" w:cs="仿宋"/>
          <w:b/>
          <w:snapToGrid w:val="0"/>
          <w:kern w:val="0"/>
          <w:sz w:val="28"/>
          <w:szCs w:val="28"/>
        </w:rPr>
        <w:t>重点勘查开采矿种</w:t>
      </w:r>
      <w:r>
        <w:rPr>
          <w:rFonts w:hint="eastAsia" w:ascii="仿宋" w:hAnsi="仿宋" w:eastAsia="仿宋" w:cs="仿宋"/>
          <w:snapToGrid w:val="0"/>
          <w:kern w:val="0"/>
          <w:sz w:val="28"/>
          <w:szCs w:val="28"/>
        </w:rPr>
        <w:t>：石油、天然气、煤层气、油页岩、油砂、地热等能源矿产，铜、镍、铬、金、铁、铍、铌钽等金属矿产，以及钾盐、膨润土、硅质原料、高岭土、花岗岩、蛇纹岩、玄武岩等非金属矿产。</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napToGrid w:val="0"/>
          <w:kern w:val="0"/>
          <w:sz w:val="28"/>
          <w:szCs w:val="28"/>
        </w:rPr>
      </w:pPr>
      <w:r>
        <w:rPr>
          <w:rFonts w:hint="eastAsia" w:ascii="仿宋" w:hAnsi="仿宋" w:eastAsia="仿宋" w:cs="仿宋"/>
          <w:b/>
          <w:snapToGrid w:val="0"/>
          <w:kern w:val="0"/>
          <w:sz w:val="28"/>
          <w:szCs w:val="28"/>
          <w:lang w:val="en-US" w:eastAsia="zh-CN"/>
        </w:rPr>
        <w:t>--</w:t>
      </w:r>
      <w:r>
        <w:rPr>
          <w:rFonts w:hint="eastAsia" w:ascii="仿宋" w:hAnsi="仿宋" w:eastAsia="仿宋" w:cs="仿宋"/>
          <w:b/>
          <w:snapToGrid w:val="0"/>
          <w:kern w:val="0"/>
          <w:sz w:val="28"/>
          <w:szCs w:val="28"/>
        </w:rPr>
        <w:t>限制勘查矿种：</w:t>
      </w:r>
      <w:r>
        <w:rPr>
          <w:rFonts w:hint="eastAsia" w:ascii="仿宋" w:hAnsi="仿宋" w:eastAsia="仿宋" w:cs="仿宋"/>
          <w:snapToGrid w:val="0"/>
          <w:kern w:val="0"/>
          <w:sz w:val="28"/>
          <w:szCs w:val="28"/>
        </w:rPr>
        <w:t>石棉、砂金等矿产。</w:t>
      </w:r>
    </w:p>
    <w:p>
      <w:pPr>
        <w:keepNext w:val="0"/>
        <w:keepLines w:val="0"/>
        <w:pageBreakBefore w:val="0"/>
        <w:widowControl w:val="0"/>
        <w:kinsoku/>
        <w:wordWrap/>
        <w:overflowPunct/>
        <w:topLinePunct w:val="0"/>
        <w:autoSpaceDE/>
        <w:autoSpaceDN/>
        <w:bidi w:val="0"/>
        <w:adjustRightInd/>
        <w:snapToGrid/>
        <w:spacing w:line="500" w:lineRule="exact"/>
        <w:ind w:firstLine="534" w:firstLineChars="200"/>
        <w:textAlignment w:val="auto"/>
        <w:rPr>
          <w:rFonts w:hint="eastAsia" w:ascii="仿宋" w:hAnsi="仿宋" w:eastAsia="仿宋" w:cs="仿宋"/>
          <w:snapToGrid w:val="0"/>
          <w:kern w:val="0"/>
          <w:sz w:val="28"/>
          <w:szCs w:val="28"/>
        </w:rPr>
      </w:pPr>
      <w:r>
        <w:rPr>
          <w:rFonts w:hint="eastAsia" w:ascii="仿宋" w:hAnsi="仿宋" w:eastAsia="仿宋" w:cs="仿宋"/>
          <w:b/>
          <w:bCs/>
          <w:w w:val="95"/>
          <w:sz w:val="28"/>
          <w:szCs w:val="28"/>
          <w:lang w:val="en-US" w:eastAsia="zh-CN"/>
        </w:rPr>
        <w:t>--</w:t>
      </w:r>
      <w:r>
        <w:rPr>
          <w:rFonts w:hint="eastAsia" w:ascii="仿宋" w:hAnsi="仿宋" w:eastAsia="仿宋" w:cs="仿宋"/>
          <w:b/>
          <w:snapToGrid w:val="0"/>
          <w:kern w:val="0"/>
          <w:sz w:val="28"/>
          <w:szCs w:val="28"/>
        </w:rPr>
        <w:t>限制开采矿种：</w:t>
      </w:r>
      <w:r>
        <w:rPr>
          <w:rFonts w:hint="eastAsia" w:ascii="仿宋" w:hAnsi="仿宋" w:eastAsia="仿宋" w:cs="仿宋"/>
          <w:snapToGrid w:val="0"/>
          <w:kern w:val="0"/>
          <w:sz w:val="28"/>
          <w:szCs w:val="28"/>
        </w:rPr>
        <w:t>硫铁矿、石棉、砂金、砖瓦用粘土、地下水等矿产，钨、稀土等特定保护性矿产。</w:t>
      </w:r>
    </w:p>
    <w:p>
      <w:pPr>
        <w:keepNext w:val="0"/>
        <w:keepLines w:val="0"/>
        <w:pageBreakBefore w:val="0"/>
        <w:widowControl w:val="0"/>
        <w:kinsoku/>
        <w:wordWrap/>
        <w:overflowPunct/>
        <w:topLinePunct w:val="0"/>
        <w:autoSpaceDE/>
        <w:autoSpaceDN/>
        <w:bidi w:val="0"/>
        <w:adjustRightInd/>
        <w:snapToGrid/>
        <w:spacing w:line="500" w:lineRule="exact"/>
        <w:ind w:firstLine="534" w:firstLineChars="200"/>
        <w:textAlignment w:val="auto"/>
        <w:rPr>
          <w:rFonts w:hint="eastAsia" w:ascii="仿宋" w:hAnsi="仿宋" w:eastAsia="仿宋" w:cs="仿宋"/>
          <w:snapToGrid w:val="0"/>
          <w:kern w:val="0"/>
          <w:sz w:val="28"/>
          <w:szCs w:val="28"/>
        </w:rPr>
      </w:pPr>
      <w:r>
        <w:rPr>
          <w:rFonts w:hint="eastAsia" w:ascii="仿宋" w:hAnsi="仿宋" w:eastAsia="仿宋" w:cs="仿宋"/>
          <w:b/>
          <w:bCs/>
          <w:w w:val="95"/>
          <w:sz w:val="28"/>
          <w:szCs w:val="28"/>
          <w:lang w:val="en-US" w:eastAsia="zh-CN"/>
        </w:rPr>
        <w:t>--</w:t>
      </w:r>
      <w:r>
        <w:rPr>
          <w:rFonts w:hint="eastAsia" w:ascii="仿宋" w:hAnsi="仿宋" w:eastAsia="仿宋" w:cs="仿宋"/>
          <w:b/>
          <w:snapToGrid w:val="0"/>
          <w:kern w:val="0"/>
          <w:sz w:val="28"/>
          <w:szCs w:val="28"/>
        </w:rPr>
        <w:t>禁止勘查开采矿种：</w:t>
      </w:r>
      <w:r>
        <w:rPr>
          <w:rFonts w:hint="eastAsia" w:ascii="仿宋" w:hAnsi="仿宋" w:eastAsia="仿宋" w:cs="仿宋"/>
          <w:snapToGrid w:val="0"/>
          <w:kern w:val="0"/>
          <w:sz w:val="28"/>
          <w:szCs w:val="28"/>
        </w:rPr>
        <w:t>可耕地砖瓦用粘土、灰分大于40%或含硫大于3%的煤以及砂铁、汞等矿产。</w:t>
      </w:r>
    </w:p>
    <w:p>
      <w:pPr>
        <w:keepNext w:val="0"/>
        <w:keepLines w:val="0"/>
        <w:pageBreakBefore w:val="0"/>
        <w:widowControl w:val="0"/>
        <w:tabs>
          <w:tab w:val="left" w:pos="0"/>
        </w:tabs>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pacing w:val="-2"/>
          <w:sz w:val="28"/>
          <w:szCs w:val="28"/>
        </w:rPr>
      </w:pPr>
      <w:bookmarkStart w:id="78" w:name="_Toc89547539"/>
      <w:bookmarkStart w:id="79" w:name="_Toc82103319"/>
      <w:bookmarkStart w:id="80" w:name="_Toc80529650"/>
      <w:r>
        <w:rPr>
          <w:rFonts w:hint="eastAsia" w:ascii="仿宋" w:hAnsi="仿宋" w:eastAsia="仿宋" w:cs="仿宋"/>
          <w:b/>
          <w:sz w:val="28"/>
          <w:szCs w:val="28"/>
        </w:rPr>
        <w:t>强化限制、禁止勘查矿种的管理</w:t>
      </w:r>
      <w:bookmarkEnd w:id="78"/>
      <w:bookmarkEnd w:id="79"/>
      <w:bookmarkEnd w:id="80"/>
      <w:r>
        <w:rPr>
          <w:rFonts w:hint="eastAsia" w:ascii="仿宋" w:hAnsi="仿宋" w:eastAsia="仿宋" w:cs="仿宋"/>
          <w:b/>
          <w:sz w:val="28"/>
          <w:szCs w:val="28"/>
        </w:rPr>
        <w:t>。</w:t>
      </w:r>
      <w:r>
        <w:rPr>
          <w:rFonts w:hint="eastAsia" w:ascii="仿宋" w:hAnsi="仿宋" w:eastAsia="仿宋" w:cs="仿宋"/>
          <w:color w:val="000000"/>
          <w:spacing w:val="-2"/>
          <w:sz w:val="28"/>
          <w:szCs w:val="28"/>
          <w:lang w:val="en-US" w:eastAsia="zh-CN"/>
        </w:rPr>
        <w:t>严格林地、草原用途管制合许可、补偿制度，按照森林法、草原法的规定依法办理用地手续。</w:t>
      </w:r>
      <w:r>
        <w:rPr>
          <w:rFonts w:hint="eastAsia" w:ascii="仿宋" w:hAnsi="仿宋" w:eastAsia="仿宋" w:cs="仿宋"/>
          <w:color w:val="000000"/>
          <w:spacing w:val="-2"/>
          <w:sz w:val="28"/>
          <w:szCs w:val="28"/>
        </w:rPr>
        <w:t>积极落实限制性矿种开发产业政策。对限制勘查开采矿种，要按照《规划》开采总量控制指标和准入条件加强审核，确需对限制性矿种进行勘查开采的，须进行科学论证，并征得县级矿产资源主管部门同意；严格执行矿种准入、禁入和退出政策制度，按照全面推动矿业绿色发展相关要求，加快淘汰落后产能；执行最严格的耕地保护制度，禁止开采可耕地砖瓦用粘土矿。</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kern w:val="2"/>
          <w:sz w:val="28"/>
          <w:szCs w:val="28"/>
          <w:lang w:val="en-US" w:eastAsia="zh-CN" w:bidi="ar-SA"/>
        </w:rPr>
      </w:pPr>
      <w:bookmarkStart w:id="81" w:name="_Toc27895"/>
      <w:r>
        <w:rPr>
          <w:rFonts w:hint="eastAsia" w:ascii="仿宋" w:hAnsi="仿宋" w:eastAsia="仿宋" w:cs="仿宋"/>
          <w:b/>
          <w:bCs/>
          <w:sz w:val="28"/>
          <w:szCs w:val="28"/>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rPr>
        <w:t>）</w:t>
      </w:r>
      <w:r>
        <w:rPr>
          <w:rFonts w:hint="eastAsia" w:ascii="仿宋" w:hAnsi="仿宋" w:eastAsia="仿宋" w:cs="仿宋"/>
          <w:b/>
          <w:bCs/>
          <w:sz w:val="28"/>
          <w:szCs w:val="28"/>
          <w:lang w:eastAsia="zh-CN"/>
        </w:rPr>
        <w:t>矿产资源产业重点发展区域</w:t>
      </w:r>
      <w:bookmarkEnd w:id="81"/>
    </w:p>
    <w:p>
      <w:pPr>
        <w:keepNext w:val="0"/>
        <w:keepLines w:val="0"/>
        <w:pageBreakBefore w:val="0"/>
        <w:widowControl w:val="0"/>
        <w:tabs>
          <w:tab w:val="left" w:pos="0"/>
        </w:tabs>
        <w:kinsoku/>
        <w:wordWrap/>
        <w:overflowPunct/>
        <w:topLinePunct w:val="0"/>
        <w:autoSpaceDE/>
        <w:autoSpaceDN/>
        <w:bidi w:val="0"/>
        <w:adjustRightInd/>
        <w:snapToGrid/>
        <w:spacing w:after="0" w:line="500" w:lineRule="exact"/>
        <w:ind w:firstLine="562" w:firstLineChars="200"/>
        <w:textAlignment w:val="auto"/>
        <w:outlineLvl w:val="9"/>
        <w:rPr>
          <w:rFonts w:hint="eastAsia" w:ascii="仿宋" w:hAnsi="仿宋" w:eastAsia="仿宋" w:cs="仿宋"/>
          <w:color w:val="auto"/>
          <w:sz w:val="28"/>
          <w:szCs w:val="28"/>
        </w:rPr>
      </w:pPr>
      <w:r>
        <w:rPr>
          <w:rFonts w:hint="eastAsia" w:ascii="仿宋" w:hAnsi="仿宋" w:eastAsia="仿宋" w:cs="仿宋"/>
          <w:b/>
          <w:bCs w:val="0"/>
          <w:kern w:val="2"/>
          <w:sz w:val="28"/>
          <w:szCs w:val="28"/>
          <w:lang w:val="en-US" w:eastAsia="zh-CN" w:bidi="ar-SA"/>
        </w:rPr>
        <w:t>矿业发展重点区域。</w:t>
      </w:r>
      <w:r>
        <w:rPr>
          <w:rFonts w:hint="eastAsia" w:ascii="仿宋" w:hAnsi="仿宋" w:eastAsia="仿宋" w:cs="仿宋"/>
          <w:b w:val="0"/>
          <w:bCs w:val="0"/>
          <w:color w:val="auto"/>
          <w:kern w:val="2"/>
          <w:sz w:val="28"/>
          <w:szCs w:val="28"/>
          <w:lang w:val="en-US" w:eastAsia="zh-CN" w:bidi="ar-SA"/>
        </w:rPr>
        <w:t>按照矿产资源供需关系、国家产业政策及资源环境承载能力等，在成矿条件有利和找矿前景良好的地区，扩大已有资源勘查基地规模，形成新的矿产勘查基地。根据《新疆维吾尔自治区塔城地区矿产资源总体规划（2021-2025年）》，落实乌苏-沙湾经济带和</w:t>
      </w:r>
      <w:r>
        <w:rPr>
          <w:rFonts w:hint="eastAsia" w:ascii="仿宋" w:hAnsi="仿宋" w:eastAsia="仿宋" w:cs="仿宋"/>
          <w:b w:val="0"/>
          <w:bCs w:val="0"/>
          <w:color w:val="auto"/>
          <w:kern w:val="2"/>
          <w:sz w:val="28"/>
          <w:szCs w:val="28"/>
          <w:lang w:val="zh-CN" w:eastAsia="zh-CN" w:bidi="ar-SA"/>
        </w:rPr>
        <w:t>沙湾市煤</w:t>
      </w:r>
      <w:r>
        <w:rPr>
          <w:rFonts w:hint="eastAsia" w:ascii="仿宋" w:hAnsi="仿宋" w:eastAsia="仿宋" w:cs="仿宋"/>
          <w:b w:val="0"/>
          <w:bCs w:val="0"/>
          <w:color w:val="auto"/>
          <w:kern w:val="2"/>
          <w:sz w:val="28"/>
          <w:szCs w:val="28"/>
          <w:lang w:val="en-US" w:eastAsia="zh-CN" w:bidi="ar-SA"/>
        </w:rPr>
        <w:t>-</w:t>
      </w:r>
      <w:r>
        <w:rPr>
          <w:rFonts w:hint="eastAsia" w:ascii="仿宋" w:hAnsi="仿宋" w:eastAsia="仿宋" w:cs="仿宋"/>
          <w:b w:val="0"/>
          <w:bCs w:val="0"/>
          <w:color w:val="auto"/>
          <w:kern w:val="2"/>
          <w:sz w:val="28"/>
          <w:szCs w:val="28"/>
          <w:lang w:val="zh-CN" w:eastAsia="zh-CN" w:bidi="ar-SA"/>
        </w:rPr>
        <w:t>地热</w:t>
      </w:r>
      <w:r>
        <w:rPr>
          <w:rFonts w:hint="eastAsia" w:ascii="仿宋" w:hAnsi="仿宋" w:eastAsia="仿宋" w:cs="仿宋"/>
          <w:b w:val="0"/>
          <w:bCs w:val="0"/>
          <w:color w:val="auto"/>
          <w:kern w:val="2"/>
          <w:sz w:val="28"/>
          <w:szCs w:val="28"/>
          <w:lang w:val="en-US" w:eastAsia="zh-CN" w:bidi="ar-SA"/>
        </w:rPr>
        <w:t>矿产勘查开发规划分区，形</w:t>
      </w:r>
      <w:r>
        <w:rPr>
          <w:rFonts w:hint="eastAsia" w:ascii="仿宋" w:hAnsi="仿宋" w:eastAsia="仿宋" w:cs="仿宋"/>
          <w:color w:val="auto"/>
          <w:sz w:val="28"/>
          <w:szCs w:val="28"/>
          <w:lang w:val="en-US" w:eastAsia="zh-CN"/>
        </w:rPr>
        <w:t>成以精细化工、工矿产品加工、装备制造、新型建材和仓储物流等产业为主体的天山北坡煤化工基地、新疆重要的文化旅游产基地见专栏10</w:t>
      </w:r>
      <w:r>
        <w:rPr>
          <w:rFonts w:hint="eastAsia" w:ascii="仿宋" w:hAnsi="仿宋" w:eastAsia="仿宋" w:cs="仿宋"/>
          <w:color w:val="auto"/>
          <w:sz w:val="28"/>
          <w:szCs w:val="28"/>
        </w:rPr>
        <w:t>。</w:t>
      </w:r>
    </w:p>
    <w:tbl>
      <w:tblPr>
        <w:tblStyle w:val="16"/>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4062"/>
        <w:gridCol w:w="2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19" w:type="dxa"/>
            <w:gridSpan w:val="3"/>
            <w:shd w:val="clear" w:color="auto" w:fill="A5A5A5" w:themeFill="accent3"/>
            <w:noWrap w:val="0"/>
            <w:vAlign w:val="center"/>
          </w:tcPr>
          <w:p>
            <w:pPr>
              <w:pStyle w:val="28"/>
              <w:spacing w:line="240" w:lineRule="auto"/>
              <w:ind w:firstLine="0" w:firstLineChars="0"/>
              <w:jc w:val="center"/>
              <w:rPr>
                <w:rFonts w:hint="eastAsia" w:ascii="仿宋" w:hAnsi="仿宋" w:eastAsia="仿宋" w:cs="仿宋"/>
                <w:color w:val="auto"/>
                <w:kern w:val="0"/>
                <w:sz w:val="21"/>
                <w:szCs w:val="21"/>
                <w:lang w:val="en-US" w:eastAsia="zh-CN" w:bidi="ar-SA"/>
              </w:rPr>
            </w:pPr>
            <w:r>
              <w:rPr>
                <w:rFonts w:hint="eastAsia" w:ascii="仿宋" w:hAnsi="仿宋" w:eastAsia="仿宋" w:cs="仿宋"/>
                <w:b/>
                <w:bCs/>
                <w:kern w:val="2"/>
                <w:sz w:val="21"/>
                <w:szCs w:val="21"/>
                <w:lang w:val="en-US" w:eastAsia="zh-CN" w:bidi="ar-SA"/>
              </w:rPr>
              <w:t>专栏10  “十四五”规划矿业发展重点区域一览表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1" w:type="dxa"/>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jc w:val="center"/>
              <w:textAlignment w:val="auto"/>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名称</w:t>
            </w:r>
          </w:p>
        </w:tc>
        <w:tc>
          <w:tcPr>
            <w:tcW w:w="4062" w:type="dxa"/>
            <w:noWrap w:val="0"/>
            <w:vAlign w:val="center"/>
          </w:tcPr>
          <w:p>
            <w:pPr>
              <w:pStyle w:val="28"/>
              <w:spacing w:line="240" w:lineRule="auto"/>
              <w:ind w:firstLine="0" w:firstLineChars="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lang w:val="en-US" w:eastAsia="zh-CN" w:bidi="ar-SA"/>
              </w:rPr>
              <w:t>主要资源依托</w:t>
            </w:r>
          </w:p>
        </w:tc>
        <w:tc>
          <w:tcPr>
            <w:tcW w:w="2656" w:type="dxa"/>
            <w:noWrap w:val="0"/>
            <w:vAlign w:val="center"/>
          </w:tcPr>
          <w:p>
            <w:pPr>
              <w:pStyle w:val="28"/>
              <w:spacing w:line="240" w:lineRule="auto"/>
              <w:ind w:firstLine="0" w:firstLineChars="0"/>
              <w:jc w:val="center"/>
              <w:rPr>
                <w:rFonts w:hint="eastAsia" w:ascii="仿宋" w:hAnsi="仿宋" w:eastAsia="仿宋" w:cs="仿宋"/>
                <w:color w:val="auto"/>
                <w:sz w:val="21"/>
                <w:szCs w:val="21"/>
              </w:rPr>
            </w:pPr>
            <w:r>
              <w:rPr>
                <w:rFonts w:hint="eastAsia" w:ascii="仿宋" w:hAnsi="仿宋" w:eastAsia="仿宋" w:cs="仿宋"/>
                <w:color w:val="auto"/>
                <w:kern w:val="0"/>
                <w:sz w:val="21"/>
                <w:szCs w:val="21"/>
                <w:lang w:val="en-US" w:eastAsia="zh-CN" w:bidi="ar-SA"/>
              </w:rPr>
              <w:t>发展方向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乌苏-沙湾经济带</w:t>
            </w:r>
          </w:p>
        </w:tc>
        <w:tc>
          <w:tcPr>
            <w:tcW w:w="406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沙湾东、沙湾西、四棵树煤矿区，沙湾-乌苏一带温泉</w:t>
            </w:r>
          </w:p>
        </w:tc>
        <w:tc>
          <w:tcPr>
            <w:tcW w:w="265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煤化工，温泉旅游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801"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kern w:val="0"/>
                <w:sz w:val="21"/>
                <w:szCs w:val="21"/>
                <w:lang w:val="en-US" w:eastAsia="zh-CN" w:bidi="ar-SA"/>
              </w:rPr>
            </w:pPr>
            <w:bookmarkStart w:id="82" w:name="_Toc16144"/>
            <w:bookmarkStart w:id="83" w:name="_Toc8590"/>
            <w:bookmarkStart w:id="84" w:name="_Toc31197"/>
            <w:bookmarkStart w:id="85" w:name="_Toc23083"/>
            <w:r>
              <w:rPr>
                <w:rFonts w:hint="eastAsia" w:ascii="仿宋" w:hAnsi="仿宋" w:eastAsia="仿宋" w:cs="仿宋"/>
                <w:color w:val="auto"/>
                <w:kern w:val="0"/>
                <w:sz w:val="21"/>
                <w:szCs w:val="21"/>
                <w:lang w:val="zh-CN" w:eastAsia="zh-CN" w:bidi="ar-SA"/>
              </w:rPr>
              <w:t>沙湾市煤</w:t>
            </w:r>
            <w:r>
              <w:rPr>
                <w:rFonts w:hint="eastAsia" w:ascii="仿宋" w:hAnsi="仿宋" w:eastAsia="仿宋" w:cs="仿宋"/>
                <w:color w:val="auto"/>
                <w:kern w:val="0"/>
                <w:sz w:val="21"/>
                <w:szCs w:val="21"/>
                <w:lang w:val="en-US" w:eastAsia="zh-CN" w:bidi="ar-SA"/>
              </w:rPr>
              <w:t>-</w:t>
            </w:r>
            <w:r>
              <w:rPr>
                <w:rFonts w:hint="eastAsia" w:ascii="仿宋" w:hAnsi="仿宋" w:eastAsia="仿宋" w:cs="仿宋"/>
                <w:color w:val="auto"/>
                <w:kern w:val="0"/>
                <w:sz w:val="21"/>
                <w:szCs w:val="21"/>
                <w:lang w:val="zh-CN" w:eastAsia="zh-CN" w:bidi="ar-SA"/>
              </w:rPr>
              <w:t>地热</w:t>
            </w:r>
            <w:r>
              <w:rPr>
                <w:rFonts w:hint="eastAsia" w:ascii="仿宋" w:hAnsi="仿宋" w:eastAsia="仿宋" w:cs="仿宋"/>
                <w:color w:val="auto"/>
                <w:kern w:val="0"/>
                <w:sz w:val="21"/>
                <w:szCs w:val="21"/>
                <w:lang w:val="en-US" w:eastAsia="zh-CN" w:bidi="ar-SA"/>
              </w:rPr>
              <w:t>矿产勘查开发规划分区</w:t>
            </w:r>
          </w:p>
        </w:tc>
        <w:tc>
          <w:tcPr>
            <w:tcW w:w="406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沙湾煤矿、煤层气、石灰岩、温泉</w:t>
            </w:r>
          </w:p>
        </w:tc>
        <w:tc>
          <w:tcPr>
            <w:tcW w:w="265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精细化工、温泉</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lang w:eastAsia="zh-CN"/>
        </w:rPr>
        <w:t>）</w:t>
      </w:r>
      <w:r>
        <w:rPr>
          <w:rFonts w:hint="eastAsia" w:ascii="仿宋" w:hAnsi="仿宋" w:eastAsia="仿宋" w:cs="仿宋"/>
          <w:b/>
          <w:bCs/>
          <w:sz w:val="28"/>
          <w:szCs w:val="28"/>
        </w:rPr>
        <w:t>勘查开发与保护布局</w:t>
      </w:r>
      <w:bookmarkEnd w:id="82"/>
      <w:bookmarkEnd w:id="83"/>
      <w:bookmarkEnd w:id="84"/>
      <w:bookmarkEnd w:id="85"/>
      <w:bookmarkStart w:id="86" w:name="_Toc65516655"/>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b w:val="0"/>
          <w:bCs w:val="0"/>
          <w:color w:val="000000"/>
          <w:spacing w:val="-2"/>
          <w:sz w:val="28"/>
          <w:szCs w:val="28"/>
        </w:rPr>
      </w:pPr>
      <w:r>
        <w:rPr>
          <w:rFonts w:hint="eastAsia" w:ascii="仿宋" w:hAnsi="仿宋" w:eastAsia="仿宋" w:cs="仿宋"/>
          <w:b/>
          <w:bCs/>
          <w:sz w:val="28"/>
          <w:szCs w:val="28"/>
        </w:rPr>
        <w:t>勘查开采与保护布局方向和措施</w:t>
      </w:r>
      <w:r>
        <w:rPr>
          <w:rFonts w:hint="eastAsia" w:ascii="仿宋" w:hAnsi="仿宋" w:eastAsia="仿宋" w:cs="仿宋"/>
          <w:b/>
          <w:bCs/>
          <w:sz w:val="28"/>
          <w:szCs w:val="28"/>
          <w:lang w:eastAsia="zh-CN"/>
        </w:rPr>
        <w:t>。</w:t>
      </w:r>
      <w:r>
        <w:rPr>
          <w:rFonts w:hint="eastAsia" w:ascii="仿宋" w:hAnsi="仿宋" w:eastAsia="仿宋" w:cs="仿宋"/>
          <w:b w:val="0"/>
          <w:bCs w:val="0"/>
          <w:color w:val="auto"/>
          <w:sz w:val="28"/>
          <w:szCs w:val="28"/>
        </w:rPr>
        <w:t>围绕丝绸之路经济带核心区建设及</w:t>
      </w:r>
      <w:r>
        <w:rPr>
          <w:rFonts w:hint="eastAsia" w:ascii="仿宋" w:hAnsi="仿宋" w:eastAsia="仿宋" w:cs="仿宋"/>
          <w:b w:val="0"/>
          <w:bCs w:val="0"/>
          <w:color w:val="auto"/>
          <w:kern w:val="2"/>
          <w:sz w:val="28"/>
          <w:szCs w:val="28"/>
          <w:highlight w:val="none"/>
          <w:lang w:val="en-US" w:eastAsia="zh-CN" w:bidi="ar-SA"/>
        </w:rPr>
        <w:t>“乌-沙-托-和”产业集群发</w:t>
      </w:r>
      <w:r>
        <w:rPr>
          <w:rFonts w:hint="eastAsia" w:ascii="仿宋" w:hAnsi="仿宋" w:eastAsia="仿宋" w:cs="仿宋"/>
          <w:b w:val="0"/>
          <w:bCs w:val="0"/>
          <w:color w:val="auto"/>
          <w:sz w:val="28"/>
          <w:szCs w:val="28"/>
        </w:rPr>
        <w:t>展</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以</w:t>
      </w:r>
      <w:r>
        <w:rPr>
          <w:rFonts w:hint="eastAsia" w:ascii="仿宋" w:hAnsi="仿宋" w:eastAsia="仿宋" w:cs="仿宋"/>
          <w:b w:val="0"/>
          <w:bCs w:val="0"/>
          <w:color w:val="auto"/>
          <w:kern w:val="2"/>
          <w:sz w:val="28"/>
          <w:szCs w:val="28"/>
          <w:highlight w:val="none"/>
          <w:lang w:val="en-US" w:eastAsia="zh-CN" w:bidi="ar-SA"/>
        </w:rPr>
        <w:t>建设重点开发开放试验区为契机，</w:t>
      </w:r>
      <w:r>
        <w:rPr>
          <w:rFonts w:hint="eastAsia" w:ascii="仿宋" w:hAnsi="仿宋" w:eastAsia="仿宋" w:cs="仿宋"/>
          <w:b w:val="0"/>
          <w:bCs w:val="0"/>
          <w:sz w:val="28"/>
          <w:szCs w:val="28"/>
        </w:rPr>
        <w:t>支撑“三基地一通道”建设和高质量发展战略</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根据</w:t>
      </w:r>
      <w:r>
        <w:rPr>
          <w:rFonts w:hint="eastAsia" w:ascii="仿宋" w:hAnsi="仿宋" w:eastAsia="仿宋" w:cs="仿宋"/>
          <w:b w:val="0"/>
          <w:bCs w:val="0"/>
          <w:sz w:val="28"/>
          <w:szCs w:val="28"/>
          <w:lang w:val="en-US" w:eastAsia="zh-CN"/>
        </w:rPr>
        <w:t>沙湾</w:t>
      </w:r>
      <w:r>
        <w:rPr>
          <w:rFonts w:hint="eastAsia" w:ascii="仿宋" w:hAnsi="仿宋" w:eastAsia="仿宋" w:cs="仿宋"/>
          <w:b w:val="0"/>
          <w:bCs w:val="0"/>
          <w:sz w:val="28"/>
          <w:szCs w:val="28"/>
        </w:rPr>
        <w:t>市矿产资源勘查开发现状及资源环境承载能力，按照矿产资源开发利用的产业化方向和地域分工要求，发挥矿产资源配置在经济发展和市场中的重要作用。在国土空间规划三条控制线管控下，以战略性矿产、</w:t>
      </w:r>
      <w:r>
        <w:rPr>
          <w:rFonts w:hint="eastAsia" w:ascii="仿宋" w:hAnsi="仿宋" w:eastAsia="仿宋" w:cs="仿宋"/>
          <w:b w:val="0"/>
          <w:bCs w:val="0"/>
          <w:sz w:val="28"/>
          <w:szCs w:val="28"/>
          <w:lang w:val="en-US" w:eastAsia="zh-CN"/>
        </w:rPr>
        <w:t>塔城地区</w:t>
      </w:r>
      <w:r>
        <w:rPr>
          <w:rFonts w:hint="eastAsia" w:ascii="仿宋" w:hAnsi="仿宋" w:eastAsia="仿宋" w:cs="仿宋"/>
          <w:b w:val="0"/>
          <w:bCs w:val="0"/>
          <w:sz w:val="28"/>
          <w:szCs w:val="28"/>
        </w:rPr>
        <w:t>优势矿产资源及</w:t>
      </w:r>
      <w:r>
        <w:rPr>
          <w:rFonts w:hint="eastAsia" w:ascii="仿宋" w:hAnsi="仿宋" w:eastAsia="仿宋" w:cs="仿宋"/>
          <w:b w:val="0"/>
          <w:bCs w:val="0"/>
          <w:sz w:val="28"/>
          <w:szCs w:val="28"/>
          <w:lang w:val="en-US" w:eastAsia="zh-CN"/>
        </w:rPr>
        <w:t>沙湾</w:t>
      </w:r>
      <w:r>
        <w:rPr>
          <w:rFonts w:hint="eastAsia" w:ascii="仿宋" w:hAnsi="仿宋" w:eastAsia="仿宋" w:cs="仿宋"/>
          <w:b w:val="0"/>
          <w:bCs w:val="0"/>
          <w:sz w:val="28"/>
          <w:szCs w:val="28"/>
        </w:rPr>
        <w:t>市优势矿产为重点，统筹全市矿产资源勘查开发与保护布局。加</w:t>
      </w:r>
      <w:r>
        <w:rPr>
          <w:rFonts w:hint="eastAsia" w:ascii="仿宋" w:hAnsi="仿宋" w:eastAsia="仿宋" w:cs="仿宋"/>
          <w:b w:val="0"/>
          <w:bCs w:val="0"/>
          <w:sz w:val="28"/>
          <w:szCs w:val="28"/>
          <w:lang w:val="en-US" w:eastAsia="zh-CN"/>
        </w:rPr>
        <w:t>强沙湾市天山北坡</w:t>
      </w:r>
      <w:r>
        <w:rPr>
          <w:rFonts w:hint="eastAsia" w:ascii="仿宋" w:hAnsi="仿宋" w:eastAsia="仿宋" w:cs="仿宋"/>
          <w:b w:val="0"/>
          <w:bCs w:val="0"/>
          <w:sz w:val="28"/>
          <w:szCs w:val="28"/>
        </w:rPr>
        <w:t>非常规能源勘查，</w:t>
      </w:r>
      <w:r>
        <w:rPr>
          <w:rFonts w:hint="eastAsia" w:ascii="仿宋" w:hAnsi="仿宋" w:eastAsia="仿宋" w:cs="仿宋"/>
          <w:b w:val="0"/>
          <w:bCs w:val="0"/>
          <w:color w:val="auto"/>
          <w:kern w:val="2"/>
          <w:sz w:val="28"/>
          <w:szCs w:val="28"/>
          <w:highlight w:val="none"/>
          <w:lang w:val="en-US" w:eastAsia="zh-CN" w:bidi="ar-SA"/>
        </w:rPr>
        <w:t>积极延伸煤焦化-焦油深加工产业链</w:t>
      </w:r>
      <w:r>
        <w:rPr>
          <w:rFonts w:hint="eastAsia" w:ascii="仿宋" w:hAnsi="仿宋" w:eastAsia="仿宋" w:cs="仿宋"/>
          <w:b w:val="0"/>
          <w:bCs w:val="0"/>
          <w:sz w:val="28"/>
          <w:szCs w:val="28"/>
        </w:rPr>
        <w:t>，加大铁、铜、镍</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矿产资源的勘查与开发，加大市本级</w:t>
      </w:r>
      <w:r>
        <w:rPr>
          <w:rFonts w:hint="eastAsia" w:ascii="仿宋" w:hAnsi="仿宋" w:eastAsia="仿宋" w:cs="仿宋"/>
          <w:b w:val="0"/>
          <w:bCs w:val="0"/>
          <w:color w:val="000000"/>
          <w:spacing w:val="-2"/>
          <w:sz w:val="28"/>
          <w:szCs w:val="28"/>
        </w:rPr>
        <w:t>矿业权出让登记权限内</w:t>
      </w:r>
      <w:r>
        <w:rPr>
          <w:rFonts w:hint="eastAsia" w:ascii="仿宋" w:hAnsi="仿宋" w:eastAsia="仿宋" w:cs="仿宋"/>
          <w:b w:val="0"/>
          <w:bCs w:val="0"/>
          <w:sz w:val="28"/>
          <w:szCs w:val="28"/>
        </w:rPr>
        <w:t>的石灰岩、玄武岩等非金属矿产勘查与开发，支撑</w:t>
      </w:r>
      <w:r>
        <w:rPr>
          <w:rFonts w:hint="eastAsia" w:ascii="仿宋" w:hAnsi="仿宋" w:eastAsia="仿宋" w:cs="仿宋"/>
          <w:b w:val="0"/>
          <w:bCs w:val="0"/>
          <w:sz w:val="28"/>
          <w:szCs w:val="28"/>
          <w:lang w:val="en-US" w:eastAsia="zh-CN"/>
        </w:rPr>
        <w:t>沙湾</w:t>
      </w:r>
      <w:r>
        <w:rPr>
          <w:rFonts w:hint="eastAsia" w:ascii="仿宋" w:hAnsi="仿宋" w:eastAsia="仿宋" w:cs="仿宋"/>
          <w:b w:val="0"/>
          <w:bCs w:val="0"/>
          <w:sz w:val="28"/>
          <w:szCs w:val="28"/>
        </w:rPr>
        <w:t>市矿业经济</w:t>
      </w:r>
      <w:r>
        <w:rPr>
          <w:rFonts w:hint="eastAsia" w:ascii="仿宋" w:hAnsi="仿宋" w:eastAsia="仿宋" w:cs="仿宋"/>
          <w:b w:val="0"/>
          <w:bCs w:val="0"/>
          <w:sz w:val="28"/>
          <w:szCs w:val="28"/>
          <w:lang w:val="en-US" w:eastAsia="zh-CN"/>
        </w:rPr>
        <w:t>的</w:t>
      </w:r>
      <w:r>
        <w:rPr>
          <w:rFonts w:hint="eastAsia" w:ascii="仿宋" w:hAnsi="仿宋" w:eastAsia="仿宋" w:cs="仿宋"/>
          <w:b w:val="0"/>
          <w:bCs w:val="0"/>
          <w:sz w:val="28"/>
          <w:szCs w:val="28"/>
        </w:rPr>
        <w:t>发展</w:t>
      </w:r>
      <w:r>
        <w:rPr>
          <w:rFonts w:hint="eastAsia" w:ascii="仿宋" w:hAnsi="仿宋" w:eastAsia="仿宋" w:cs="仿宋"/>
          <w:b w:val="0"/>
          <w:bCs w:val="0"/>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outlineLvl w:val="9"/>
        <w:rPr>
          <w:rFonts w:hint="eastAsia" w:ascii="仿宋" w:hAnsi="仿宋" w:eastAsia="仿宋" w:cs="仿宋"/>
          <w:color w:val="000000"/>
          <w:spacing w:val="-2"/>
          <w:sz w:val="28"/>
          <w:szCs w:val="28"/>
        </w:rPr>
      </w:pPr>
      <w:r>
        <w:rPr>
          <w:rFonts w:hint="eastAsia" w:ascii="仿宋" w:hAnsi="仿宋" w:eastAsia="仿宋" w:cs="仿宋"/>
          <w:b/>
          <w:color w:val="000000"/>
          <w:spacing w:val="-2"/>
          <w:sz w:val="28"/>
          <w:szCs w:val="28"/>
        </w:rPr>
        <w:t>落实上级矿产资源规划部署</w:t>
      </w:r>
      <w:r>
        <w:rPr>
          <w:rFonts w:hint="eastAsia" w:ascii="仿宋" w:hAnsi="仿宋" w:eastAsia="仿宋" w:cs="仿宋"/>
          <w:b/>
          <w:color w:val="000000"/>
          <w:spacing w:val="-2"/>
          <w:sz w:val="28"/>
          <w:szCs w:val="28"/>
          <w:lang w:eastAsia="zh-CN"/>
        </w:rPr>
        <w:t>。</w:t>
      </w:r>
      <w:r>
        <w:rPr>
          <w:rFonts w:hint="eastAsia" w:ascii="仿宋" w:hAnsi="仿宋" w:eastAsia="仿宋" w:cs="仿宋"/>
          <w:color w:val="000000"/>
          <w:spacing w:val="-2"/>
          <w:sz w:val="28"/>
          <w:szCs w:val="28"/>
        </w:rPr>
        <w:t>落实《新疆维吾尔自治区矿产资源总体规划（2021-2025年）》《新疆维吾尔自治区塔城地区矿产资源总体规划（2021-2025</w:t>
      </w:r>
      <w:r>
        <w:rPr>
          <w:rFonts w:hint="eastAsia" w:ascii="仿宋" w:hAnsi="仿宋" w:eastAsia="仿宋" w:cs="仿宋"/>
          <w:color w:val="000000"/>
          <w:spacing w:val="-2"/>
          <w:sz w:val="28"/>
          <w:szCs w:val="28"/>
          <w:lang w:val="en-US" w:eastAsia="zh-CN"/>
        </w:rPr>
        <w:t>年</w:t>
      </w:r>
      <w:r>
        <w:rPr>
          <w:rFonts w:hint="eastAsia" w:ascii="仿宋" w:hAnsi="仿宋" w:eastAsia="仿宋" w:cs="仿宋"/>
          <w:color w:val="000000"/>
          <w:spacing w:val="-2"/>
          <w:sz w:val="28"/>
          <w:szCs w:val="28"/>
        </w:rPr>
        <w:t>）》在</w:t>
      </w:r>
      <w:r>
        <w:rPr>
          <w:rFonts w:hint="eastAsia" w:ascii="仿宋" w:hAnsi="仿宋" w:eastAsia="仿宋" w:cs="仿宋"/>
          <w:color w:val="000000"/>
          <w:spacing w:val="-2"/>
          <w:sz w:val="28"/>
          <w:szCs w:val="28"/>
          <w:lang w:val="en-US" w:eastAsia="zh-CN"/>
        </w:rPr>
        <w:t>沙湾市</w:t>
      </w:r>
      <w:r>
        <w:rPr>
          <w:rFonts w:hint="eastAsia" w:ascii="仿宋" w:hAnsi="仿宋" w:eastAsia="仿宋" w:cs="仿宋"/>
          <w:color w:val="000000"/>
          <w:spacing w:val="-2"/>
          <w:sz w:val="28"/>
          <w:szCs w:val="28"/>
        </w:rPr>
        <w:t>划定的</w:t>
      </w:r>
      <w:r>
        <w:rPr>
          <w:rFonts w:hint="eastAsia" w:ascii="仿宋" w:hAnsi="仿宋" w:eastAsia="仿宋" w:cs="仿宋"/>
          <w:color w:val="000000"/>
          <w:spacing w:val="-2"/>
          <w:sz w:val="28"/>
          <w:szCs w:val="28"/>
          <w:lang w:val="en-US" w:eastAsia="zh-CN"/>
        </w:rPr>
        <w:t>1</w:t>
      </w:r>
      <w:r>
        <w:rPr>
          <w:rFonts w:hint="eastAsia" w:ascii="仿宋" w:hAnsi="仿宋" w:eastAsia="仿宋" w:cs="仿宋"/>
          <w:color w:val="000000"/>
          <w:spacing w:val="-2"/>
          <w:sz w:val="28"/>
          <w:szCs w:val="28"/>
        </w:rPr>
        <w:t>个国家规划矿区</w:t>
      </w:r>
      <w:r>
        <w:rPr>
          <w:rFonts w:hint="eastAsia" w:ascii="仿宋" w:hAnsi="仿宋" w:eastAsia="仿宋" w:cs="仿宋"/>
          <w:color w:val="000000"/>
          <w:spacing w:val="-2"/>
          <w:sz w:val="28"/>
          <w:szCs w:val="28"/>
          <w:lang w:eastAsia="zh-CN"/>
        </w:rPr>
        <w:t>、</w:t>
      </w:r>
      <w:r>
        <w:rPr>
          <w:rFonts w:hint="eastAsia" w:ascii="仿宋" w:hAnsi="仿宋" w:eastAsia="仿宋" w:cs="仿宋"/>
          <w:color w:val="000000"/>
          <w:spacing w:val="-2"/>
          <w:sz w:val="28"/>
          <w:szCs w:val="28"/>
          <w:lang w:val="en-US" w:eastAsia="zh-CN"/>
        </w:rPr>
        <w:t>2</w:t>
      </w:r>
      <w:r>
        <w:rPr>
          <w:rFonts w:hint="eastAsia" w:ascii="仿宋" w:hAnsi="仿宋" w:eastAsia="仿宋" w:cs="仿宋"/>
          <w:color w:val="000000"/>
          <w:spacing w:val="-2"/>
          <w:sz w:val="28"/>
          <w:szCs w:val="28"/>
        </w:rPr>
        <w:t>个</w:t>
      </w:r>
      <w:r>
        <w:rPr>
          <w:rFonts w:hint="eastAsia" w:ascii="仿宋" w:hAnsi="仿宋" w:eastAsia="仿宋" w:cs="仿宋"/>
          <w:color w:val="000000"/>
          <w:spacing w:val="-2"/>
          <w:sz w:val="28"/>
          <w:szCs w:val="28"/>
          <w:lang w:val="en-US" w:eastAsia="zh-CN"/>
        </w:rPr>
        <w:t>自治区级重点</w:t>
      </w:r>
      <w:r>
        <w:rPr>
          <w:rFonts w:hint="eastAsia" w:ascii="仿宋" w:hAnsi="仿宋" w:eastAsia="仿宋" w:cs="仿宋"/>
          <w:color w:val="000000"/>
          <w:spacing w:val="-2"/>
          <w:sz w:val="28"/>
          <w:szCs w:val="28"/>
        </w:rPr>
        <w:t>开采区</w:t>
      </w:r>
      <w:r>
        <w:rPr>
          <w:rFonts w:hint="eastAsia" w:ascii="仿宋" w:hAnsi="仿宋" w:eastAsia="仿宋" w:cs="仿宋"/>
          <w:sz w:val="28"/>
          <w:szCs w:val="32"/>
        </w:rPr>
        <w:t>。</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outlineLvl w:val="9"/>
        <w:rPr>
          <w:rFonts w:hint="eastAsia" w:ascii="仿宋" w:hAnsi="仿宋" w:eastAsia="仿宋" w:cs="宋体"/>
          <w:color w:val="000000"/>
          <w:spacing w:val="-2"/>
          <w:sz w:val="28"/>
          <w:szCs w:val="28"/>
        </w:rPr>
      </w:pPr>
      <w:r>
        <w:rPr>
          <w:rFonts w:hint="eastAsia" w:ascii="仿宋" w:hAnsi="仿宋" w:eastAsia="仿宋" w:cs="仿宋"/>
          <w:b/>
          <w:color w:val="000000"/>
          <w:spacing w:val="-2"/>
          <w:sz w:val="28"/>
          <w:szCs w:val="28"/>
          <w:lang w:val="en-US" w:eastAsia="zh-CN"/>
        </w:rPr>
        <w:t>--</w:t>
      </w:r>
      <w:r>
        <w:rPr>
          <w:rFonts w:hint="eastAsia" w:ascii="仿宋" w:hAnsi="仿宋" w:eastAsia="仿宋" w:cs="仿宋"/>
          <w:b/>
          <w:bCs/>
          <w:color w:val="000000"/>
          <w:sz w:val="28"/>
          <w:szCs w:val="28"/>
          <w:lang w:val="zh-CN"/>
        </w:rPr>
        <w:t>国家规划矿区</w:t>
      </w:r>
      <w:r>
        <w:rPr>
          <w:rFonts w:hint="eastAsia" w:ascii="仿宋" w:hAnsi="仿宋" w:eastAsia="仿宋" w:cs="仿宋"/>
          <w:color w:val="000000"/>
          <w:sz w:val="28"/>
          <w:szCs w:val="28"/>
          <w:lang w:val="zh-CN"/>
        </w:rPr>
        <w:t>。</w:t>
      </w:r>
      <w:r>
        <w:rPr>
          <w:rFonts w:hint="eastAsia" w:ascii="仿宋" w:hAnsi="仿宋" w:eastAsia="仿宋" w:cs="仿宋"/>
          <w:color w:val="000000"/>
          <w:spacing w:val="-2"/>
          <w:sz w:val="28"/>
          <w:szCs w:val="28"/>
        </w:rPr>
        <w:t>落实《新疆维吾尔自治</w:t>
      </w:r>
      <w:r>
        <w:rPr>
          <w:rFonts w:hint="eastAsia" w:ascii="仿宋" w:hAnsi="仿宋" w:eastAsia="仿宋" w:cs="宋体"/>
          <w:color w:val="000000"/>
          <w:spacing w:val="-2"/>
          <w:sz w:val="28"/>
          <w:szCs w:val="28"/>
        </w:rPr>
        <w:t>区矿产资源规划（2021-2025年）》</w:t>
      </w:r>
      <w:r>
        <w:rPr>
          <w:rFonts w:hint="eastAsia" w:ascii="仿宋" w:hAnsi="仿宋" w:eastAsia="仿宋" w:cs="宋体"/>
          <w:color w:val="000000"/>
          <w:spacing w:val="-2"/>
          <w:sz w:val="28"/>
          <w:szCs w:val="28"/>
          <w:lang w:val="en-US" w:eastAsia="zh-CN"/>
        </w:rPr>
        <w:t>在沙湾市</w:t>
      </w:r>
      <w:r>
        <w:rPr>
          <w:rFonts w:hint="eastAsia" w:ascii="仿宋" w:hAnsi="仿宋" w:eastAsia="仿宋" w:cs="宋体"/>
          <w:color w:val="000000"/>
          <w:spacing w:val="-2"/>
          <w:sz w:val="28"/>
          <w:szCs w:val="28"/>
        </w:rPr>
        <w:t>划定的国家规划矿区（专栏</w:t>
      </w:r>
      <w:r>
        <w:rPr>
          <w:rFonts w:hint="eastAsia" w:ascii="仿宋" w:hAnsi="仿宋" w:eastAsia="仿宋" w:cs="宋体"/>
          <w:color w:val="000000"/>
          <w:spacing w:val="-2"/>
          <w:sz w:val="28"/>
          <w:szCs w:val="28"/>
          <w:lang w:val="en-US" w:eastAsia="zh-CN"/>
        </w:rPr>
        <w:t>11</w:t>
      </w:r>
      <w:r>
        <w:rPr>
          <w:rFonts w:hint="eastAsia" w:ascii="仿宋" w:hAnsi="仿宋" w:eastAsia="仿宋" w:cs="宋体"/>
          <w:color w:val="000000"/>
          <w:spacing w:val="-2"/>
          <w:sz w:val="28"/>
          <w:szCs w:val="28"/>
        </w:rPr>
        <w:t>）。优先保障其勘查开发，严格矿业权人勘查开采准入条件，鼓励现有矿业权人合作、整合，形成大中型矿山为主体的开发格局，提升资源综合利用水平，为能源资源基地建设提供支撑。</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3755"/>
        <w:gridCol w:w="2279"/>
        <w:gridCol w:w="1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trPr>
        <w:tc>
          <w:tcPr>
            <w:tcW w:w="8522" w:type="dxa"/>
            <w:gridSpan w:val="4"/>
            <w:shd w:val="clear" w:color="auto" w:fill="D9D9D9"/>
            <w:noWrap w:val="0"/>
            <w:vAlign w:val="center"/>
          </w:tcPr>
          <w:p>
            <w:pPr>
              <w:snapToGrid w:val="0"/>
              <w:jc w:val="center"/>
              <w:rPr>
                <w:rFonts w:hint="eastAsia" w:ascii="仿宋_GB2312" w:hAnsi="宋体" w:eastAsia="仿宋_GB2312"/>
                <w:color w:val="000000"/>
                <w:szCs w:val="21"/>
              </w:rPr>
            </w:pPr>
            <w:r>
              <w:rPr>
                <w:rFonts w:hint="eastAsia" w:ascii="仿宋" w:hAnsi="仿宋" w:eastAsia="仿宋" w:cs="仿宋"/>
                <w:b/>
                <w:bCs/>
                <w:color w:val="000000"/>
                <w:kern w:val="0"/>
                <w:szCs w:val="21"/>
              </w:rPr>
              <w:t>专栏</w:t>
            </w:r>
            <w:r>
              <w:rPr>
                <w:rFonts w:hint="eastAsia" w:ascii="仿宋" w:hAnsi="仿宋" w:eastAsia="仿宋" w:cs="仿宋"/>
                <w:b/>
                <w:bCs/>
                <w:color w:val="000000"/>
                <w:kern w:val="0"/>
                <w:szCs w:val="21"/>
                <w:lang w:val="en-US" w:eastAsia="zh-CN"/>
              </w:rPr>
              <w:t>11</w:t>
            </w:r>
            <w:r>
              <w:rPr>
                <w:rFonts w:hint="eastAsia" w:ascii="仿宋" w:hAnsi="仿宋" w:eastAsia="仿宋" w:cs="仿宋"/>
                <w:b/>
                <w:bCs/>
                <w:color w:val="000000"/>
                <w:kern w:val="0"/>
                <w:szCs w:val="21"/>
              </w:rPr>
              <w:t xml:space="preserve">  </w:t>
            </w:r>
            <w:r>
              <w:rPr>
                <w:rFonts w:hint="eastAsia" w:ascii="仿宋" w:hAnsi="仿宋" w:eastAsia="仿宋" w:cs="仿宋"/>
                <w:b/>
                <w:bCs/>
                <w:color w:val="000000"/>
                <w:kern w:val="0"/>
                <w:szCs w:val="21"/>
                <w:lang w:val="en-US" w:eastAsia="zh-CN"/>
              </w:rPr>
              <w:t>沙湾市</w:t>
            </w:r>
            <w:r>
              <w:rPr>
                <w:rFonts w:hint="eastAsia" w:ascii="仿宋" w:hAnsi="仿宋" w:eastAsia="仿宋" w:cs="仿宋"/>
                <w:b/>
                <w:bCs/>
                <w:color w:val="000000"/>
                <w:kern w:val="0"/>
                <w:szCs w:val="21"/>
              </w:rPr>
              <w:t>辖区国家规划矿区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3" w:type="dxa"/>
            <w:noWrap w:val="0"/>
            <w:vAlign w:val="center"/>
          </w:tcPr>
          <w:p>
            <w:pPr>
              <w:snapToGrid w:val="0"/>
              <w:jc w:val="center"/>
              <w:rPr>
                <w:rFonts w:hint="eastAsia" w:ascii="仿宋" w:hAnsi="仿宋" w:eastAsia="仿宋" w:cs="仿宋"/>
                <w:color w:val="000000"/>
                <w:szCs w:val="21"/>
              </w:rPr>
            </w:pPr>
            <w:r>
              <w:rPr>
                <w:rFonts w:hint="eastAsia" w:ascii="仿宋" w:hAnsi="仿宋" w:eastAsia="仿宋" w:cs="仿宋"/>
                <w:color w:val="000000"/>
                <w:szCs w:val="21"/>
              </w:rPr>
              <w:t>序号</w:t>
            </w:r>
          </w:p>
        </w:tc>
        <w:tc>
          <w:tcPr>
            <w:tcW w:w="3755" w:type="dxa"/>
            <w:noWrap w:val="0"/>
            <w:vAlign w:val="center"/>
          </w:tcPr>
          <w:p>
            <w:pPr>
              <w:snapToGrid w:val="0"/>
              <w:jc w:val="center"/>
              <w:rPr>
                <w:rFonts w:hint="eastAsia" w:ascii="仿宋" w:hAnsi="仿宋" w:eastAsia="仿宋" w:cs="仿宋"/>
                <w:color w:val="000000"/>
                <w:szCs w:val="21"/>
              </w:rPr>
            </w:pPr>
            <w:r>
              <w:rPr>
                <w:rFonts w:hint="eastAsia" w:ascii="仿宋" w:hAnsi="仿宋" w:eastAsia="仿宋" w:cs="仿宋"/>
                <w:color w:val="000000"/>
                <w:szCs w:val="21"/>
              </w:rPr>
              <w:t>名称</w:t>
            </w:r>
          </w:p>
        </w:tc>
        <w:tc>
          <w:tcPr>
            <w:tcW w:w="2279" w:type="dxa"/>
            <w:noWrap w:val="0"/>
            <w:vAlign w:val="center"/>
          </w:tcPr>
          <w:p>
            <w:pPr>
              <w:snapToGrid w:val="0"/>
              <w:jc w:val="center"/>
              <w:rPr>
                <w:rFonts w:hint="eastAsia" w:ascii="仿宋" w:hAnsi="仿宋" w:eastAsia="仿宋" w:cs="仿宋"/>
                <w:color w:val="000000"/>
                <w:szCs w:val="21"/>
              </w:rPr>
            </w:pPr>
            <w:r>
              <w:rPr>
                <w:rFonts w:hint="eastAsia" w:ascii="仿宋" w:hAnsi="仿宋" w:eastAsia="仿宋" w:cs="仿宋"/>
                <w:color w:val="000000"/>
                <w:szCs w:val="21"/>
              </w:rPr>
              <w:t>面积（平方千米）</w:t>
            </w:r>
          </w:p>
        </w:tc>
        <w:tc>
          <w:tcPr>
            <w:tcW w:w="1715" w:type="dxa"/>
            <w:noWrap w:val="0"/>
            <w:vAlign w:val="center"/>
          </w:tcPr>
          <w:p>
            <w:pPr>
              <w:snapToGrid w:val="0"/>
              <w:jc w:val="center"/>
              <w:rPr>
                <w:rFonts w:hint="eastAsia" w:ascii="仿宋" w:hAnsi="仿宋" w:eastAsia="仿宋" w:cs="仿宋"/>
                <w:color w:val="000000"/>
                <w:szCs w:val="21"/>
              </w:rPr>
            </w:pPr>
            <w:r>
              <w:rPr>
                <w:rFonts w:hint="eastAsia" w:ascii="仿宋" w:hAnsi="仿宋" w:eastAsia="仿宋" w:cs="仿宋"/>
                <w:color w:val="000000"/>
                <w:szCs w:val="21"/>
              </w:rPr>
              <w:t>主要矿种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73" w:type="dxa"/>
            <w:noWrap w:val="0"/>
            <w:vAlign w:val="center"/>
          </w:tcPr>
          <w:p>
            <w:pPr>
              <w:snapToGrid w:val="0"/>
              <w:jc w:val="center"/>
              <w:rPr>
                <w:rFonts w:hint="eastAsia" w:ascii="仿宋" w:hAnsi="仿宋" w:eastAsia="仿宋" w:cs="仿宋"/>
                <w:color w:val="000000"/>
                <w:szCs w:val="21"/>
                <w:lang w:eastAsia="zh-CN"/>
              </w:rPr>
            </w:pPr>
            <w:r>
              <w:rPr>
                <w:rFonts w:hint="eastAsia" w:ascii="仿宋" w:hAnsi="仿宋" w:eastAsia="仿宋" w:cs="仿宋"/>
                <w:color w:val="000000"/>
                <w:szCs w:val="21"/>
                <w:lang w:val="en-US" w:eastAsia="zh-CN"/>
              </w:rPr>
              <w:t>1</w:t>
            </w:r>
          </w:p>
        </w:tc>
        <w:tc>
          <w:tcPr>
            <w:tcW w:w="3755" w:type="dxa"/>
            <w:noWrap w:val="0"/>
            <w:vAlign w:val="center"/>
          </w:tcPr>
          <w:p>
            <w:pPr>
              <w:snapToGrid w:val="0"/>
              <w:jc w:val="center"/>
              <w:rPr>
                <w:rFonts w:hint="eastAsia" w:ascii="仿宋" w:hAnsi="仿宋" w:eastAsia="仿宋" w:cs="仿宋"/>
                <w:color w:val="000000"/>
                <w:szCs w:val="21"/>
              </w:rPr>
            </w:pPr>
            <w:r>
              <w:rPr>
                <w:rFonts w:hint="eastAsia" w:ascii="仿宋" w:hAnsi="仿宋" w:eastAsia="仿宋" w:cs="仿宋"/>
                <w:color w:val="000000"/>
                <w:szCs w:val="21"/>
              </w:rPr>
              <w:t>沙湾煤炭国家规划矿区</w:t>
            </w:r>
          </w:p>
        </w:tc>
        <w:tc>
          <w:tcPr>
            <w:tcW w:w="2279" w:type="dxa"/>
            <w:noWrap w:val="0"/>
            <w:vAlign w:val="center"/>
          </w:tcPr>
          <w:p>
            <w:pPr>
              <w:snapToGrid w:val="0"/>
              <w:jc w:val="center"/>
              <w:rPr>
                <w:rFonts w:hint="default" w:ascii="仿宋" w:hAnsi="仿宋" w:eastAsia="仿宋" w:cs="仿宋"/>
                <w:color w:val="000000"/>
                <w:szCs w:val="21"/>
                <w:lang w:val="en-US" w:eastAsia="zh-CN"/>
              </w:rPr>
            </w:pPr>
            <w:r>
              <w:rPr>
                <w:rFonts w:hint="eastAsia" w:ascii="仿宋" w:hAnsi="仿宋" w:eastAsia="仿宋" w:cs="仿宋"/>
                <w:color w:val="000000"/>
                <w:szCs w:val="21"/>
              </w:rPr>
              <w:t>466.</w:t>
            </w:r>
            <w:r>
              <w:rPr>
                <w:rFonts w:hint="eastAsia" w:ascii="仿宋" w:hAnsi="仿宋" w:eastAsia="仿宋" w:cs="仿宋"/>
                <w:color w:val="000000"/>
                <w:szCs w:val="21"/>
                <w:lang w:val="en-US" w:eastAsia="zh-CN"/>
              </w:rPr>
              <w:t>70</w:t>
            </w:r>
          </w:p>
        </w:tc>
        <w:tc>
          <w:tcPr>
            <w:tcW w:w="1715" w:type="dxa"/>
            <w:noWrap w:val="0"/>
            <w:vAlign w:val="center"/>
          </w:tcPr>
          <w:p>
            <w:pPr>
              <w:snapToGrid w:val="0"/>
              <w:jc w:val="center"/>
              <w:rPr>
                <w:rFonts w:hint="eastAsia" w:ascii="仿宋" w:hAnsi="仿宋" w:eastAsia="仿宋" w:cs="仿宋"/>
                <w:color w:val="000000"/>
                <w:szCs w:val="21"/>
              </w:rPr>
            </w:pPr>
            <w:r>
              <w:rPr>
                <w:rFonts w:hint="eastAsia" w:ascii="仿宋" w:hAnsi="仿宋" w:eastAsia="仿宋" w:cs="仿宋"/>
                <w:color w:val="000000"/>
                <w:szCs w:val="21"/>
              </w:rPr>
              <w:t>煤炭</w:t>
            </w:r>
          </w:p>
        </w:tc>
      </w:tr>
    </w:tbl>
    <w:p>
      <w:pPr>
        <w:pStyle w:val="26"/>
        <w:keepNext w:val="0"/>
        <w:keepLines w:val="0"/>
        <w:pageBreakBefore w:val="0"/>
        <w:widowControl w:val="0"/>
        <w:kinsoku/>
        <w:wordWrap/>
        <w:overflowPunct/>
        <w:topLinePunct w:val="0"/>
        <w:autoSpaceDE/>
        <w:autoSpaceDN/>
        <w:bidi w:val="0"/>
        <w:adjustRightInd/>
        <w:snapToGrid/>
        <w:spacing w:before="0" w:after="0" w:line="500" w:lineRule="exact"/>
        <w:ind w:firstLine="562" w:firstLineChars="200"/>
        <w:textAlignment w:val="auto"/>
        <w:outlineLvl w:val="9"/>
        <w:rPr>
          <w:rFonts w:hint="eastAsia" w:ascii="仿宋" w:hAnsi="仿宋" w:eastAsia="仿宋" w:cs="仿宋"/>
          <w:b w:val="0"/>
          <w:bCs w:val="0"/>
          <w:color w:val="auto"/>
          <w:kern w:val="2"/>
          <w:sz w:val="28"/>
          <w:szCs w:val="28"/>
          <w:lang w:val="en-US" w:eastAsia="zh-CN" w:bidi="ar-SA"/>
        </w:rPr>
      </w:pPr>
      <w:r>
        <w:rPr>
          <w:rFonts w:hint="eastAsia" w:ascii="仿宋" w:hAnsi="仿宋" w:eastAsia="仿宋" w:cs="仿宋"/>
          <w:color w:val="auto"/>
          <w:sz w:val="28"/>
          <w:szCs w:val="28"/>
          <w:lang w:val="en-US" w:eastAsia="zh-CN"/>
        </w:rPr>
        <w:t>--重点勘查区。</w:t>
      </w:r>
      <w:r>
        <w:rPr>
          <w:rFonts w:hint="eastAsia" w:ascii="仿宋" w:hAnsi="仿宋" w:eastAsia="仿宋" w:cs="仿宋"/>
          <w:b w:val="0"/>
          <w:bCs w:val="0"/>
          <w:color w:val="auto"/>
          <w:kern w:val="2"/>
          <w:sz w:val="28"/>
          <w:szCs w:val="28"/>
          <w:lang w:val="en-US" w:eastAsia="zh-CN" w:bidi="ar-SA"/>
        </w:rPr>
        <w:t>《新疆维吾尔自治区矿产资源规划（2021-2025年）》、《塔城地区矿产资源总体规划（2021-2025年）》未在本行政区内划定重点勘查区。</w:t>
      </w:r>
    </w:p>
    <w:bookmarkEnd w:id="86"/>
    <w:p>
      <w:pPr>
        <w:pStyle w:val="26"/>
        <w:keepNext w:val="0"/>
        <w:keepLines w:val="0"/>
        <w:pageBreakBefore w:val="0"/>
        <w:widowControl w:val="0"/>
        <w:kinsoku/>
        <w:wordWrap/>
        <w:overflowPunct/>
        <w:topLinePunct w:val="0"/>
        <w:autoSpaceDE/>
        <w:autoSpaceDN/>
        <w:bidi w:val="0"/>
        <w:adjustRightInd/>
        <w:snapToGrid/>
        <w:spacing w:before="0" w:after="0" w:line="500" w:lineRule="exact"/>
        <w:ind w:firstLine="561"/>
        <w:textAlignment w:val="auto"/>
        <w:outlineLvl w:val="9"/>
        <w:rPr>
          <w:rFonts w:hint="eastAsia" w:ascii="仿宋" w:hAnsi="仿宋" w:eastAsia="仿宋" w:cs="仿宋"/>
          <w:b w:val="0"/>
          <w:szCs w:val="28"/>
        </w:rPr>
      </w:pPr>
      <w:r>
        <w:rPr>
          <w:rFonts w:hint="eastAsia" w:ascii="仿宋" w:hAnsi="仿宋" w:eastAsia="仿宋" w:cs="仿宋"/>
          <w:b/>
          <w:bCs/>
          <w:color w:val="auto"/>
          <w:sz w:val="28"/>
          <w:szCs w:val="28"/>
          <w:lang w:val="en-US" w:eastAsia="zh-CN"/>
        </w:rPr>
        <w:t>--</w:t>
      </w:r>
      <w:r>
        <w:rPr>
          <w:rFonts w:hint="eastAsia" w:ascii="仿宋" w:hAnsi="仿宋" w:eastAsia="仿宋" w:cs="仿宋"/>
          <w:b/>
          <w:bCs/>
          <w:color w:val="auto"/>
          <w:sz w:val="28"/>
          <w:szCs w:val="28"/>
          <w:lang w:eastAsia="zh-CN"/>
        </w:rPr>
        <w:t>重点开采区。</w:t>
      </w:r>
      <w:r>
        <w:rPr>
          <w:rFonts w:hint="eastAsia" w:ascii="仿宋" w:hAnsi="仿宋" w:eastAsia="仿宋" w:cs="仿宋"/>
          <w:b w:val="0"/>
          <w:bCs w:val="0"/>
          <w:color w:val="auto"/>
          <w:kern w:val="2"/>
          <w:sz w:val="28"/>
          <w:szCs w:val="28"/>
          <w:lang w:val="en-US" w:eastAsia="zh-CN" w:bidi="ar-SA"/>
        </w:rPr>
        <w:t>《新疆维吾尔自治区矿产资源规划（2021-2025年）》在本行政区内划定2处重点开采区</w:t>
      </w:r>
      <w:r>
        <w:rPr>
          <w:rFonts w:hint="eastAsia" w:ascii="仿宋" w:hAnsi="仿宋" w:eastAsia="仿宋" w:cs="仿宋"/>
          <w:b w:val="0"/>
          <w:bCs w:val="0"/>
          <w:color w:val="000000"/>
          <w:spacing w:val="-2"/>
          <w:sz w:val="28"/>
          <w:szCs w:val="28"/>
        </w:rPr>
        <w:t>（专栏</w:t>
      </w:r>
      <w:r>
        <w:rPr>
          <w:rFonts w:hint="eastAsia" w:ascii="仿宋" w:hAnsi="仿宋" w:eastAsia="仿宋" w:cs="仿宋"/>
          <w:b w:val="0"/>
          <w:bCs w:val="0"/>
          <w:color w:val="000000"/>
          <w:spacing w:val="-2"/>
          <w:sz w:val="28"/>
          <w:szCs w:val="28"/>
          <w:lang w:val="en-US" w:eastAsia="zh-CN"/>
        </w:rPr>
        <w:t>12</w:t>
      </w:r>
      <w:r>
        <w:rPr>
          <w:rFonts w:hint="eastAsia" w:ascii="仿宋" w:hAnsi="仿宋" w:eastAsia="仿宋" w:cs="仿宋"/>
          <w:b w:val="0"/>
          <w:bCs w:val="0"/>
          <w:color w:val="000000"/>
          <w:spacing w:val="-2"/>
          <w:sz w:val="28"/>
          <w:szCs w:val="28"/>
        </w:rPr>
        <w:t>）</w:t>
      </w:r>
      <w:r>
        <w:rPr>
          <w:rFonts w:hint="eastAsia" w:ascii="仿宋" w:hAnsi="仿宋" w:eastAsia="仿宋" w:cs="仿宋"/>
          <w:b w:val="0"/>
          <w:bCs w:val="0"/>
          <w:color w:val="auto"/>
          <w:kern w:val="2"/>
          <w:sz w:val="28"/>
          <w:szCs w:val="28"/>
          <w:lang w:val="en-US" w:eastAsia="zh-CN" w:bidi="ar-SA"/>
        </w:rPr>
        <w:t>。</w:t>
      </w:r>
    </w:p>
    <w:tbl>
      <w:tblPr>
        <w:tblStyle w:val="16"/>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0"/>
        <w:gridCol w:w="3613"/>
        <w:gridCol w:w="1337"/>
        <w:gridCol w:w="1069"/>
        <w:gridCol w:w="1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jc w:val="center"/>
        </w:trPr>
        <w:tc>
          <w:tcPr>
            <w:tcW w:w="8324" w:type="dxa"/>
            <w:gridSpan w:val="5"/>
            <w:shd w:val="clear" w:color="auto" w:fill="BEBEBE"/>
            <w:noWrap w:val="0"/>
            <w:tcMar>
              <w:top w:w="9" w:type="dxa"/>
              <w:left w:w="9" w:type="dxa"/>
              <w:right w:w="9" w:type="dxa"/>
            </w:tcMar>
            <w:vAlign w:val="center"/>
          </w:tcPr>
          <w:p>
            <w:pPr>
              <w:pStyle w:val="28"/>
              <w:spacing w:line="240" w:lineRule="auto"/>
              <w:ind w:firstLine="0"/>
              <w:jc w:val="center"/>
              <w:rPr>
                <w:rFonts w:hint="eastAsia" w:ascii="仿宋_GB2312" w:eastAsia="仿宋_GB2312" w:cs="楷体"/>
                <w:b/>
                <w:bCs/>
                <w:sz w:val="21"/>
                <w:szCs w:val="21"/>
                <w:lang w:val="en-US" w:eastAsia="zh-CN"/>
              </w:rPr>
            </w:pPr>
            <w:r>
              <w:rPr>
                <w:rFonts w:hint="eastAsia" w:ascii="仿宋" w:hAnsi="仿宋" w:eastAsia="仿宋" w:cs="仿宋"/>
                <w:b/>
                <w:bCs/>
                <w:color w:val="000000"/>
                <w:kern w:val="0"/>
                <w:sz w:val="21"/>
                <w:szCs w:val="21"/>
                <w:lang w:val="en-US" w:eastAsia="zh-CN" w:bidi="ar-SA"/>
              </w:rPr>
              <w:t>专栏12     沙湾市重点开采区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680" w:type="dxa"/>
            <w:noWrap w:val="0"/>
            <w:tcMar>
              <w:top w:w="9" w:type="dxa"/>
              <w:left w:w="9" w:type="dxa"/>
              <w:right w:w="9" w:type="dxa"/>
            </w:tcMar>
            <w:vAlign w:val="center"/>
          </w:tcPr>
          <w:p>
            <w:pPr>
              <w:pStyle w:val="28"/>
              <w:spacing w:line="240" w:lineRule="auto"/>
              <w:ind w:firstLine="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序号</w:t>
            </w:r>
          </w:p>
        </w:tc>
        <w:tc>
          <w:tcPr>
            <w:tcW w:w="3613" w:type="dxa"/>
            <w:noWrap w:val="0"/>
            <w:tcMar>
              <w:top w:w="9" w:type="dxa"/>
              <w:left w:w="9" w:type="dxa"/>
              <w:right w:w="9" w:type="dxa"/>
            </w:tcMar>
            <w:vAlign w:val="center"/>
          </w:tcPr>
          <w:p>
            <w:pPr>
              <w:pStyle w:val="28"/>
              <w:spacing w:line="240" w:lineRule="auto"/>
              <w:ind w:firstLine="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名称</w:t>
            </w:r>
          </w:p>
        </w:tc>
        <w:tc>
          <w:tcPr>
            <w:tcW w:w="1337" w:type="dxa"/>
            <w:noWrap w:val="0"/>
            <w:tcMar>
              <w:top w:w="9" w:type="dxa"/>
              <w:left w:w="9" w:type="dxa"/>
              <w:right w:w="9" w:type="dxa"/>
            </w:tcMar>
            <w:vAlign w:val="center"/>
          </w:tcPr>
          <w:p>
            <w:pPr>
              <w:pStyle w:val="28"/>
              <w:spacing w:line="240" w:lineRule="auto"/>
              <w:ind w:firstLine="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面积</w:t>
            </w:r>
          </w:p>
          <w:p>
            <w:pPr>
              <w:pStyle w:val="28"/>
              <w:spacing w:line="240" w:lineRule="auto"/>
              <w:ind w:firstLine="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（平方千米）</w:t>
            </w:r>
          </w:p>
        </w:tc>
        <w:tc>
          <w:tcPr>
            <w:tcW w:w="1069" w:type="dxa"/>
            <w:noWrap w:val="0"/>
            <w:tcMar>
              <w:top w:w="9" w:type="dxa"/>
              <w:left w:w="9" w:type="dxa"/>
              <w:right w:w="9" w:type="dxa"/>
            </w:tcMar>
            <w:vAlign w:val="center"/>
          </w:tcPr>
          <w:p>
            <w:pPr>
              <w:pStyle w:val="28"/>
              <w:spacing w:line="240" w:lineRule="auto"/>
              <w:ind w:firstLine="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主要矿种</w:t>
            </w:r>
          </w:p>
        </w:tc>
        <w:tc>
          <w:tcPr>
            <w:tcW w:w="1625" w:type="dxa"/>
            <w:noWrap w:val="0"/>
            <w:vAlign w:val="center"/>
          </w:tcPr>
          <w:p>
            <w:pPr>
              <w:pStyle w:val="28"/>
              <w:spacing w:line="240" w:lineRule="auto"/>
              <w:ind w:firstLine="0"/>
              <w:jc w:val="center"/>
              <w:rPr>
                <w:rFonts w:hint="eastAsia" w:ascii="仿宋" w:hAnsi="仿宋" w:eastAsia="仿宋" w:cs="仿宋"/>
                <w:sz w:val="21"/>
                <w:szCs w:val="21"/>
                <w:lang w:eastAsia="zh-CN"/>
              </w:rPr>
            </w:pPr>
            <w:r>
              <w:rPr>
                <w:rFonts w:hint="eastAsia" w:ascii="仿宋" w:hAnsi="仿宋" w:eastAsia="仿宋" w:cs="仿宋"/>
                <w:bCs/>
                <w:sz w:val="21"/>
                <w:szCs w:val="21"/>
                <w:lang w:val="en-US" w:eastAsia="zh-CN"/>
              </w:rPr>
              <w:t>级别类型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680" w:type="dxa"/>
            <w:noWrap w:val="0"/>
            <w:tcMar>
              <w:top w:w="9" w:type="dxa"/>
              <w:left w:w="9" w:type="dxa"/>
              <w:right w:w="9" w:type="dxa"/>
            </w:tcMar>
            <w:vAlign w:val="center"/>
          </w:tcPr>
          <w:p>
            <w:pPr>
              <w:ind w:left="0" w:leftChars="0"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1</w:t>
            </w:r>
          </w:p>
        </w:tc>
        <w:tc>
          <w:tcPr>
            <w:tcW w:w="3613" w:type="dxa"/>
            <w:noWrap w:val="0"/>
            <w:tcMar>
              <w:top w:w="9" w:type="dxa"/>
              <w:left w:w="9" w:type="dxa"/>
              <w:right w:w="9" w:type="dxa"/>
            </w:tcMar>
            <w:vAlign w:val="center"/>
          </w:tcPr>
          <w:p>
            <w:pPr>
              <w:spacing w:line="240" w:lineRule="auto"/>
              <w:ind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沙湾煤炭重点开采区</w:t>
            </w:r>
          </w:p>
        </w:tc>
        <w:tc>
          <w:tcPr>
            <w:tcW w:w="1337" w:type="dxa"/>
            <w:noWrap w:val="0"/>
            <w:tcMar>
              <w:top w:w="9" w:type="dxa"/>
              <w:left w:w="9" w:type="dxa"/>
              <w:right w:w="9" w:type="dxa"/>
            </w:tcMar>
            <w:vAlign w:val="center"/>
          </w:tcPr>
          <w:p>
            <w:pPr>
              <w:spacing w:line="240" w:lineRule="auto"/>
              <w:ind w:left="0" w:leftChars="0" w:firstLine="0" w:firstLineChars="0"/>
              <w:jc w:val="center"/>
              <w:textAlignment w:val="center"/>
              <w:rPr>
                <w:rFonts w:hint="default" w:ascii="仿宋" w:hAnsi="仿宋" w:eastAsia="仿宋" w:cs="仿宋"/>
                <w:kern w:val="2"/>
                <w:sz w:val="21"/>
                <w:szCs w:val="21"/>
                <w:lang w:val="en-US" w:eastAsia="zh-CN" w:bidi="zh-TW"/>
              </w:rPr>
            </w:pPr>
            <w:r>
              <w:rPr>
                <w:rFonts w:hint="eastAsia" w:ascii="仿宋" w:hAnsi="仿宋" w:eastAsia="仿宋" w:cs="仿宋"/>
                <w:kern w:val="2"/>
                <w:sz w:val="21"/>
                <w:szCs w:val="21"/>
                <w:lang w:val="en-US" w:eastAsia="zh-CN" w:bidi="zh-TW"/>
              </w:rPr>
              <w:t>466.08</w:t>
            </w:r>
          </w:p>
        </w:tc>
        <w:tc>
          <w:tcPr>
            <w:tcW w:w="1069" w:type="dxa"/>
            <w:noWrap w:val="0"/>
            <w:tcMar>
              <w:top w:w="9" w:type="dxa"/>
              <w:left w:w="9" w:type="dxa"/>
              <w:right w:w="9" w:type="dxa"/>
            </w:tcMar>
            <w:vAlign w:val="center"/>
          </w:tcPr>
          <w:p>
            <w:pPr>
              <w:spacing w:line="240" w:lineRule="auto"/>
              <w:ind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煤炭</w:t>
            </w:r>
          </w:p>
        </w:tc>
        <w:tc>
          <w:tcPr>
            <w:tcW w:w="1625" w:type="dxa"/>
            <w:noWrap w:val="0"/>
            <w:vAlign w:val="center"/>
          </w:tcPr>
          <w:p>
            <w:pPr>
              <w:pStyle w:val="29"/>
              <w:spacing w:line="240" w:lineRule="auto"/>
              <w:jc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自治区级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680" w:type="dxa"/>
            <w:noWrap w:val="0"/>
            <w:tcMar>
              <w:top w:w="9" w:type="dxa"/>
              <w:left w:w="9" w:type="dxa"/>
              <w:right w:w="9" w:type="dxa"/>
            </w:tcMar>
            <w:vAlign w:val="center"/>
          </w:tcPr>
          <w:p>
            <w:pPr>
              <w:ind w:left="0" w:leftChars="0"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2</w:t>
            </w:r>
          </w:p>
        </w:tc>
        <w:tc>
          <w:tcPr>
            <w:tcW w:w="3613" w:type="dxa"/>
            <w:noWrap w:val="0"/>
            <w:tcMar>
              <w:top w:w="9" w:type="dxa"/>
              <w:left w:w="9" w:type="dxa"/>
              <w:right w:w="9" w:type="dxa"/>
            </w:tcMar>
            <w:vAlign w:val="center"/>
          </w:tcPr>
          <w:p>
            <w:pPr>
              <w:spacing w:line="240" w:lineRule="auto"/>
              <w:ind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准噶尔南缘煤层气重点开采区</w:t>
            </w:r>
          </w:p>
        </w:tc>
        <w:tc>
          <w:tcPr>
            <w:tcW w:w="1337" w:type="dxa"/>
            <w:noWrap w:val="0"/>
            <w:tcMar>
              <w:top w:w="9" w:type="dxa"/>
              <w:left w:w="9" w:type="dxa"/>
              <w:right w:w="9" w:type="dxa"/>
            </w:tcMar>
            <w:vAlign w:val="center"/>
          </w:tcPr>
          <w:p>
            <w:pPr>
              <w:spacing w:line="240" w:lineRule="auto"/>
              <w:ind w:left="0" w:leftChars="0"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145.7</w:t>
            </w:r>
            <w:r>
              <w:rPr>
                <w:rFonts w:hint="eastAsia" w:ascii="仿宋" w:hAnsi="仿宋" w:eastAsia="仿宋" w:cs="仿宋"/>
                <w:kern w:val="2"/>
                <w:sz w:val="21"/>
                <w:szCs w:val="21"/>
                <w:lang w:val="en-US" w:eastAsia="zh-CN" w:bidi="zh-TW"/>
              </w:rPr>
              <w:t>2</w:t>
            </w:r>
          </w:p>
        </w:tc>
        <w:tc>
          <w:tcPr>
            <w:tcW w:w="1069" w:type="dxa"/>
            <w:noWrap w:val="0"/>
            <w:tcMar>
              <w:top w:w="9" w:type="dxa"/>
              <w:left w:w="9" w:type="dxa"/>
              <w:right w:w="9" w:type="dxa"/>
            </w:tcMar>
            <w:vAlign w:val="center"/>
          </w:tcPr>
          <w:p>
            <w:pPr>
              <w:spacing w:line="240" w:lineRule="auto"/>
              <w:ind w:firstLine="0" w:firstLineChars="0"/>
              <w:jc w:val="center"/>
              <w:textAlignment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煤层气</w:t>
            </w:r>
          </w:p>
        </w:tc>
        <w:tc>
          <w:tcPr>
            <w:tcW w:w="1625" w:type="dxa"/>
            <w:noWrap w:val="0"/>
            <w:vAlign w:val="center"/>
          </w:tcPr>
          <w:p>
            <w:pPr>
              <w:pStyle w:val="29"/>
              <w:spacing w:line="240" w:lineRule="auto"/>
              <w:jc w:val="center"/>
              <w:rPr>
                <w:rFonts w:hint="eastAsia" w:ascii="仿宋" w:hAnsi="仿宋" w:eastAsia="仿宋" w:cs="仿宋"/>
                <w:kern w:val="2"/>
                <w:sz w:val="21"/>
                <w:szCs w:val="21"/>
                <w:lang w:val="zh-TW" w:eastAsia="zh-CN" w:bidi="zh-TW"/>
              </w:rPr>
            </w:pPr>
            <w:r>
              <w:rPr>
                <w:rFonts w:hint="eastAsia" w:ascii="仿宋" w:hAnsi="仿宋" w:eastAsia="仿宋" w:cs="仿宋"/>
                <w:kern w:val="2"/>
                <w:sz w:val="21"/>
                <w:szCs w:val="21"/>
                <w:lang w:val="zh-TW" w:eastAsia="zh-CN" w:bidi="zh-TW"/>
              </w:rPr>
              <w:t>自治区级</w:t>
            </w:r>
          </w:p>
        </w:tc>
      </w:tr>
    </w:tbl>
    <w:p>
      <w:pPr>
        <w:pStyle w:val="26"/>
        <w:keepNext w:val="0"/>
        <w:keepLines w:val="0"/>
        <w:pageBreakBefore w:val="0"/>
        <w:widowControl w:val="0"/>
        <w:kinsoku/>
        <w:wordWrap/>
        <w:overflowPunct/>
        <w:topLinePunct w:val="0"/>
        <w:autoSpaceDE/>
        <w:autoSpaceDN/>
        <w:bidi w:val="0"/>
        <w:adjustRightInd/>
        <w:snapToGrid/>
        <w:spacing w:before="0" w:after="0" w:line="500" w:lineRule="exact"/>
        <w:ind w:firstLine="561"/>
        <w:textAlignment w:val="auto"/>
        <w:outlineLvl w:val="9"/>
        <w:rPr>
          <w:rFonts w:hint="eastAsia" w:ascii="仿宋" w:hAnsi="仿宋" w:eastAsia="仿宋" w:cs="仿宋"/>
          <w:b w:val="0"/>
          <w:color w:val="auto"/>
          <w:szCs w:val="28"/>
        </w:rPr>
      </w:pPr>
      <w:r>
        <w:rPr>
          <w:rFonts w:hint="eastAsia" w:ascii="仿宋" w:hAnsi="仿宋" w:eastAsia="仿宋" w:cs="仿宋"/>
          <w:b w:val="0"/>
          <w:szCs w:val="28"/>
        </w:rPr>
        <w:t>在重点开采区内向资源利用率高、技术先进的大</w:t>
      </w:r>
      <w:r>
        <w:rPr>
          <w:rFonts w:hint="eastAsia" w:ascii="仿宋" w:hAnsi="仿宋" w:eastAsia="仿宋" w:cs="仿宋"/>
          <w:b w:val="0"/>
          <w:szCs w:val="28"/>
          <w:lang w:val="en-US" w:eastAsia="zh-CN"/>
        </w:rPr>
        <w:t>中</w:t>
      </w:r>
      <w:r>
        <w:rPr>
          <w:rFonts w:hint="eastAsia" w:ascii="仿宋" w:hAnsi="仿宋" w:eastAsia="仿宋" w:cs="仿宋"/>
          <w:b w:val="0"/>
          <w:szCs w:val="28"/>
        </w:rPr>
        <w:t>型矿山企业倾斜，引导和支持各类生产要素集聚，优化资源配置，进一步做好矿产资源整合，推动资源的规模化开发和集约利用，稳定矿产资源产业链、供应链，提高资源保障能力。</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z w:val="28"/>
          <w:szCs w:val="28"/>
        </w:rPr>
      </w:pPr>
      <w:bookmarkStart w:id="87" w:name="_Toc14666"/>
      <w:bookmarkStart w:id="88" w:name="_Toc16613"/>
      <w:bookmarkStart w:id="89" w:name="_Toc18227"/>
      <w:bookmarkStart w:id="90" w:name="_Toc6399"/>
      <w:bookmarkStart w:id="91" w:name="_Toc8925"/>
      <w:r>
        <w:rPr>
          <w:rFonts w:hint="eastAsia" w:ascii="仿宋" w:hAnsi="仿宋" w:eastAsia="仿宋" w:cs="仿宋"/>
          <w:b/>
          <w:sz w:val="28"/>
          <w:szCs w:val="28"/>
        </w:rPr>
        <w:t>勘查规划区块设置</w:t>
      </w:r>
      <w:r>
        <w:rPr>
          <w:rFonts w:hint="eastAsia" w:ascii="仿宋" w:hAnsi="仿宋" w:eastAsia="仿宋" w:cs="仿宋"/>
          <w:b/>
          <w:sz w:val="28"/>
          <w:szCs w:val="28"/>
          <w:lang w:eastAsia="zh-CN"/>
        </w:rPr>
        <w:t>。</w:t>
      </w:r>
      <w:r>
        <w:rPr>
          <w:rFonts w:hint="eastAsia" w:ascii="仿宋" w:hAnsi="仿宋" w:eastAsia="仿宋" w:cs="仿宋"/>
          <w:color w:val="000000"/>
          <w:spacing w:val="-2"/>
          <w:sz w:val="28"/>
          <w:szCs w:val="28"/>
        </w:rPr>
        <w:t>对于探矿权出让登记权限在国家、自治区的矿产资源勘查，全面落实</w:t>
      </w:r>
      <w:r>
        <w:rPr>
          <w:rFonts w:hint="eastAsia" w:ascii="仿宋" w:hAnsi="仿宋" w:eastAsia="仿宋" w:cs="仿宋"/>
          <w:color w:val="000000"/>
          <w:spacing w:val="-2"/>
          <w:sz w:val="28"/>
          <w:szCs w:val="28"/>
          <w:lang w:val="en-US" w:eastAsia="zh-CN"/>
        </w:rPr>
        <w:t>上级</w:t>
      </w:r>
      <w:r>
        <w:rPr>
          <w:rFonts w:hint="eastAsia" w:ascii="仿宋" w:hAnsi="仿宋" w:eastAsia="仿宋" w:cs="仿宋"/>
          <w:color w:val="000000"/>
          <w:spacing w:val="-2"/>
          <w:sz w:val="28"/>
          <w:szCs w:val="28"/>
        </w:rPr>
        <w:t>规划在</w:t>
      </w:r>
      <w:r>
        <w:rPr>
          <w:rFonts w:hint="eastAsia" w:ascii="仿宋" w:hAnsi="仿宋" w:eastAsia="仿宋" w:cs="仿宋"/>
          <w:color w:val="000000"/>
          <w:spacing w:val="-2"/>
          <w:sz w:val="28"/>
          <w:szCs w:val="28"/>
          <w:lang w:val="en-US" w:eastAsia="zh-CN"/>
        </w:rPr>
        <w:t>沙湾</w:t>
      </w:r>
      <w:r>
        <w:rPr>
          <w:rFonts w:hint="eastAsia" w:ascii="仿宋" w:hAnsi="仿宋" w:eastAsia="仿宋" w:cs="仿宋"/>
          <w:color w:val="000000"/>
          <w:spacing w:val="-2"/>
          <w:sz w:val="28"/>
          <w:szCs w:val="28"/>
        </w:rPr>
        <w:t>市的勘查规划区块；对于探矿权出让登记权限在</w:t>
      </w:r>
      <w:r>
        <w:rPr>
          <w:rFonts w:hint="eastAsia" w:ascii="仿宋" w:hAnsi="仿宋" w:eastAsia="仿宋" w:cs="仿宋"/>
          <w:color w:val="000000"/>
          <w:spacing w:val="-2"/>
          <w:sz w:val="28"/>
          <w:szCs w:val="28"/>
          <w:lang w:val="en-US" w:eastAsia="zh-CN"/>
        </w:rPr>
        <w:t>沙湾</w:t>
      </w:r>
      <w:r>
        <w:rPr>
          <w:rFonts w:hint="eastAsia" w:ascii="仿宋" w:hAnsi="仿宋" w:eastAsia="仿宋" w:cs="仿宋"/>
          <w:color w:val="000000"/>
          <w:spacing w:val="-2"/>
          <w:sz w:val="28"/>
          <w:szCs w:val="28"/>
        </w:rPr>
        <w:t>市本级的矿产资源，根据资源禀赋、勘查程度、矿产类型和外部条件，依法依规避让生态保护红线、自然保护地、重点保护区以及其他行业政策法规规定的禁止勘查活动的地区，划定勘查规划区块。</w:t>
      </w:r>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textAlignment w:val="auto"/>
        <w:rPr>
          <w:rFonts w:hint="eastAsia" w:ascii="仿宋" w:hAnsi="仿宋" w:eastAsia="仿宋" w:cs="仿宋"/>
          <w:color w:val="000000"/>
          <w:spacing w:val="-2"/>
          <w:sz w:val="28"/>
          <w:szCs w:val="28"/>
        </w:rPr>
      </w:pPr>
      <w:r>
        <w:rPr>
          <w:rFonts w:hint="eastAsia" w:ascii="仿宋" w:hAnsi="仿宋" w:eastAsia="仿宋" w:cs="仿宋"/>
          <w:color w:val="000000"/>
          <w:spacing w:val="-2"/>
          <w:sz w:val="28"/>
          <w:szCs w:val="28"/>
        </w:rPr>
        <w:t>一个勘查规划区块原则上要有利于整体勘查评价和整体开发，一个勘查规划区块原则上只设一个勘查主体，并明确勘查周期。</w:t>
      </w:r>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jc w:val="both"/>
        <w:textAlignment w:val="auto"/>
        <w:rPr>
          <w:rFonts w:hint="eastAsia" w:ascii="仿宋" w:hAnsi="仿宋" w:eastAsia="仿宋" w:cs="仿宋"/>
          <w:b w:val="0"/>
          <w:bCs w:val="0"/>
          <w:color w:val="000000"/>
          <w:spacing w:val="-2"/>
          <w:sz w:val="28"/>
          <w:szCs w:val="28"/>
          <w:lang w:eastAsia="zh-CN"/>
        </w:rPr>
      </w:pPr>
      <w:r>
        <w:rPr>
          <w:rFonts w:hint="eastAsia" w:ascii="仿宋" w:hAnsi="仿宋" w:eastAsia="仿宋" w:cs="仿宋"/>
          <w:b w:val="0"/>
          <w:bCs w:val="0"/>
          <w:color w:val="000000"/>
          <w:spacing w:val="-2"/>
          <w:sz w:val="28"/>
          <w:szCs w:val="28"/>
        </w:rPr>
        <w:t>2021-2025年</w:t>
      </w:r>
      <w:r>
        <w:rPr>
          <w:rFonts w:hint="eastAsia" w:ascii="仿宋" w:hAnsi="仿宋" w:eastAsia="仿宋" w:cs="仿宋"/>
          <w:b w:val="0"/>
          <w:bCs w:val="0"/>
          <w:color w:val="000000"/>
          <w:spacing w:val="-2"/>
          <w:sz w:val="28"/>
          <w:szCs w:val="28"/>
          <w:lang w:val="en-US" w:eastAsia="zh-CN"/>
        </w:rPr>
        <w:t>落实</w:t>
      </w:r>
      <w:r>
        <w:rPr>
          <w:rFonts w:hint="eastAsia" w:ascii="仿宋" w:hAnsi="仿宋" w:eastAsia="仿宋" w:cs="仿宋"/>
          <w:color w:val="000000"/>
          <w:kern w:val="0"/>
          <w:sz w:val="28"/>
          <w:szCs w:val="28"/>
        </w:rPr>
        <w:t>塔城地区出让登记探矿权</w:t>
      </w:r>
      <w:r>
        <w:rPr>
          <w:rFonts w:hint="eastAsia" w:ascii="仿宋" w:hAnsi="仿宋" w:eastAsia="仿宋" w:cs="仿宋"/>
          <w:color w:val="000000"/>
          <w:spacing w:val="-2"/>
          <w:sz w:val="28"/>
          <w:szCs w:val="28"/>
        </w:rPr>
        <w:t>出让登记的</w:t>
      </w:r>
      <w:r>
        <w:rPr>
          <w:rFonts w:hint="eastAsia" w:ascii="仿宋" w:hAnsi="仿宋" w:eastAsia="仿宋" w:cs="仿宋"/>
          <w:color w:val="000000"/>
          <w:spacing w:val="-2"/>
          <w:sz w:val="28"/>
          <w:szCs w:val="28"/>
          <w:lang w:val="en-US" w:eastAsia="zh-CN"/>
        </w:rPr>
        <w:t>水气矿产、非</w:t>
      </w:r>
      <w:r>
        <w:rPr>
          <w:rFonts w:hint="eastAsia" w:ascii="仿宋" w:hAnsi="仿宋" w:eastAsia="仿宋" w:cs="仿宋"/>
          <w:color w:val="000000"/>
          <w:spacing w:val="-2"/>
          <w:sz w:val="28"/>
          <w:szCs w:val="28"/>
        </w:rPr>
        <w:t>金属</w:t>
      </w:r>
      <w:r>
        <w:rPr>
          <w:rFonts w:hint="eastAsia" w:ascii="仿宋" w:hAnsi="仿宋" w:eastAsia="仿宋" w:cs="仿宋"/>
          <w:color w:val="000000"/>
          <w:spacing w:val="-2"/>
          <w:sz w:val="28"/>
          <w:szCs w:val="28"/>
          <w:lang w:val="en-US" w:eastAsia="zh-CN"/>
        </w:rPr>
        <w:t>等</w:t>
      </w:r>
      <w:r>
        <w:rPr>
          <w:rFonts w:hint="eastAsia" w:ascii="仿宋" w:hAnsi="仿宋" w:eastAsia="仿宋" w:cs="仿宋"/>
          <w:color w:val="000000"/>
          <w:spacing w:val="-2"/>
          <w:sz w:val="28"/>
          <w:szCs w:val="28"/>
        </w:rPr>
        <w:t>矿产，设置勘查规划区块</w:t>
      </w:r>
      <w:r>
        <w:rPr>
          <w:rFonts w:hint="eastAsia" w:ascii="仿宋" w:hAnsi="仿宋" w:eastAsia="仿宋" w:cs="仿宋"/>
          <w:color w:val="000000"/>
          <w:spacing w:val="-2"/>
          <w:sz w:val="28"/>
          <w:szCs w:val="28"/>
          <w:lang w:val="en-US" w:eastAsia="zh-CN"/>
        </w:rPr>
        <w:t>6</w:t>
      </w:r>
      <w:r>
        <w:rPr>
          <w:rFonts w:hint="eastAsia" w:ascii="仿宋" w:hAnsi="仿宋" w:eastAsia="仿宋" w:cs="仿宋"/>
          <w:color w:val="000000"/>
          <w:spacing w:val="-2"/>
          <w:sz w:val="28"/>
          <w:szCs w:val="28"/>
        </w:rPr>
        <w:t>个，面积</w:t>
      </w:r>
      <w:r>
        <w:rPr>
          <w:rFonts w:hint="eastAsia" w:ascii="仿宋" w:hAnsi="仿宋" w:eastAsia="仿宋" w:cs="仿宋"/>
          <w:color w:val="000000"/>
          <w:spacing w:val="-2"/>
          <w:sz w:val="28"/>
          <w:szCs w:val="28"/>
          <w:lang w:val="en-US" w:eastAsia="zh-CN"/>
        </w:rPr>
        <w:t>11.23</w:t>
      </w:r>
      <w:r>
        <w:rPr>
          <w:rFonts w:hint="eastAsia" w:ascii="仿宋" w:hAnsi="仿宋" w:eastAsia="仿宋" w:cs="仿宋"/>
          <w:color w:val="000000"/>
          <w:spacing w:val="-2"/>
          <w:sz w:val="28"/>
          <w:szCs w:val="28"/>
        </w:rPr>
        <w:t>平方千米</w:t>
      </w:r>
      <w:r>
        <w:rPr>
          <w:rFonts w:hint="eastAsia" w:ascii="仿宋" w:hAnsi="仿宋" w:eastAsia="仿宋" w:cs="仿宋"/>
          <w:color w:val="000000"/>
          <w:spacing w:val="-2"/>
          <w:sz w:val="28"/>
          <w:szCs w:val="28"/>
          <w:lang w:eastAsia="zh-CN"/>
        </w:rPr>
        <w:t>，</w:t>
      </w:r>
      <w:r>
        <w:rPr>
          <w:rFonts w:hint="eastAsia" w:ascii="仿宋" w:hAnsi="仿宋" w:eastAsia="仿宋" w:cs="仿宋"/>
          <w:color w:val="000000"/>
          <w:spacing w:val="-2"/>
          <w:sz w:val="28"/>
          <w:szCs w:val="28"/>
          <w:lang w:val="en-US" w:eastAsia="zh-CN"/>
        </w:rPr>
        <w:t>主要分布在S101省道南部地区，</w:t>
      </w:r>
      <w:r>
        <w:rPr>
          <w:rFonts w:hint="eastAsia" w:ascii="仿宋" w:hAnsi="仿宋" w:eastAsia="仿宋" w:cs="仿宋"/>
          <w:b w:val="0"/>
          <w:bCs w:val="0"/>
          <w:color w:val="000000"/>
          <w:spacing w:val="-2"/>
          <w:sz w:val="28"/>
          <w:szCs w:val="28"/>
        </w:rPr>
        <w:t>涉及矿产</w:t>
      </w:r>
      <w:r>
        <w:rPr>
          <w:rFonts w:hint="eastAsia" w:ascii="仿宋" w:hAnsi="仿宋" w:eastAsia="仿宋" w:cs="仿宋"/>
          <w:b w:val="0"/>
          <w:bCs w:val="0"/>
          <w:color w:val="000000"/>
          <w:spacing w:val="-2"/>
          <w:sz w:val="28"/>
          <w:szCs w:val="28"/>
          <w:lang w:val="en-US" w:eastAsia="zh-CN"/>
        </w:rPr>
        <w:t>3</w:t>
      </w:r>
      <w:r>
        <w:rPr>
          <w:rFonts w:hint="eastAsia" w:ascii="仿宋" w:hAnsi="仿宋" w:eastAsia="仿宋" w:cs="仿宋"/>
          <w:b w:val="0"/>
          <w:bCs w:val="0"/>
          <w:color w:val="000000"/>
          <w:spacing w:val="-2"/>
          <w:sz w:val="28"/>
          <w:szCs w:val="28"/>
        </w:rPr>
        <w:t>种（专栏1</w:t>
      </w:r>
      <w:r>
        <w:rPr>
          <w:rFonts w:hint="eastAsia" w:ascii="仿宋" w:hAnsi="仿宋" w:eastAsia="仿宋" w:cs="仿宋"/>
          <w:b w:val="0"/>
          <w:bCs w:val="0"/>
          <w:color w:val="000000"/>
          <w:spacing w:val="-2"/>
          <w:sz w:val="28"/>
          <w:szCs w:val="28"/>
          <w:lang w:val="en-US" w:eastAsia="zh-CN"/>
        </w:rPr>
        <w:t>3</w:t>
      </w:r>
      <w:r>
        <w:rPr>
          <w:rFonts w:hint="eastAsia" w:ascii="仿宋" w:hAnsi="仿宋" w:eastAsia="仿宋" w:cs="仿宋"/>
          <w:b w:val="0"/>
          <w:bCs w:val="0"/>
          <w:color w:val="000000"/>
          <w:spacing w:val="-2"/>
          <w:sz w:val="28"/>
          <w:szCs w:val="28"/>
        </w:rPr>
        <w:t>）</w:t>
      </w:r>
      <w:r>
        <w:rPr>
          <w:rFonts w:hint="eastAsia" w:ascii="仿宋" w:hAnsi="仿宋" w:eastAsia="仿宋" w:cs="仿宋"/>
          <w:b w:val="0"/>
          <w:bCs w:val="0"/>
          <w:color w:val="000000"/>
          <w:spacing w:val="-2"/>
          <w:sz w:val="28"/>
          <w:szCs w:val="28"/>
          <w:lang w:eastAsia="zh-CN"/>
        </w:rPr>
        <w:t>。</w:t>
      </w:r>
    </w:p>
    <w:tbl>
      <w:tblPr>
        <w:tblStyle w:val="16"/>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97"/>
        <w:gridCol w:w="1674"/>
        <w:gridCol w:w="1824"/>
        <w:gridCol w:w="1957"/>
        <w:gridCol w:w="16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8522" w:type="dxa"/>
            <w:gridSpan w:val="5"/>
            <w:shd w:val="clear" w:color="auto" w:fill="D9D9D9"/>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b/>
                <w:bCs/>
                <w:color w:val="000000"/>
                <w:kern w:val="0"/>
                <w:sz w:val="21"/>
                <w:szCs w:val="21"/>
              </w:rPr>
              <w:t>专栏1</w:t>
            </w:r>
            <w:r>
              <w:rPr>
                <w:rFonts w:hint="eastAsia" w:ascii="仿宋" w:hAnsi="仿宋" w:eastAsia="仿宋" w:cs="仿宋"/>
                <w:b/>
                <w:bCs/>
                <w:color w:val="000000"/>
                <w:kern w:val="0"/>
                <w:sz w:val="21"/>
                <w:szCs w:val="21"/>
                <w:lang w:val="en-US" w:eastAsia="zh-CN"/>
              </w:rPr>
              <w:t>3</w:t>
            </w:r>
            <w:r>
              <w:rPr>
                <w:rFonts w:hint="eastAsia" w:ascii="仿宋" w:hAnsi="仿宋" w:eastAsia="仿宋" w:cs="仿宋"/>
                <w:b/>
                <w:bCs/>
                <w:color w:val="000000"/>
                <w:kern w:val="0"/>
                <w:sz w:val="21"/>
                <w:szCs w:val="21"/>
              </w:rPr>
              <w:t xml:space="preserve">  </w:t>
            </w:r>
            <w:r>
              <w:rPr>
                <w:rFonts w:hint="eastAsia" w:ascii="仿宋" w:hAnsi="仿宋" w:eastAsia="仿宋" w:cs="仿宋"/>
                <w:b/>
                <w:bCs/>
                <w:color w:val="000000"/>
                <w:kern w:val="0"/>
                <w:sz w:val="21"/>
                <w:szCs w:val="21"/>
                <w:lang w:val="en-US" w:eastAsia="zh-CN"/>
              </w:rPr>
              <w:t xml:space="preserve"> </w:t>
            </w:r>
            <w:r>
              <w:rPr>
                <w:rFonts w:hint="eastAsia" w:ascii="仿宋" w:hAnsi="仿宋" w:eastAsia="仿宋" w:cs="仿宋"/>
                <w:b/>
                <w:bCs/>
                <w:color w:val="000000"/>
                <w:kern w:val="0"/>
                <w:sz w:val="21"/>
                <w:szCs w:val="21"/>
              </w:rPr>
              <w:t>勘查规划区块设置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1397" w:type="dxa"/>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序号</w:t>
            </w:r>
          </w:p>
        </w:tc>
        <w:tc>
          <w:tcPr>
            <w:tcW w:w="1674" w:type="dxa"/>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勘查主矿种</w:t>
            </w:r>
          </w:p>
        </w:tc>
        <w:tc>
          <w:tcPr>
            <w:tcW w:w="1824" w:type="dxa"/>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勘查区块数（个）</w:t>
            </w:r>
          </w:p>
        </w:tc>
        <w:tc>
          <w:tcPr>
            <w:tcW w:w="1957" w:type="dxa"/>
            <w:tcBorders>
              <w:bottom w:val="single" w:color="auto" w:sz="4" w:space="0"/>
            </w:tcBorders>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面积(平方千米)</w:t>
            </w:r>
          </w:p>
        </w:tc>
        <w:tc>
          <w:tcPr>
            <w:tcW w:w="1670" w:type="dxa"/>
            <w:tcBorders>
              <w:bottom w:val="single" w:color="auto" w:sz="4" w:space="0"/>
            </w:tcBorders>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97" w:type="dxa"/>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sz w:val="21"/>
                <w:szCs w:val="21"/>
              </w:rPr>
              <w:t>1</w:t>
            </w:r>
          </w:p>
        </w:tc>
        <w:tc>
          <w:tcPr>
            <w:tcW w:w="167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地热</w:t>
            </w:r>
          </w:p>
        </w:tc>
        <w:tc>
          <w:tcPr>
            <w:tcW w:w="182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957" w:type="dxa"/>
            <w:noWrap w:val="0"/>
            <w:vAlign w:val="center"/>
          </w:tcPr>
          <w:p>
            <w:pPr>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1.05</w:t>
            </w:r>
          </w:p>
        </w:tc>
        <w:tc>
          <w:tcPr>
            <w:tcW w:w="1670" w:type="dxa"/>
            <w:vMerge w:val="restart"/>
            <w:noWrap w:val="0"/>
            <w:vAlign w:val="center"/>
          </w:tcPr>
          <w:p>
            <w:pPr>
              <w:snapToGrid w:val="0"/>
              <w:spacing w:line="0" w:lineRule="atLeas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塔城地区出让</w:t>
            </w:r>
          </w:p>
          <w:p>
            <w:pPr>
              <w:snapToGrid w:val="0"/>
              <w:spacing w:line="0" w:lineRule="atLeast"/>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登记探矿权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97" w:type="dxa"/>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sz w:val="21"/>
                <w:szCs w:val="21"/>
              </w:rPr>
              <w:t>2</w:t>
            </w:r>
          </w:p>
        </w:tc>
        <w:tc>
          <w:tcPr>
            <w:tcW w:w="167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石灰岩</w:t>
            </w:r>
          </w:p>
        </w:tc>
        <w:tc>
          <w:tcPr>
            <w:tcW w:w="182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w:t>
            </w:r>
          </w:p>
        </w:tc>
        <w:tc>
          <w:tcPr>
            <w:tcW w:w="1957"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4.24</w:t>
            </w:r>
          </w:p>
        </w:tc>
        <w:tc>
          <w:tcPr>
            <w:tcW w:w="1670" w:type="dxa"/>
            <w:vMerge w:val="continue"/>
            <w:noWrap w:val="0"/>
            <w:vAlign w:val="center"/>
          </w:tcPr>
          <w:p>
            <w:pPr>
              <w:snapToGrid w:val="0"/>
              <w:spacing w:line="0" w:lineRule="atLeast"/>
              <w:jc w:val="center"/>
              <w:rPr>
                <w:rFonts w:hint="eastAsia" w:ascii="仿宋" w:hAnsi="仿宋" w:eastAsia="仿宋" w:cs="仿宋"/>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397" w:type="dxa"/>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sz w:val="21"/>
                <w:szCs w:val="21"/>
              </w:rPr>
              <w:t>3</w:t>
            </w:r>
          </w:p>
        </w:tc>
        <w:tc>
          <w:tcPr>
            <w:tcW w:w="167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玄武岩</w:t>
            </w:r>
          </w:p>
        </w:tc>
        <w:tc>
          <w:tcPr>
            <w:tcW w:w="182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1957"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5.94</w:t>
            </w:r>
          </w:p>
        </w:tc>
        <w:tc>
          <w:tcPr>
            <w:tcW w:w="1670" w:type="dxa"/>
            <w:vMerge w:val="continue"/>
            <w:noWrap w:val="0"/>
            <w:vAlign w:val="center"/>
          </w:tcPr>
          <w:p>
            <w:pPr>
              <w:snapToGrid w:val="0"/>
              <w:spacing w:line="0" w:lineRule="atLeast"/>
              <w:jc w:val="center"/>
              <w:rPr>
                <w:rFonts w:hint="eastAsia" w:ascii="仿宋" w:hAnsi="仿宋" w:eastAsia="仿宋" w:cs="仿宋"/>
                <w:color w:val="000000"/>
                <w:kern w:val="0"/>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71" w:type="dxa"/>
            <w:gridSpan w:val="2"/>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合计</w:t>
            </w:r>
          </w:p>
        </w:tc>
        <w:tc>
          <w:tcPr>
            <w:tcW w:w="1824" w:type="dxa"/>
            <w:noWrap w:val="0"/>
            <w:vAlign w:val="center"/>
          </w:tcPr>
          <w:p>
            <w:pPr>
              <w:snapToGrid w:val="0"/>
              <w:spacing w:line="0" w:lineRule="atLeast"/>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6</w:t>
            </w:r>
          </w:p>
        </w:tc>
        <w:tc>
          <w:tcPr>
            <w:tcW w:w="1957" w:type="dxa"/>
            <w:noWrap w:val="0"/>
            <w:vAlign w:val="center"/>
          </w:tcPr>
          <w:p>
            <w:pPr>
              <w:snapToGrid w:val="0"/>
              <w:spacing w:line="0" w:lineRule="atLeast"/>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11.23</w:t>
            </w:r>
          </w:p>
        </w:tc>
        <w:tc>
          <w:tcPr>
            <w:tcW w:w="1670" w:type="dxa"/>
            <w:noWrap w:val="0"/>
            <w:vAlign w:val="center"/>
          </w:tcPr>
          <w:p>
            <w:pPr>
              <w:snapToGrid w:val="0"/>
              <w:spacing w:line="0" w:lineRule="atLeast"/>
              <w:jc w:val="center"/>
              <w:rPr>
                <w:rFonts w:hint="eastAsia" w:ascii="仿宋" w:hAnsi="仿宋" w:eastAsia="仿宋" w:cs="仿宋"/>
                <w:color w:val="000000"/>
                <w:kern w:val="0"/>
                <w:sz w:val="21"/>
                <w:szCs w:val="21"/>
              </w:rPr>
            </w:pPr>
          </w:p>
        </w:tc>
      </w:tr>
      <w:bookmarkEnd w:id="87"/>
      <w:bookmarkEnd w:id="88"/>
      <w:bookmarkEnd w:id="89"/>
      <w:bookmarkEnd w:id="90"/>
      <w:bookmarkEnd w:id="91"/>
    </w:tbl>
    <w:p>
      <w:pPr>
        <w:pStyle w:val="24"/>
        <w:keepNext w:val="0"/>
        <w:keepLines w:val="0"/>
        <w:pageBreakBefore w:val="0"/>
        <w:widowControl w:val="0"/>
        <w:kinsoku/>
        <w:wordWrap/>
        <w:overflowPunct/>
        <w:topLinePunct w:val="0"/>
        <w:bidi w:val="0"/>
        <w:adjustRightInd/>
        <w:snapToGrid/>
        <w:spacing w:line="500" w:lineRule="exact"/>
        <w:ind w:firstLine="562" w:firstLineChars="200"/>
        <w:textAlignment w:val="auto"/>
        <w:rPr>
          <w:rFonts w:hint="eastAsia" w:ascii="仿宋" w:hAnsi="仿宋" w:eastAsia="仿宋" w:cs="仿宋"/>
          <w:sz w:val="28"/>
          <w:szCs w:val="28"/>
        </w:rPr>
      </w:pPr>
      <w:bookmarkStart w:id="92" w:name="_Toc18117"/>
      <w:bookmarkStart w:id="93" w:name="_Toc22745"/>
      <w:bookmarkStart w:id="94" w:name="_Toc2718"/>
      <w:bookmarkStart w:id="95" w:name="_Toc30771"/>
      <w:bookmarkStart w:id="96" w:name="_Toc23833"/>
      <w:bookmarkStart w:id="97" w:name="_Toc28875"/>
      <w:r>
        <w:rPr>
          <w:rFonts w:hint="eastAsia" w:ascii="仿宋" w:hAnsi="仿宋" w:eastAsia="仿宋" w:cs="仿宋"/>
          <w:b/>
          <w:sz w:val="28"/>
          <w:szCs w:val="28"/>
        </w:rPr>
        <w:t>开采规划区块设置</w:t>
      </w:r>
      <w:r>
        <w:rPr>
          <w:rFonts w:hint="eastAsia" w:ascii="仿宋" w:hAnsi="仿宋" w:eastAsia="仿宋" w:cs="仿宋"/>
          <w:b/>
          <w:sz w:val="28"/>
          <w:szCs w:val="28"/>
          <w:lang w:eastAsia="zh-CN"/>
        </w:rPr>
        <w:t>。</w:t>
      </w:r>
      <w:r>
        <w:rPr>
          <w:rFonts w:hint="eastAsia" w:ascii="仿宋" w:hAnsi="仿宋" w:eastAsia="仿宋" w:cs="仿宋"/>
          <w:sz w:val="28"/>
          <w:szCs w:val="28"/>
        </w:rPr>
        <w:t>开采规划区块设置要有利于整体开发，必须符合规划分区管理要求，必须与规划矿种的开发利用方向一致，原则上一个开采规划区块只设一个开采主体。地质勘查工作程度已经符合开采设计要求的区域，应进行开采规划区块单元的划分，高风险矿种达到详查（含详查）以上勘查程度的应设置开采规划区块。划分开采规划区块时，要综合考虑地形、构造、矿床形态、资源储量、矿体埋深、采矿技术经济条件、生产安全等因素。依法依规避让生态保护红线、自然保护地、重点保护区以及其他行业政策法规规定的禁止开采活动的地区。</w:t>
      </w:r>
    </w:p>
    <w:p>
      <w:pPr>
        <w:keepNext w:val="0"/>
        <w:keepLines w:val="0"/>
        <w:pageBreakBefore w:val="0"/>
        <w:widowControl w:val="0"/>
        <w:kinsoku/>
        <w:wordWrap/>
        <w:overflowPunct/>
        <w:topLinePunct w:val="0"/>
        <w:bidi w:val="0"/>
        <w:adjustRightInd/>
        <w:snapToGrid/>
        <w:spacing w:line="500" w:lineRule="exact"/>
        <w:ind w:firstLine="552" w:firstLineChars="200"/>
        <w:textAlignment w:val="auto"/>
        <w:rPr>
          <w:rFonts w:hint="eastAsia" w:ascii="仿宋" w:hAnsi="仿宋" w:eastAsia="仿宋" w:cs="仿宋"/>
          <w:sz w:val="28"/>
          <w:szCs w:val="28"/>
          <w:lang w:val="en-US" w:eastAsia="zh-CN"/>
        </w:rPr>
      </w:pPr>
      <w:r>
        <w:rPr>
          <w:rFonts w:hint="eastAsia" w:ascii="仿宋" w:hAnsi="仿宋" w:eastAsia="仿宋" w:cs="仿宋"/>
          <w:b w:val="0"/>
          <w:bCs w:val="0"/>
          <w:color w:val="000000"/>
          <w:spacing w:val="-2"/>
          <w:sz w:val="28"/>
          <w:szCs w:val="28"/>
        </w:rPr>
        <w:t>2021-2025年</w:t>
      </w:r>
      <w:r>
        <w:rPr>
          <w:rFonts w:hint="eastAsia" w:ascii="仿宋" w:hAnsi="仿宋" w:eastAsia="仿宋" w:cs="仿宋"/>
          <w:b w:val="0"/>
          <w:bCs w:val="0"/>
          <w:color w:val="000000"/>
          <w:spacing w:val="-2"/>
          <w:sz w:val="28"/>
          <w:szCs w:val="28"/>
          <w:lang w:val="en-US" w:eastAsia="zh-CN"/>
        </w:rPr>
        <w:t>落实</w:t>
      </w:r>
      <w:r>
        <w:rPr>
          <w:rFonts w:hint="eastAsia" w:ascii="仿宋" w:hAnsi="仿宋" w:eastAsia="仿宋" w:cs="仿宋"/>
          <w:color w:val="000000"/>
          <w:kern w:val="0"/>
          <w:sz w:val="28"/>
          <w:szCs w:val="28"/>
        </w:rPr>
        <w:t>塔城地区出让登记</w:t>
      </w:r>
      <w:r>
        <w:rPr>
          <w:rFonts w:hint="eastAsia" w:ascii="仿宋" w:hAnsi="仿宋" w:eastAsia="仿宋" w:cs="仿宋"/>
          <w:b w:val="0"/>
          <w:bCs w:val="0"/>
          <w:color w:val="000000"/>
          <w:spacing w:val="-2"/>
          <w:sz w:val="28"/>
          <w:szCs w:val="28"/>
        </w:rPr>
        <w:t>设置</w:t>
      </w:r>
      <w:r>
        <w:rPr>
          <w:rFonts w:hint="eastAsia" w:ascii="仿宋" w:hAnsi="仿宋" w:eastAsia="仿宋" w:cs="仿宋"/>
          <w:b w:val="0"/>
          <w:bCs w:val="0"/>
          <w:color w:val="000000"/>
          <w:spacing w:val="-2"/>
          <w:sz w:val="28"/>
          <w:szCs w:val="28"/>
          <w:lang w:val="en-US" w:eastAsia="zh-CN"/>
        </w:rPr>
        <w:t>开采</w:t>
      </w:r>
      <w:r>
        <w:rPr>
          <w:rFonts w:hint="eastAsia" w:ascii="仿宋" w:hAnsi="仿宋" w:eastAsia="仿宋" w:cs="仿宋"/>
          <w:b w:val="0"/>
          <w:bCs w:val="0"/>
          <w:color w:val="000000"/>
          <w:spacing w:val="-2"/>
          <w:sz w:val="28"/>
          <w:szCs w:val="28"/>
        </w:rPr>
        <w:t>规划区块</w:t>
      </w:r>
      <w:r>
        <w:rPr>
          <w:rFonts w:hint="eastAsia" w:ascii="仿宋" w:hAnsi="仿宋" w:eastAsia="仿宋" w:cs="仿宋"/>
          <w:b w:val="0"/>
          <w:bCs w:val="0"/>
          <w:color w:val="000000"/>
          <w:spacing w:val="-2"/>
          <w:sz w:val="28"/>
          <w:szCs w:val="28"/>
          <w:lang w:val="en-US" w:eastAsia="zh-CN"/>
        </w:rPr>
        <w:t>3</w:t>
      </w:r>
      <w:r>
        <w:rPr>
          <w:rFonts w:hint="eastAsia" w:ascii="仿宋" w:hAnsi="仿宋" w:eastAsia="仿宋" w:cs="仿宋"/>
          <w:b w:val="0"/>
          <w:bCs w:val="0"/>
          <w:color w:val="000000"/>
          <w:spacing w:val="-2"/>
          <w:sz w:val="28"/>
          <w:szCs w:val="28"/>
        </w:rPr>
        <w:t>个，总面积</w:t>
      </w:r>
      <w:r>
        <w:rPr>
          <w:rFonts w:hint="eastAsia" w:ascii="仿宋" w:hAnsi="仿宋" w:eastAsia="仿宋" w:cs="仿宋"/>
          <w:b w:val="0"/>
          <w:bCs w:val="0"/>
          <w:color w:val="000000"/>
          <w:spacing w:val="-2"/>
          <w:sz w:val="28"/>
          <w:szCs w:val="28"/>
          <w:lang w:val="en-US" w:eastAsia="zh-CN"/>
        </w:rPr>
        <w:t>0.54</w:t>
      </w:r>
      <w:r>
        <w:rPr>
          <w:rFonts w:hint="eastAsia" w:ascii="仿宋" w:hAnsi="仿宋" w:eastAsia="仿宋" w:cs="仿宋"/>
          <w:b w:val="0"/>
          <w:bCs w:val="0"/>
          <w:color w:val="000000"/>
          <w:spacing w:val="-2"/>
          <w:sz w:val="28"/>
          <w:szCs w:val="28"/>
        </w:rPr>
        <w:t>平方千米，涉及矿产</w:t>
      </w:r>
      <w:r>
        <w:rPr>
          <w:rFonts w:hint="eastAsia" w:ascii="仿宋" w:hAnsi="仿宋" w:eastAsia="仿宋" w:cs="仿宋"/>
          <w:b w:val="0"/>
          <w:bCs w:val="0"/>
          <w:color w:val="000000"/>
          <w:spacing w:val="-2"/>
          <w:sz w:val="28"/>
          <w:szCs w:val="28"/>
          <w:lang w:val="en-US" w:eastAsia="zh-CN"/>
        </w:rPr>
        <w:t>1</w:t>
      </w:r>
      <w:r>
        <w:rPr>
          <w:rFonts w:hint="eastAsia" w:ascii="仿宋" w:hAnsi="仿宋" w:eastAsia="仿宋" w:cs="仿宋"/>
          <w:b w:val="0"/>
          <w:bCs w:val="0"/>
          <w:color w:val="000000"/>
          <w:spacing w:val="-2"/>
          <w:sz w:val="28"/>
          <w:szCs w:val="28"/>
        </w:rPr>
        <w:t>种（专栏1</w:t>
      </w:r>
      <w:r>
        <w:rPr>
          <w:rFonts w:hint="eastAsia" w:ascii="仿宋" w:hAnsi="仿宋" w:eastAsia="仿宋" w:cs="仿宋"/>
          <w:b w:val="0"/>
          <w:bCs w:val="0"/>
          <w:color w:val="000000"/>
          <w:spacing w:val="-2"/>
          <w:sz w:val="28"/>
          <w:szCs w:val="28"/>
          <w:lang w:val="en-US" w:eastAsia="zh-CN"/>
        </w:rPr>
        <w:t>4</w:t>
      </w:r>
      <w:r>
        <w:rPr>
          <w:rFonts w:hint="eastAsia" w:ascii="仿宋" w:hAnsi="仿宋" w:eastAsia="仿宋" w:cs="仿宋"/>
          <w:b w:val="0"/>
          <w:bCs w:val="0"/>
          <w:color w:val="000000"/>
          <w:spacing w:val="-2"/>
          <w:sz w:val="28"/>
          <w:szCs w:val="28"/>
        </w:rPr>
        <w:t>）</w:t>
      </w:r>
    </w:p>
    <w:tbl>
      <w:tblPr>
        <w:tblStyle w:val="16"/>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2"/>
        <w:gridCol w:w="1561"/>
        <w:gridCol w:w="1577"/>
        <w:gridCol w:w="1802"/>
        <w:gridCol w:w="29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blHeader/>
        </w:trPr>
        <w:tc>
          <w:tcPr>
            <w:tcW w:w="8522" w:type="dxa"/>
            <w:gridSpan w:val="5"/>
            <w:shd w:val="clear" w:color="auto" w:fill="D9D9D9"/>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b/>
                <w:bCs/>
                <w:color w:val="000000"/>
                <w:kern w:val="0"/>
                <w:sz w:val="21"/>
                <w:szCs w:val="21"/>
              </w:rPr>
              <w:t>专栏1</w:t>
            </w:r>
            <w:r>
              <w:rPr>
                <w:rFonts w:hint="eastAsia" w:ascii="仿宋" w:hAnsi="仿宋" w:eastAsia="仿宋" w:cs="仿宋"/>
                <w:b/>
                <w:bCs/>
                <w:color w:val="000000"/>
                <w:kern w:val="0"/>
                <w:sz w:val="21"/>
                <w:szCs w:val="21"/>
                <w:lang w:val="en-US" w:eastAsia="zh-CN"/>
              </w:rPr>
              <w:t xml:space="preserve">4   </w:t>
            </w:r>
            <w:r>
              <w:rPr>
                <w:rFonts w:hint="eastAsia" w:ascii="仿宋" w:hAnsi="仿宋" w:eastAsia="仿宋" w:cs="仿宋"/>
                <w:b/>
                <w:bCs/>
                <w:color w:val="000000"/>
                <w:kern w:val="0"/>
                <w:sz w:val="21"/>
                <w:szCs w:val="21"/>
              </w:rPr>
              <w:t xml:space="preserve"> 开采规划区块设置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632" w:type="dxa"/>
            <w:shd w:val="clear" w:color="auto" w:fill="FFFFFF"/>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序号</w:t>
            </w:r>
          </w:p>
        </w:tc>
        <w:tc>
          <w:tcPr>
            <w:tcW w:w="1561" w:type="dxa"/>
            <w:shd w:val="clear" w:color="auto" w:fill="FFFFFF"/>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开采主矿种</w:t>
            </w:r>
          </w:p>
        </w:tc>
        <w:tc>
          <w:tcPr>
            <w:tcW w:w="1577" w:type="dxa"/>
            <w:shd w:val="clear" w:color="auto" w:fill="FFFFFF"/>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开采规划区块</w:t>
            </w:r>
          </w:p>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数量（个）</w:t>
            </w:r>
          </w:p>
        </w:tc>
        <w:tc>
          <w:tcPr>
            <w:tcW w:w="1802" w:type="dxa"/>
            <w:shd w:val="clear" w:color="auto" w:fill="FFFFFF"/>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面积</w:t>
            </w:r>
          </w:p>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(平方千米)</w:t>
            </w:r>
          </w:p>
        </w:tc>
        <w:tc>
          <w:tcPr>
            <w:tcW w:w="2950" w:type="dxa"/>
            <w:shd w:val="clear" w:color="auto" w:fill="FFFFFF"/>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632" w:type="dxa"/>
            <w:shd w:val="clear" w:color="auto" w:fill="FFFFFF"/>
            <w:noWrap w:val="0"/>
            <w:vAlign w:val="center"/>
          </w:tcPr>
          <w:p>
            <w:pPr>
              <w:widowControl/>
              <w:spacing w:line="0" w:lineRule="atLeast"/>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1</w:t>
            </w:r>
          </w:p>
        </w:tc>
        <w:tc>
          <w:tcPr>
            <w:tcW w:w="1561" w:type="dxa"/>
            <w:shd w:val="clear" w:color="auto" w:fill="FFFFFF"/>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页岩矿</w:t>
            </w:r>
          </w:p>
        </w:tc>
        <w:tc>
          <w:tcPr>
            <w:tcW w:w="1577" w:type="dxa"/>
            <w:shd w:val="clear" w:color="auto" w:fill="FFFFFF"/>
            <w:noWrap w:val="0"/>
            <w:vAlign w:val="center"/>
          </w:tcPr>
          <w:p>
            <w:pPr>
              <w:keepNext w:val="0"/>
              <w:keepLines w:val="0"/>
              <w:widowControl/>
              <w:suppressLineNumbers w:val="0"/>
              <w:jc w:val="center"/>
              <w:textAlignment w:val="center"/>
              <w:rPr>
                <w:rFonts w:hint="eastAsia"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3</w:t>
            </w:r>
          </w:p>
        </w:tc>
        <w:tc>
          <w:tcPr>
            <w:tcW w:w="1802" w:type="dxa"/>
            <w:shd w:val="clear" w:color="auto" w:fill="FFFFFF"/>
            <w:noWrap w:val="0"/>
            <w:vAlign w:val="center"/>
          </w:tcPr>
          <w:p>
            <w:pPr>
              <w:keepNext w:val="0"/>
              <w:keepLines w:val="0"/>
              <w:widowControl/>
              <w:suppressLineNumbers w:val="0"/>
              <w:jc w:val="center"/>
              <w:textAlignment w:val="center"/>
              <w:rPr>
                <w:rFonts w:hint="default" w:ascii="仿宋" w:hAnsi="仿宋" w:eastAsia="仿宋" w:cs="仿宋"/>
                <w:i w:val="0"/>
                <w:color w:val="000000"/>
                <w:kern w:val="0"/>
                <w:sz w:val="21"/>
                <w:szCs w:val="21"/>
                <w:u w:val="none"/>
                <w:lang w:val="en-US" w:eastAsia="zh-CN" w:bidi="ar"/>
              </w:rPr>
            </w:pPr>
            <w:r>
              <w:rPr>
                <w:rFonts w:hint="eastAsia" w:ascii="仿宋" w:hAnsi="仿宋" w:eastAsia="仿宋" w:cs="仿宋"/>
                <w:i w:val="0"/>
                <w:color w:val="000000"/>
                <w:kern w:val="0"/>
                <w:sz w:val="21"/>
                <w:szCs w:val="21"/>
                <w:u w:val="none"/>
                <w:lang w:val="en-US" w:eastAsia="zh-CN" w:bidi="ar"/>
              </w:rPr>
              <w:t>0.54</w:t>
            </w:r>
          </w:p>
        </w:tc>
        <w:tc>
          <w:tcPr>
            <w:tcW w:w="2950" w:type="dxa"/>
            <w:shd w:val="clear" w:color="auto" w:fill="FFFFFF"/>
            <w:noWrap w:val="0"/>
            <w:vAlign w:val="center"/>
          </w:tcPr>
          <w:p>
            <w:pPr>
              <w:snapToGrid w:val="0"/>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塔城地区出让登记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2193" w:type="dxa"/>
            <w:gridSpan w:val="2"/>
            <w:shd w:val="clear" w:color="auto" w:fill="FFFFFF"/>
            <w:noWrap w:val="0"/>
            <w:vAlign w:val="center"/>
          </w:tcPr>
          <w:p>
            <w:pPr>
              <w:widowControl/>
              <w:spacing w:line="0" w:lineRule="atLeast"/>
              <w:jc w:val="center"/>
              <w:rPr>
                <w:rFonts w:hint="eastAsia" w:ascii="仿宋" w:hAnsi="仿宋" w:eastAsia="仿宋" w:cs="仿宋"/>
                <w:sz w:val="21"/>
                <w:szCs w:val="21"/>
              </w:rPr>
            </w:pPr>
            <w:r>
              <w:rPr>
                <w:rFonts w:hint="eastAsia" w:ascii="仿宋" w:hAnsi="仿宋" w:eastAsia="仿宋" w:cs="仿宋"/>
                <w:color w:val="000000"/>
                <w:kern w:val="0"/>
                <w:sz w:val="21"/>
                <w:szCs w:val="21"/>
              </w:rPr>
              <w:t>合计</w:t>
            </w:r>
          </w:p>
        </w:tc>
        <w:tc>
          <w:tcPr>
            <w:tcW w:w="1577" w:type="dxa"/>
            <w:shd w:val="clear" w:color="auto" w:fill="FFFFFF"/>
            <w:noWrap w:val="0"/>
            <w:vAlign w:val="center"/>
          </w:tcPr>
          <w:p>
            <w:pPr>
              <w:widowControl/>
              <w:spacing w:line="0" w:lineRule="atLeast"/>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w:t>
            </w:r>
          </w:p>
        </w:tc>
        <w:tc>
          <w:tcPr>
            <w:tcW w:w="1802" w:type="dxa"/>
            <w:shd w:val="clear" w:color="auto" w:fill="FFFFFF"/>
            <w:noWrap w:val="0"/>
            <w:vAlign w:val="center"/>
          </w:tcPr>
          <w:p>
            <w:pPr>
              <w:keepNext w:val="0"/>
              <w:keepLines w:val="0"/>
              <w:widowControl/>
              <w:suppressLineNumbers w:val="0"/>
              <w:jc w:val="center"/>
              <w:textAlignment w:val="center"/>
              <w:rPr>
                <w:rFonts w:hint="default" w:ascii="仿宋" w:hAnsi="仿宋" w:eastAsia="仿宋" w:cs="仿宋"/>
                <w:sz w:val="21"/>
                <w:szCs w:val="21"/>
                <w:lang w:val="en-US"/>
              </w:rPr>
            </w:pPr>
            <w:r>
              <w:rPr>
                <w:rFonts w:hint="eastAsia" w:ascii="仿宋" w:hAnsi="仿宋" w:eastAsia="仿宋" w:cs="仿宋"/>
                <w:i w:val="0"/>
                <w:color w:val="000000"/>
                <w:kern w:val="0"/>
                <w:sz w:val="21"/>
                <w:szCs w:val="21"/>
                <w:u w:val="none"/>
                <w:lang w:val="en-US" w:eastAsia="zh-CN" w:bidi="ar"/>
              </w:rPr>
              <w:t>0.54</w:t>
            </w:r>
          </w:p>
        </w:tc>
        <w:tc>
          <w:tcPr>
            <w:tcW w:w="2950" w:type="dxa"/>
            <w:shd w:val="clear" w:color="auto" w:fill="FFFFFF"/>
            <w:noWrap w:val="0"/>
            <w:vAlign w:val="center"/>
          </w:tcPr>
          <w:p>
            <w:pPr>
              <w:widowControl/>
              <w:spacing w:line="0" w:lineRule="atLeast"/>
              <w:jc w:val="center"/>
              <w:rPr>
                <w:rFonts w:hint="eastAsia" w:ascii="仿宋" w:hAnsi="仿宋" w:eastAsia="仿宋" w:cs="仿宋"/>
                <w:sz w:val="21"/>
                <w:szCs w:val="21"/>
              </w:rPr>
            </w:pPr>
          </w:p>
        </w:tc>
      </w:tr>
    </w:tbl>
    <w:p>
      <w:pPr>
        <w:pStyle w:val="26"/>
        <w:keepNext w:val="0"/>
        <w:keepLines w:val="0"/>
        <w:pageBreakBefore w:val="0"/>
        <w:widowControl w:val="0"/>
        <w:kinsoku/>
        <w:wordWrap/>
        <w:overflowPunct/>
        <w:topLinePunct w:val="0"/>
        <w:autoSpaceDE/>
        <w:autoSpaceDN/>
        <w:bidi w:val="0"/>
        <w:adjustRightInd/>
        <w:snapToGrid/>
        <w:spacing w:before="0" w:after="0" w:line="500" w:lineRule="exact"/>
        <w:ind w:firstLine="562" w:firstLineChars="200"/>
        <w:textAlignment w:val="auto"/>
        <w:outlineLvl w:val="1"/>
        <w:rPr>
          <w:rFonts w:hint="eastAsia" w:ascii="仿宋" w:hAnsi="仿宋" w:eastAsia="仿宋" w:cs="仿宋"/>
          <w:b/>
          <w:bCs/>
          <w:color w:val="auto"/>
          <w:kern w:val="2"/>
          <w:sz w:val="28"/>
          <w:szCs w:val="28"/>
          <w:lang w:val="en-US" w:eastAsia="zh-CN" w:bidi="ar-SA"/>
        </w:rPr>
      </w:pPr>
      <w:bookmarkStart w:id="98" w:name="_Toc1828"/>
      <w:r>
        <w:rPr>
          <w:rFonts w:hint="eastAsia" w:ascii="仿宋" w:hAnsi="仿宋" w:eastAsia="仿宋" w:cs="仿宋"/>
          <w:b/>
          <w:bCs/>
          <w:color w:val="auto"/>
          <w:kern w:val="2"/>
          <w:sz w:val="28"/>
          <w:szCs w:val="28"/>
          <w:lang w:val="en-US" w:eastAsia="zh-CN" w:bidi="ar-SA"/>
        </w:rPr>
        <w:t>（四）</w:t>
      </w:r>
      <w:bookmarkEnd w:id="92"/>
      <w:bookmarkEnd w:id="93"/>
      <w:bookmarkEnd w:id="94"/>
      <w:bookmarkEnd w:id="95"/>
      <w:bookmarkEnd w:id="96"/>
      <w:bookmarkEnd w:id="97"/>
      <w:r>
        <w:rPr>
          <w:rFonts w:hint="eastAsia" w:ascii="仿宋" w:hAnsi="仿宋" w:eastAsia="仿宋" w:cs="仿宋"/>
          <w:b/>
          <w:bCs/>
          <w:color w:val="auto"/>
          <w:kern w:val="2"/>
          <w:sz w:val="28"/>
          <w:szCs w:val="28"/>
          <w:lang w:val="en-US" w:eastAsia="zh-CN" w:bidi="ar-SA"/>
        </w:rPr>
        <w:t>严格规范砂石土类矿产资源开发管理</w:t>
      </w:r>
      <w:bookmarkEnd w:id="98"/>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z w:val="28"/>
          <w:szCs w:val="28"/>
          <w:lang w:val="zh-CN"/>
        </w:rPr>
      </w:pPr>
      <w:r>
        <w:rPr>
          <w:rFonts w:hint="eastAsia" w:ascii="仿宋" w:hAnsi="仿宋" w:eastAsia="仿宋" w:cs="仿宋"/>
          <w:b/>
          <w:sz w:val="28"/>
          <w:szCs w:val="28"/>
          <w:lang w:val="zh-CN"/>
        </w:rPr>
        <w:t>合理规划集中开采区。</w:t>
      </w:r>
      <w:r>
        <w:rPr>
          <w:rFonts w:hint="eastAsia" w:ascii="仿宋" w:hAnsi="仿宋" w:eastAsia="仿宋" w:cs="仿宋"/>
          <w:sz w:val="28"/>
          <w:szCs w:val="28"/>
          <w:shd w:val="clear" w:color="auto" w:fill="auto"/>
          <w:lang w:val="zh-CN"/>
        </w:rPr>
        <w:t>普通建筑用砂石料要合理调控开采总量，需严控设置数量，根据砂石土类矿的分布特点，结合运距、交通、矿体特征、资源储量、经济发展布局等因素，合理设立集中开采区。</w:t>
      </w:r>
      <w:r>
        <w:rPr>
          <w:rFonts w:hint="eastAsia" w:ascii="仿宋" w:hAnsi="仿宋" w:eastAsia="仿宋" w:cs="仿宋"/>
          <w:sz w:val="28"/>
          <w:szCs w:val="28"/>
          <w:shd w:val="clear" w:color="auto" w:fill="auto"/>
        </w:rPr>
        <w:t>普通建筑用砂石土对生态环境影响较大，需严控设置数量，鼓励集中开</w:t>
      </w:r>
      <w:r>
        <w:rPr>
          <w:rFonts w:hint="eastAsia" w:ascii="仿宋" w:hAnsi="仿宋" w:eastAsia="仿宋" w:cs="仿宋"/>
          <w:sz w:val="28"/>
          <w:szCs w:val="28"/>
        </w:rPr>
        <w:t>采，对普通建筑用砂石土矿实行严格的源头保护制度，有计划适度开发利用。坚持“集中开发、规模开采”原则，</w:t>
      </w:r>
      <w:r>
        <w:rPr>
          <w:rFonts w:hint="eastAsia" w:ascii="仿宋" w:hAnsi="仿宋" w:eastAsia="仿宋" w:cs="仿宋"/>
          <w:sz w:val="28"/>
          <w:szCs w:val="28"/>
          <w:lang w:val="zh-CN"/>
        </w:rPr>
        <w:t>合理控制矿山数量，优化开发布局和结构。</w:t>
      </w:r>
      <w:r>
        <w:rPr>
          <w:rFonts w:hint="eastAsia" w:ascii="仿宋" w:hAnsi="仿宋" w:eastAsia="仿宋" w:cs="仿宋"/>
          <w:sz w:val="28"/>
          <w:szCs w:val="28"/>
        </w:rPr>
        <w:t>在满足区域经济建设、重大基础设施建设、城镇化发展</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撤县建市</w:t>
      </w:r>
      <w:r>
        <w:rPr>
          <w:rFonts w:hint="eastAsia" w:ascii="仿宋" w:hAnsi="仿宋" w:eastAsia="仿宋" w:cs="仿宋"/>
          <w:sz w:val="28"/>
          <w:szCs w:val="28"/>
        </w:rPr>
        <w:t>对砂石土矿产品的需求的前提下，合理利用矿产资源，全</w:t>
      </w:r>
      <w:r>
        <w:rPr>
          <w:rFonts w:hint="eastAsia" w:ascii="仿宋" w:hAnsi="仿宋" w:eastAsia="仿宋" w:cs="仿宋"/>
          <w:sz w:val="28"/>
          <w:szCs w:val="28"/>
          <w:lang w:val="en-US" w:eastAsia="zh-CN"/>
        </w:rPr>
        <w:t>市</w:t>
      </w:r>
      <w:r>
        <w:rPr>
          <w:rFonts w:hint="eastAsia" w:ascii="仿宋" w:hAnsi="仿宋" w:eastAsia="仿宋" w:cs="仿宋"/>
          <w:sz w:val="28"/>
          <w:szCs w:val="28"/>
        </w:rPr>
        <w:t>共规划设置砂石土集中开采区1</w:t>
      </w:r>
      <w:r>
        <w:rPr>
          <w:rFonts w:hint="eastAsia" w:ascii="仿宋" w:hAnsi="仿宋" w:eastAsia="仿宋" w:cs="仿宋"/>
          <w:sz w:val="28"/>
          <w:szCs w:val="28"/>
          <w:lang w:val="en-US" w:eastAsia="zh-CN"/>
        </w:rPr>
        <w:t>5</w:t>
      </w:r>
      <w:r>
        <w:rPr>
          <w:rFonts w:hint="eastAsia" w:ascii="仿宋" w:hAnsi="仿宋" w:eastAsia="仿宋" w:cs="仿宋"/>
          <w:sz w:val="28"/>
          <w:szCs w:val="28"/>
        </w:rPr>
        <w:t>个，总面积</w:t>
      </w:r>
      <w:r>
        <w:rPr>
          <w:rFonts w:hint="eastAsia" w:ascii="仿宋" w:hAnsi="仿宋" w:eastAsia="仿宋" w:cs="仿宋"/>
          <w:sz w:val="28"/>
          <w:szCs w:val="28"/>
          <w:lang w:val="en-US" w:eastAsia="zh-CN"/>
        </w:rPr>
        <w:t>513.17平方千米</w:t>
      </w:r>
      <w:r>
        <w:rPr>
          <w:rFonts w:hint="eastAsia" w:ascii="仿宋" w:hAnsi="仿宋" w:eastAsia="仿宋" w:cs="仿宋"/>
          <w:sz w:val="28"/>
          <w:szCs w:val="28"/>
        </w:rPr>
        <w:t>（专栏1</w:t>
      </w:r>
      <w:r>
        <w:rPr>
          <w:rFonts w:hint="eastAsia" w:ascii="仿宋" w:hAnsi="仿宋" w:eastAsia="仿宋" w:cs="仿宋"/>
          <w:sz w:val="28"/>
          <w:szCs w:val="28"/>
          <w:lang w:val="en-US" w:eastAsia="zh-CN"/>
        </w:rPr>
        <w:t>5</w:t>
      </w:r>
      <w:r>
        <w:rPr>
          <w:rFonts w:hint="eastAsia" w:ascii="仿宋" w:hAnsi="仿宋" w:eastAsia="仿宋" w:cs="仿宋"/>
          <w:sz w:val="28"/>
          <w:szCs w:val="28"/>
        </w:rPr>
        <w:t>）。</w:t>
      </w:r>
    </w:p>
    <w:tbl>
      <w:tblPr>
        <w:tblStyle w:val="16"/>
        <w:tblW w:w="8389" w:type="dxa"/>
        <w:jc w:val="right"/>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92"/>
        <w:gridCol w:w="3398"/>
        <w:gridCol w:w="1193"/>
        <w:gridCol w:w="1654"/>
        <w:gridCol w:w="155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8389" w:type="dxa"/>
            <w:gridSpan w:val="5"/>
            <w:shd w:val="clear" w:color="auto" w:fill="BEBEBE" w:themeFill="background1" w:themeFillShade="BF"/>
            <w:noWrap w:val="0"/>
            <w:vAlign w:val="center"/>
          </w:tcPr>
          <w:p>
            <w:pPr>
              <w:widowControl/>
              <w:adjustRightInd w:val="0"/>
              <w:snapToGrid w:val="0"/>
              <w:jc w:val="center"/>
              <w:rPr>
                <w:rFonts w:hint="default" w:ascii="仿宋" w:hAnsi="仿宋" w:eastAsia="仿宋" w:cs="仿宋"/>
                <w:color w:val="auto"/>
                <w:kern w:val="0"/>
                <w:sz w:val="21"/>
                <w:szCs w:val="21"/>
                <w:lang w:val="en-US" w:eastAsia="zh-CN"/>
              </w:rPr>
            </w:pPr>
            <w:r>
              <w:rPr>
                <w:rFonts w:hint="eastAsia" w:ascii="仿宋" w:hAnsi="仿宋" w:eastAsia="仿宋" w:cs="仿宋"/>
                <w:b/>
                <w:bCs/>
                <w:sz w:val="21"/>
                <w:szCs w:val="21"/>
              </w:rPr>
              <w:t>专栏1</w:t>
            </w:r>
            <w:r>
              <w:rPr>
                <w:rFonts w:hint="eastAsia" w:ascii="仿宋" w:hAnsi="仿宋" w:eastAsia="仿宋" w:cs="仿宋"/>
                <w:b/>
                <w:bCs/>
                <w:sz w:val="21"/>
                <w:szCs w:val="21"/>
                <w:lang w:val="en-US" w:eastAsia="zh-CN"/>
              </w:rPr>
              <w:t>5    沙湾市</w:t>
            </w:r>
            <w:r>
              <w:rPr>
                <w:rFonts w:hint="eastAsia" w:ascii="仿宋_GB2312" w:hAnsi="宋体" w:eastAsia="仿宋_GB2312"/>
                <w:b/>
                <w:bCs/>
                <w:szCs w:val="21"/>
              </w:rPr>
              <w:t>砂石土集中开采区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blHeader/>
          <w:jc w:val="right"/>
        </w:trPr>
        <w:tc>
          <w:tcPr>
            <w:tcW w:w="592" w:type="dxa"/>
            <w:noWrap w:val="0"/>
            <w:vAlign w:val="center"/>
          </w:tcPr>
          <w:p>
            <w:pPr>
              <w:widowControl/>
              <w:adjustRightInd w:val="0"/>
              <w:snapToGrid w:val="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序号</w:t>
            </w:r>
          </w:p>
        </w:tc>
        <w:tc>
          <w:tcPr>
            <w:tcW w:w="3398" w:type="dxa"/>
            <w:noWrap w:val="0"/>
            <w:vAlign w:val="center"/>
          </w:tcPr>
          <w:p>
            <w:pPr>
              <w:widowControl/>
              <w:adjustRightInd w:val="0"/>
              <w:snapToGrid w:val="0"/>
              <w:jc w:val="center"/>
              <w:rPr>
                <w:rFonts w:hint="eastAsia" w:ascii="仿宋" w:hAnsi="仿宋" w:eastAsia="仿宋" w:cs="仿宋"/>
                <w:color w:val="auto"/>
                <w:kern w:val="0"/>
                <w:sz w:val="21"/>
                <w:szCs w:val="21"/>
                <w:lang w:val="en-US"/>
              </w:rPr>
            </w:pPr>
            <w:r>
              <w:rPr>
                <w:rFonts w:hint="eastAsia" w:ascii="仿宋" w:hAnsi="仿宋" w:eastAsia="仿宋" w:cs="仿宋"/>
                <w:color w:val="auto"/>
                <w:kern w:val="0"/>
                <w:sz w:val="21"/>
                <w:szCs w:val="21"/>
              </w:rPr>
              <w:t>规划分区名称</w:t>
            </w:r>
          </w:p>
        </w:tc>
        <w:tc>
          <w:tcPr>
            <w:tcW w:w="1193" w:type="dxa"/>
            <w:noWrap w:val="0"/>
            <w:vAlign w:val="center"/>
          </w:tcPr>
          <w:p>
            <w:pPr>
              <w:widowControl/>
              <w:adjustRightInd w:val="0"/>
              <w:snapToGrid w:val="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面积(km</w:t>
            </w:r>
            <w:r>
              <w:rPr>
                <w:rFonts w:hint="eastAsia" w:ascii="仿宋" w:hAnsi="仿宋" w:eastAsia="仿宋" w:cs="仿宋"/>
                <w:color w:val="auto"/>
                <w:kern w:val="0"/>
                <w:sz w:val="21"/>
                <w:szCs w:val="21"/>
                <w:vertAlign w:val="superscript"/>
              </w:rPr>
              <w:t>2</w:t>
            </w:r>
            <w:r>
              <w:rPr>
                <w:rFonts w:hint="eastAsia" w:ascii="仿宋" w:hAnsi="仿宋" w:eastAsia="仿宋" w:cs="仿宋"/>
                <w:color w:val="auto"/>
                <w:kern w:val="0"/>
                <w:sz w:val="21"/>
                <w:szCs w:val="21"/>
              </w:rPr>
              <w:t>)</w:t>
            </w:r>
          </w:p>
        </w:tc>
        <w:tc>
          <w:tcPr>
            <w:tcW w:w="1654" w:type="dxa"/>
            <w:noWrap w:val="0"/>
            <w:vAlign w:val="center"/>
          </w:tcPr>
          <w:p>
            <w:pPr>
              <w:widowControl/>
              <w:adjustRightInd w:val="0"/>
              <w:snapToGrid w:val="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最低开采规模</w:t>
            </w:r>
          </w:p>
          <w:p>
            <w:pPr>
              <w:widowControl/>
              <w:adjustRightInd w:val="0"/>
              <w:snapToGrid w:val="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rPr>
              <w:t>(千立方米/年)</w:t>
            </w:r>
          </w:p>
        </w:tc>
        <w:tc>
          <w:tcPr>
            <w:tcW w:w="1552" w:type="dxa"/>
            <w:noWrap w:val="0"/>
            <w:vAlign w:val="center"/>
          </w:tcPr>
          <w:p>
            <w:pPr>
              <w:widowControl/>
              <w:adjustRightInd w:val="0"/>
              <w:snapToGrid w:val="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kern w:val="0"/>
                <w:sz w:val="21"/>
                <w:szCs w:val="21"/>
                <w:lang w:val="en-US" w:eastAsia="zh-CN"/>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blHeader/>
          <w:jc w:val="right"/>
        </w:trPr>
        <w:tc>
          <w:tcPr>
            <w:tcW w:w="592" w:type="dxa"/>
            <w:noWrap w:val="0"/>
            <w:vAlign w:val="center"/>
          </w:tcPr>
          <w:p>
            <w:pPr>
              <w:widowControl/>
              <w:adjustRightInd w:val="0"/>
              <w:snapToGrid w:val="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1</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沙湾市砂石土集中开采区（Ⅰ）</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 xml:space="preserve">28.83 </w:t>
            </w:r>
          </w:p>
        </w:tc>
        <w:tc>
          <w:tcPr>
            <w:tcW w:w="1654" w:type="dxa"/>
            <w:noWrap w:val="0"/>
            <w:vAlign w:val="center"/>
          </w:tcPr>
          <w:p>
            <w:pPr>
              <w:widowControl/>
              <w:adjustRightInd w:val="0"/>
              <w:snapToGrid w:val="0"/>
              <w:jc w:val="center"/>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widowControl/>
              <w:adjustRightInd w:val="0"/>
              <w:snapToGrid w:val="0"/>
              <w:jc w:val="center"/>
              <w:rPr>
                <w:rFonts w:hint="eastAsia" w:ascii="仿宋" w:hAnsi="仿宋" w:eastAsia="仿宋" w:cs="仿宋"/>
                <w:color w:val="auto"/>
                <w:kern w:val="0"/>
                <w:sz w:val="21"/>
                <w:szCs w:val="21"/>
                <w:lang w:val="en-US" w:eastAsia="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blHeader/>
          <w:jc w:val="right"/>
        </w:trPr>
        <w:tc>
          <w:tcPr>
            <w:tcW w:w="592" w:type="dxa"/>
            <w:noWrap w:val="0"/>
            <w:vAlign w:val="center"/>
          </w:tcPr>
          <w:p>
            <w:pPr>
              <w:widowControl/>
              <w:adjustRightInd w:val="0"/>
              <w:snapToGrid w:val="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2</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kern w:val="0"/>
                <w:sz w:val="21"/>
                <w:szCs w:val="21"/>
              </w:rPr>
            </w:pPr>
            <w:r>
              <w:rPr>
                <w:rFonts w:hint="eastAsia" w:ascii="仿宋" w:hAnsi="仿宋" w:eastAsia="仿宋" w:cs="仿宋"/>
                <w:i w:val="0"/>
                <w:iCs w:val="0"/>
                <w:color w:val="auto"/>
                <w:kern w:val="0"/>
                <w:sz w:val="21"/>
                <w:szCs w:val="21"/>
                <w:u w:val="none"/>
                <w:lang w:val="en-US" w:eastAsia="zh-CN" w:bidi="ar"/>
              </w:rPr>
              <w:t>沙湾市砂石土集中开采区（Ⅱ）</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color w:val="auto"/>
                <w:kern w:val="0"/>
                <w:sz w:val="21"/>
                <w:szCs w:val="21"/>
              </w:rPr>
            </w:pPr>
            <w:r>
              <w:rPr>
                <w:rFonts w:hint="eastAsia" w:ascii="仿宋" w:hAnsi="仿宋" w:eastAsia="仿宋" w:cs="仿宋"/>
                <w:i w:val="0"/>
                <w:iCs w:val="0"/>
                <w:color w:val="auto"/>
                <w:kern w:val="0"/>
                <w:sz w:val="21"/>
                <w:szCs w:val="21"/>
                <w:u w:val="none"/>
                <w:lang w:val="en-US" w:eastAsia="zh-CN" w:bidi="ar"/>
              </w:rPr>
              <w:t xml:space="preserve">111.96 </w:t>
            </w:r>
          </w:p>
        </w:tc>
        <w:tc>
          <w:tcPr>
            <w:tcW w:w="1654" w:type="dxa"/>
            <w:noWrap w:val="0"/>
            <w:vAlign w:val="center"/>
          </w:tcPr>
          <w:p>
            <w:pPr>
              <w:widowControl/>
              <w:adjustRightInd w:val="0"/>
              <w:snapToGrid w:val="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widowControl/>
              <w:adjustRightInd w:val="0"/>
              <w:snapToGrid w:val="0"/>
              <w:jc w:val="center"/>
              <w:rPr>
                <w:rFonts w:hint="eastAsia" w:ascii="仿宋" w:hAnsi="仿宋" w:eastAsia="仿宋" w:cs="仿宋"/>
                <w:color w:val="auto"/>
                <w:kern w:val="0"/>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widowControl/>
              <w:adjustRightInd w:val="0"/>
              <w:snapToGrid w:val="0"/>
              <w:jc w:val="center"/>
              <w:rPr>
                <w:rFonts w:hint="eastAsia" w:ascii="仿宋" w:hAnsi="仿宋" w:eastAsia="仿宋" w:cs="仿宋"/>
                <w:color w:val="auto"/>
                <w:kern w:val="0"/>
                <w:sz w:val="21"/>
                <w:szCs w:val="21"/>
              </w:rPr>
            </w:pPr>
            <w:r>
              <w:rPr>
                <w:rFonts w:hint="eastAsia" w:ascii="仿宋" w:hAnsi="仿宋" w:eastAsia="仿宋" w:cs="仿宋"/>
                <w:color w:val="auto"/>
                <w:kern w:val="0"/>
                <w:sz w:val="21"/>
                <w:szCs w:val="21"/>
              </w:rPr>
              <w:t>3</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kern w:val="0"/>
                <w:sz w:val="21"/>
                <w:szCs w:val="21"/>
              </w:rPr>
            </w:pPr>
            <w:r>
              <w:rPr>
                <w:rFonts w:hint="eastAsia" w:ascii="仿宋" w:hAnsi="仿宋" w:eastAsia="仿宋" w:cs="仿宋"/>
                <w:i w:val="0"/>
                <w:iCs w:val="0"/>
                <w:color w:val="auto"/>
                <w:kern w:val="0"/>
                <w:sz w:val="21"/>
                <w:szCs w:val="21"/>
                <w:u w:val="none"/>
                <w:lang w:val="en-US" w:eastAsia="zh-CN" w:bidi="ar"/>
              </w:rPr>
              <w:t>沙湾市砂石土集中开采区（Ⅲ）</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color w:val="auto"/>
                <w:kern w:val="0"/>
                <w:sz w:val="21"/>
                <w:szCs w:val="21"/>
              </w:rPr>
            </w:pPr>
            <w:r>
              <w:rPr>
                <w:rFonts w:hint="eastAsia" w:ascii="仿宋" w:hAnsi="仿宋" w:eastAsia="仿宋" w:cs="仿宋"/>
                <w:i w:val="0"/>
                <w:iCs w:val="0"/>
                <w:color w:val="auto"/>
                <w:kern w:val="0"/>
                <w:sz w:val="21"/>
                <w:szCs w:val="21"/>
                <w:u w:val="none"/>
                <w:lang w:val="en-US" w:eastAsia="zh-CN" w:bidi="ar"/>
              </w:rPr>
              <w:t xml:space="preserve">27.08 </w:t>
            </w:r>
          </w:p>
        </w:tc>
        <w:tc>
          <w:tcPr>
            <w:tcW w:w="1654" w:type="dxa"/>
            <w:noWrap w:val="0"/>
            <w:vAlign w:val="center"/>
          </w:tcPr>
          <w:p>
            <w:pPr>
              <w:widowControl/>
              <w:adjustRightInd w:val="0"/>
              <w:snapToGrid w:val="0"/>
              <w:jc w:val="center"/>
              <w:rPr>
                <w:rFonts w:hint="eastAsia" w:ascii="仿宋" w:hAnsi="仿宋" w:eastAsia="仿宋" w:cs="仿宋"/>
                <w:color w:val="auto"/>
                <w:kern w:val="0"/>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widowControl/>
              <w:adjustRightInd w:val="0"/>
              <w:snapToGrid w:val="0"/>
              <w:jc w:val="center"/>
              <w:rPr>
                <w:rFonts w:hint="eastAsia" w:ascii="仿宋" w:hAnsi="仿宋" w:eastAsia="仿宋" w:cs="仿宋"/>
                <w:color w:val="auto"/>
                <w:kern w:val="0"/>
                <w:sz w:val="21"/>
                <w:szCs w:val="21"/>
                <w:lang w:eastAsia="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4</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沙湾市砂石土集中开采区（Ⅳ）</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eastAsia="zh-CN"/>
              </w:rPr>
            </w:pPr>
            <w:r>
              <w:rPr>
                <w:rFonts w:hint="eastAsia" w:ascii="仿宋" w:hAnsi="仿宋" w:eastAsia="仿宋" w:cs="仿宋"/>
                <w:i w:val="0"/>
                <w:iCs w:val="0"/>
                <w:color w:val="auto"/>
                <w:kern w:val="0"/>
                <w:sz w:val="21"/>
                <w:szCs w:val="21"/>
                <w:u w:val="none"/>
                <w:lang w:val="en-US" w:eastAsia="zh-CN" w:bidi="ar"/>
              </w:rPr>
              <w:t>14.44</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5</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沙湾市砂石土集中开采区（Ⅴ）</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8.79</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rPr>
            </w:pPr>
            <w:r>
              <w:rPr>
                <w:rFonts w:hint="eastAsia" w:ascii="仿宋" w:hAnsi="仿宋" w:eastAsia="仿宋" w:cs="仿宋"/>
                <w:color w:val="auto"/>
                <w:sz w:val="21"/>
                <w:szCs w:val="21"/>
              </w:rPr>
              <w:t>6</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沙湾市砂石土集中开采区（Ⅵ）</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 xml:space="preserve">42.02 </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7</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沙湾市砂石土集中开采区（Ⅶ）</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75.19</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8</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沙湾市砂石土集中开采区（Ⅷ）</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27.60</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9</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沙湾市砂石土集中开采区（Ⅸ）</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123.38</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10</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沙湾市砂石土集中开采区（Ⅹ）</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16.42</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11</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沙湾市砂石土集中开采区（ⅩⅠ）</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 xml:space="preserve">26.13 </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12</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沙湾市砂石土集中开采区（ⅩⅡ）</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 xml:space="preserve">0.92 </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13</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沙湾市砂石土集中开采区（ⅩⅢ）</w:t>
            </w:r>
          </w:p>
        </w:tc>
        <w:tc>
          <w:tcPr>
            <w:tcW w:w="1193"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rPr>
            </w:pPr>
            <w:r>
              <w:rPr>
                <w:rFonts w:hint="eastAsia" w:ascii="仿宋" w:hAnsi="仿宋" w:eastAsia="仿宋" w:cs="仿宋"/>
                <w:i w:val="0"/>
                <w:iCs w:val="0"/>
                <w:color w:val="auto"/>
                <w:kern w:val="0"/>
                <w:sz w:val="21"/>
                <w:szCs w:val="21"/>
                <w:u w:val="none"/>
                <w:lang w:val="en-US" w:eastAsia="zh-CN" w:bidi="ar"/>
              </w:rPr>
              <w:t xml:space="preserve">3.46 </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14</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沙湾市砂石土集中开采区（ⅩⅤ）</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1.05</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40" w:hRule="atLeast"/>
          <w:tblHeader/>
          <w:jc w:val="right"/>
        </w:trPr>
        <w:tc>
          <w:tcPr>
            <w:tcW w:w="592"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15</w:t>
            </w:r>
          </w:p>
        </w:tc>
        <w:tc>
          <w:tcPr>
            <w:tcW w:w="3398" w:type="dxa"/>
            <w:noWrap w:val="0"/>
            <w:vAlign w:val="center"/>
          </w:tcPr>
          <w:p>
            <w:pPr>
              <w:keepNext w:val="0"/>
              <w:keepLines w:val="0"/>
              <w:widowControl/>
              <w:suppressLineNumbers w:val="0"/>
              <w:jc w:val="center"/>
              <w:textAlignment w:val="center"/>
              <w:rPr>
                <w:rFonts w:hint="eastAsia" w:ascii="仿宋" w:hAnsi="仿宋" w:eastAsia="仿宋" w:cs="仿宋"/>
                <w:color w:val="auto"/>
                <w:sz w:val="21"/>
                <w:szCs w:val="21"/>
                <w:lang w:eastAsia="zh-CN"/>
              </w:rPr>
            </w:pPr>
            <w:r>
              <w:rPr>
                <w:rFonts w:hint="eastAsia" w:ascii="仿宋" w:hAnsi="仿宋" w:eastAsia="仿宋" w:cs="仿宋"/>
                <w:i w:val="0"/>
                <w:iCs w:val="0"/>
                <w:color w:val="auto"/>
                <w:kern w:val="0"/>
                <w:sz w:val="21"/>
                <w:szCs w:val="21"/>
                <w:u w:val="none"/>
                <w:lang w:val="en-US" w:eastAsia="zh-CN" w:bidi="ar"/>
              </w:rPr>
              <w:t>沙湾市砂石土集中开采区（ⅩⅥ）</w:t>
            </w:r>
          </w:p>
        </w:tc>
        <w:tc>
          <w:tcPr>
            <w:tcW w:w="1193" w:type="dxa"/>
            <w:noWrap w:val="0"/>
            <w:vAlign w:val="center"/>
          </w:tcPr>
          <w:p>
            <w:pPr>
              <w:keepNext w:val="0"/>
              <w:keepLines w:val="0"/>
              <w:widowControl/>
              <w:suppressLineNumbers w:val="0"/>
              <w:jc w:val="center"/>
              <w:textAlignment w:val="center"/>
              <w:rPr>
                <w:rFonts w:hint="default" w:ascii="仿宋" w:hAnsi="仿宋" w:eastAsia="仿宋" w:cs="仿宋"/>
                <w:color w:val="auto"/>
                <w:sz w:val="21"/>
                <w:szCs w:val="21"/>
                <w:lang w:val="en-US"/>
              </w:rPr>
            </w:pPr>
            <w:r>
              <w:rPr>
                <w:rFonts w:hint="eastAsia" w:ascii="仿宋" w:hAnsi="仿宋" w:eastAsia="仿宋" w:cs="仿宋"/>
                <w:i w:val="0"/>
                <w:iCs w:val="0"/>
                <w:color w:val="auto"/>
                <w:kern w:val="0"/>
                <w:sz w:val="21"/>
                <w:szCs w:val="21"/>
                <w:u w:val="none"/>
                <w:lang w:val="en-US" w:eastAsia="zh-CN" w:bidi="ar"/>
              </w:rPr>
              <w:t>0.17</w:t>
            </w:r>
          </w:p>
        </w:tc>
        <w:tc>
          <w:tcPr>
            <w:tcW w:w="1654" w:type="dxa"/>
            <w:noWrap w:val="0"/>
            <w:vAlign w:val="center"/>
          </w:tcPr>
          <w:p>
            <w:pPr>
              <w:jc w:val="center"/>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6</w:t>
            </w:r>
          </w:p>
        </w:tc>
        <w:tc>
          <w:tcPr>
            <w:tcW w:w="1552" w:type="dxa"/>
            <w:noWrap w:val="0"/>
            <w:vAlign w:val="center"/>
          </w:tcPr>
          <w:p>
            <w:pPr>
              <w:jc w:val="center"/>
              <w:rPr>
                <w:rFonts w:hint="eastAsia" w:ascii="仿宋" w:hAnsi="仿宋" w:eastAsia="仿宋" w:cs="仿宋"/>
                <w:color w:val="auto"/>
                <w:sz w:val="21"/>
                <w:szCs w:val="21"/>
              </w:rPr>
            </w:pPr>
          </w:p>
        </w:tc>
      </w:tr>
    </w:tbl>
    <w:p>
      <w:pPr>
        <w:keepNext w:val="0"/>
        <w:keepLines w:val="0"/>
        <w:pageBreakBefore w:val="0"/>
        <w:widowControl w:val="0"/>
        <w:kinsoku/>
        <w:wordWrap/>
        <w:overflowPunct/>
        <w:topLinePunct w:val="0"/>
        <w:autoSpaceDE/>
        <w:autoSpaceDN/>
        <w:bidi w:val="0"/>
        <w:adjustRightInd/>
        <w:snapToGrid/>
        <w:spacing w:line="500" w:lineRule="exact"/>
        <w:ind w:left="0" w:firstLine="562" w:firstLineChars="200"/>
        <w:textAlignment w:val="auto"/>
        <w:outlineLvl w:val="9"/>
        <w:rPr>
          <w:rFonts w:hint="eastAsia" w:ascii="仿宋" w:hAnsi="仿宋" w:eastAsia="仿宋" w:cs="仿宋"/>
          <w:bCs/>
          <w:snapToGrid w:val="0"/>
          <w:kern w:val="0"/>
          <w:sz w:val="28"/>
          <w:szCs w:val="28"/>
        </w:rPr>
      </w:pPr>
      <w:r>
        <w:rPr>
          <w:rFonts w:hint="eastAsia" w:ascii="仿宋" w:hAnsi="仿宋" w:eastAsia="仿宋" w:cs="仿宋"/>
          <w:b/>
          <w:color w:val="auto"/>
          <w:sz w:val="28"/>
          <w:szCs w:val="28"/>
          <w:lang w:val="zh-CN"/>
        </w:rPr>
        <w:t>规划调控采矿权数量。</w:t>
      </w:r>
      <w:r>
        <w:rPr>
          <w:rFonts w:hint="eastAsia" w:ascii="仿宋" w:hAnsi="仿宋" w:eastAsia="仿宋" w:cs="仿宋"/>
          <w:color w:val="auto"/>
          <w:sz w:val="28"/>
          <w:szCs w:val="28"/>
        </w:rPr>
        <w:t>保留已有砂石土类矿产采矿权区块</w:t>
      </w:r>
      <w:r>
        <w:rPr>
          <w:rFonts w:hint="eastAsia" w:ascii="仿宋" w:hAnsi="仿宋" w:eastAsia="仿宋" w:cs="仿宋"/>
          <w:color w:val="auto"/>
          <w:sz w:val="28"/>
          <w:szCs w:val="28"/>
          <w:lang w:val="en-US" w:eastAsia="zh-CN"/>
        </w:rPr>
        <w:t>17</w:t>
      </w:r>
      <w:r>
        <w:rPr>
          <w:rFonts w:hint="eastAsia" w:ascii="仿宋" w:hAnsi="仿宋" w:eastAsia="仿宋" w:cs="仿宋"/>
          <w:color w:val="auto"/>
          <w:sz w:val="28"/>
          <w:szCs w:val="28"/>
        </w:rPr>
        <w:t>个，总面积</w:t>
      </w:r>
      <w:r>
        <w:rPr>
          <w:rFonts w:hint="eastAsia" w:ascii="仿宋" w:hAnsi="仿宋" w:eastAsia="仿宋" w:cs="仿宋"/>
          <w:color w:val="auto"/>
          <w:sz w:val="28"/>
          <w:szCs w:val="28"/>
          <w:lang w:val="en-US" w:eastAsia="zh-CN"/>
        </w:rPr>
        <w:t>0.75</w:t>
      </w:r>
      <w:r>
        <w:rPr>
          <w:rFonts w:hint="eastAsia" w:ascii="仿宋" w:hAnsi="仿宋" w:eastAsia="仿宋" w:cs="仿宋"/>
          <w:color w:val="auto"/>
          <w:sz w:val="28"/>
          <w:szCs w:val="28"/>
        </w:rPr>
        <w:t>平方千米</w:t>
      </w:r>
      <w:r>
        <w:rPr>
          <w:rFonts w:hint="eastAsia" w:ascii="仿宋" w:hAnsi="仿宋" w:eastAsia="仿宋" w:cs="仿宋"/>
          <w:color w:val="auto"/>
          <w:sz w:val="28"/>
          <w:szCs w:val="28"/>
          <w:lang w:eastAsia="zh-CN"/>
        </w:rPr>
        <w:t>。</w:t>
      </w:r>
      <w:r>
        <w:rPr>
          <w:rFonts w:hint="eastAsia" w:ascii="仿宋" w:hAnsi="仿宋" w:eastAsia="仿宋" w:cs="仿宋"/>
          <w:bCs/>
          <w:snapToGrid w:val="0"/>
          <w:kern w:val="0"/>
          <w:sz w:val="28"/>
          <w:szCs w:val="28"/>
        </w:rPr>
        <w:t>规划到202</w:t>
      </w:r>
      <w:r>
        <w:rPr>
          <w:rFonts w:hint="eastAsia" w:ascii="仿宋" w:hAnsi="仿宋" w:eastAsia="仿宋" w:cs="仿宋"/>
          <w:bCs/>
          <w:snapToGrid w:val="0"/>
          <w:kern w:val="0"/>
          <w:sz w:val="28"/>
          <w:szCs w:val="28"/>
          <w:lang w:val="en-US" w:eastAsia="zh-CN"/>
        </w:rPr>
        <w:t>5</w:t>
      </w:r>
      <w:r>
        <w:rPr>
          <w:rFonts w:hint="eastAsia" w:ascii="仿宋" w:hAnsi="仿宋" w:eastAsia="仿宋" w:cs="仿宋"/>
          <w:bCs/>
          <w:snapToGrid w:val="0"/>
          <w:kern w:val="0"/>
          <w:sz w:val="28"/>
          <w:szCs w:val="28"/>
        </w:rPr>
        <w:t>年砂石</w:t>
      </w:r>
      <w:r>
        <w:rPr>
          <w:rFonts w:hint="eastAsia" w:ascii="仿宋" w:hAnsi="仿宋" w:eastAsia="仿宋" w:cs="仿宋"/>
          <w:bCs/>
          <w:snapToGrid w:val="0"/>
          <w:kern w:val="0"/>
          <w:sz w:val="28"/>
          <w:szCs w:val="28"/>
          <w:lang w:val="en-US" w:eastAsia="zh-CN"/>
        </w:rPr>
        <w:t>土</w:t>
      </w:r>
      <w:r>
        <w:rPr>
          <w:rFonts w:hint="eastAsia" w:ascii="仿宋" w:hAnsi="仿宋" w:eastAsia="仿宋" w:cs="仿宋"/>
          <w:bCs/>
          <w:snapToGrid w:val="0"/>
          <w:kern w:val="0"/>
          <w:sz w:val="28"/>
          <w:szCs w:val="28"/>
        </w:rPr>
        <w:t>采矿权数量不超过</w:t>
      </w:r>
      <w:r>
        <w:rPr>
          <w:rFonts w:hint="eastAsia" w:ascii="仿宋" w:hAnsi="仿宋" w:eastAsia="仿宋" w:cs="仿宋"/>
          <w:bCs/>
          <w:snapToGrid w:val="0"/>
          <w:kern w:val="0"/>
          <w:sz w:val="28"/>
          <w:szCs w:val="28"/>
          <w:lang w:val="en-US" w:eastAsia="zh-CN"/>
        </w:rPr>
        <w:t>25</w:t>
      </w:r>
      <w:r>
        <w:rPr>
          <w:rFonts w:hint="eastAsia" w:ascii="仿宋" w:hAnsi="仿宋" w:eastAsia="仿宋" w:cs="仿宋"/>
          <w:bCs/>
          <w:snapToGrid w:val="0"/>
          <w:kern w:val="0"/>
          <w:sz w:val="28"/>
          <w:szCs w:val="28"/>
        </w:rPr>
        <w:t>个。</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黑体" w:hAnsi="黑体" w:eastAsia="黑体" w:cs="黑体"/>
          <w:color w:val="000000"/>
          <w:spacing w:val="-2"/>
          <w:sz w:val="32"/>
          <w:szCs w:val="32"/>
          <w:lang w:val="en-US" w:eastAsia="zh-CN"/>
        </w:rPr>
      </w:pPr>
      <w:r>
        <w:rPr>
          <w:rFonts w:hint="eastAsia" w:ascii="仿宋" w:hAnsi="仿宋" w:eastAsia="仿宋" w:cs="仿宋"/>
          <w:b/>
          <w:sz w:val="28"/>
          <w:szCs w:val="28"/>
          <w:lang w:val="zh-CN"/>
        </w:rPr>
        <w:t>完善矿区生态保护措施</w:t>
      </w:r>
      <w:r>
        <w:rPr>
          <w:rFonts w:hint="eastAsia" w:ascii="仿宋" w:hAnsi="仿宋" w:eastAsia="仿宋" w:cs="仿宋"/>
          <w:b/>
          <w:sz w:val="28"/>
          <w:szCs w:val="28"/>
        </w:rPr>
        <w:t>。</w:t>
      </w:r>
      <w:r>
        <w:rPr>
          <w:rFonts w:hint="eastAsia" w:ascii="仿宋" w:hAnsi="仿宋" w:eastAsia="仿宋" w:cs="仿宋"/>
          <w:sz w:val="28"/>
          <w:szCs w:val="28"/>
        </w:rPr>
        <w:t>坚持“矿产资源开发与生态环境保护并重”和“在保护中开发,在开发中保护”的方针</w:t>
      </w:r>
      <w:r>
        <w:rPr>
          <w:rFonts w:hint="eastAsia" w:ascii="仿宋" w:hAnsi="仿宋" w:eastAsia="仿宋" w:cs="仿宋"/>
          <w:sz w:val="28"/>
          <w:szCs w:val="28"/>
          <w:lang w:eastAsia="zh-CN"/>
        </w:rPr>
        <w:t>，</w:t>
      </w:r>
      <w:r>
        <w:rPr>
          <w:rFonts w:hint="eastAsia" w:ascii="仿宋" w:hAnsi="仿宋" w:eastAsia="仿宋" w:cs="仿宋"/>
          <w:sz w:val="28"/>
          <w:szCs w:val="28"/>
        </w:rPr>
        <w:t>坚持“谁开发、谁保护；谁污染、谁治理；谁破坏、谁恢复；谁使用,谁补偿”的原则</w:t>
      </w:r>
      <w:r>
        <w:rPr>
          <w:rFonts w:hint="eastAsia" w:ascii="仿宋" w:hAnsi="仿宋" w:eastAsia="仿宋" w:cs="仿宋"/>
          <w:sz w:val="28"/>
          <w:szCs w:val="28"/>
          <w:lang w:eastAsia="zh-CN"/>
        </w:rPr>
        <w:t>，</w:t>
      </w:r>
      <w:r>
        <w:rPr>
          <w:rFonts w:hint="eastAsia" w:ascii="仿宋" w:hAnsi="仿宋" w:eastAsia="仿宋" w:cs="仿宋"/>
          <w:sz w:val="28"/>
          <w:szCs w:val="28"/>
        </w:rPr>
        <w:t>按照绿色开发标准和规范，各矿山要建立“采前有规划、采中能控制、采后可恢复”的绿色采矿体系。积极推广源头节能减排绿色选冶技术、“环保化生产、清洁化加工、无尘化运输”的绿色生产模式，促进矿产资源低开采、高利用、低排放。</w:t>
      </w:r>
    </w:p>
    <w:p>
      <w:pPr>
        <w:keepNext w:val="0"/>
        <w:keepLines w:val="0"/>
        <w:pageBreakBefore w:val="0"/>
        <w:widowControl w:val="0"/>
        <w:kinsoku/>
        <w:wordWrap/>
        <w:overflowPunct/>
        <w:topLinePunct w:val="0"/>
        <w:autoSpaceDE/>
        <w:autoSpaceDN/>
        <w:bidi w:val="0"/>
        <w:adjustRightInd/>
        <w:snapToGrid/>
        <w:textAlignment w:val="auto"/>
        <w:outlineLvl w:val="0"/>
        <w:rPr>
          <w:rFonts w:hint="eastAsia" w:ascii="黑体" w:hAnsi="黑体" w:eastAsia="黑体" w:cs="黑体"/>
          <w:color w:val="000000"/>
          <w:spacing w:val="-2"/>
          <w:sz w:val="32"/>
          <w:szCs w:val="32"/>
          <w:lang w:val="zh-CN" w:eastAsia="zh-CN"/>
        </w:rPr>
      </w:pPr>
      <w:bookmarkStart w:id="99" w:name="_Toc25966"/>
      <w:r>
        <w:rPr>
          <w:rFonts w:hint="eastAsia" w:ascii="黑体" w:hAnsi="黑体" w:eastAsia="黑体" w:cs="黑体"/>
          <w:color w:val="000000"/>
          <w:spacing w:val="-2"/>
          <w:sz w:val="32"/>
          <w:szCs w:val="32"/>
          <w:lang w:val="en-US" w:eastAsia="zh-CN"/>
        </w:rPr>
        <w:br w:type="page"/>
      </w:r>
      <w:r>
        <w:rPr>
          <w:rFonts w:hint="eastAsia" w:ascii="黑体" w:hAnsi="黑体" w:eastAsia="黑体" w:cs="黑体"/>
          <w:color w:val="000000"/>
          <w:spacing w:val="-2"/>
          <w:sz w:val="32"/>
          <w:szCs w:val="32"/>
          <w:lang w:val="en-US" w:eastAsia="zh-CN"/>
        </w:rPr>
        <w:t>四、</w:t>
      </w:r>
      <w:r>
        <w:rPr>
          <w:rFonts w:hint="eastAsia" w:ascii="黑体" w:hAnsi="黑体" w:eastAsia="黑体" w:cs="黑体"/>
          <w:color w:val="000000"/>
          <w:spacing w:val="-2"/>
          <w:sz w:val="32"/>
          <w:szCs w:val="32"/>
          <w:lang w:val="zh-CN" w:eastAsia="zh-CN"/>
        </w:rPr>
        <w:t>加强矿产资源勘查开发利用与保护</w:t>
      </w:r>
      <w:bookmarkEnd w:id="99"/>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宋体"/>
          <w:sz w:val="28"/>
          <w:szCs w:val="28"/>
        </w:rPr>
      </w:pPr>
      <w:bookmarkStart w:id="100" w:name="_Toc27312"/>
      <w:bookmarkStart w:id="101" w:name="_Toc4563"/>
      <w:bookmarkStart w:id="102" w:name="_Toc2017"/>
      <w:bookmarkStart w:id="103" w:name="_Toc30317"/>
      <w:bookmarkStart w:id="104" w:name="_Toc31681"/>
      <w:r>
        <w:rPr>
          <w:rFonts w:hint="eastAsia" w:ascii="仿宋" w:hAnsi="仿宋" w:eastAsia="仿宋" w:cs="宋体"/>
          <w:sz w:val="28"/>
          <w:szCs w:val="28"/>
        </w:rPr>
        <w:t>根据</w:t>
      </w:r>
      <w:r>
        <w:rPr>
          <w:rFonts w:hint="eastAsia" w:ascii="仿宋" w:hAnsi="仿宋" w:eastAsia="仿宋" w:cs="宋体"/>
          <w:sz w:val="28"/>
          <w:szCs w:val="28"/>
          <w:lang w:val="en-US" w:eastAsia="zh-CN"/>
        </w:rPr>
        <w:t>沙湾</w:t>
      </w:r>
      <w:r>
        <w:rPr>
          <w:rFonts w:hint="eastAsia" w:ascii="仿宋" w:hAnsi="仿宋" w:eastAsia="仿宋" w:cs="宋体"/>
          <w:sz w:val="28"/>
          <w:szCs w:val="28"/>
        </w:rPr>
        <w:t>市矿产资源分布、矿业开发与产业布局特点，按照同一矿种探矿权采矿权出让登记同级管理的规定，从经济社会发展及满足城乡发展规划需要出发，发挥区域资源优势，合理保护生态环境，正确引导矿产资源开发利用的方向。坚持“在保护中开发，在开发中保护”，整合现有矿产资源，发展集约型企业，实现产业规模化、集群化，建成几个或十几个集约型现代化高科技的矿业集团，</w:t>
      </w:r>
      <w:r>
        <w:rPr>
          <w:rFonts w:hint="eastAsia" w:ascii="仿宋" w:hAnsi="仿宋" w:eastAsia="仿宋" w:cs="宋体"/>
          <w:sz w:val="28"/>
          <w:szCs w:val="28"/>
          <w:lang w:val="en-US" w:eastAsia="zh-CN"/>
        </w:rPr>
        <w:t>为沙湾市城镇化发展提供</w:t>
      </w:r>
      <w:r>
        <w:rPr>
          <w:rFonts w:hint="eastAsia" w:ascii="仿宋" w:hAnsi="仿宋" w:eastAsia="仿宋" w:cs="宋体"/>
          <w:sz w:val="28"/>
          <w:szCs w:val="28"/>
        </w:rPr>
        <w:t>矿产资源</w:t>
      </w:r>
      <w:r>
        <w:rPr>
          <w:rFonts w:hint="eastAsia" w:ascii="仿宋" w:hAnsi="仿宋" w:eastAsia="仿宋" w:cs="宋体"/>
          <w:sz w:val="28"/>
          <w:szCs w:val="28"/>
          <w:lang w:val="en-US" w:eastAsia="zh-CN"/>
        </w:rPr>
        <w:t>保证</w:t>
      </w:r>
      <w:r>
        <w:rPr>
          <w:rFonts w:hint="eastAsia" w:ascii="仿宋" w:hAnsi="仿宋" w:eastAsia="仿宋" w:cs="宋体"/>
          <w:sz w:val="28"/>
          <w:szCs w:val="28"/>
        </w:rPr>
        <w:t>。</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1"/>
        <w:rPr>
          <w:rFonts w:hint="eastAsia"/>
          <w:sz w:val="28"/>
          <w:szCs w:val="28"/>
        </w:rPr>
      </w:pPr>
      <w:bookmarkStart w:id="105" w:name="_Toc464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合理确定开发强度</w:t>
      </w:r>
      <w:bookmarkEnd w:id="100"/>
      <w:bookmarkEnd w:id="101"/>
      <w:bookmarkEnd w:id="102"/>
      <w:bookmarkEnd w:id="103"/>
      <w:bookmarkEnd w:id="104"/>
      <w:bookmarkEnd w:id="105"/>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sz w:val="28"/>
          <w:szCs w:val="28"/>
        </w:rPr>
      </w:pPr>
      <w:r>
        <w:rPr>
          <w:rFonts w:hint="eastAsia" w:ascii="仿宋" w:hAnsi="仿宋" w:eastAsia="仿宋" w:cs="宋体"/>
          <w:color w:val="auto"/>
          <w:sz w:val="28"/>
          <w:szCs w:val="28"/>
        </w:rPr>
        <w:t>按照“严控增量，优化存量，清洁利用”的要求，压减小型矿山数量，提高集约化、规模化开采能力。实行开采</w:t>
      </w:r>
      <w:r>
        <w:rPr>
          <w:rFonts w:hint="eastAsia" w:ascii="仿宋" w:hAnsi="仿宋" w:eastAsia="仿宋" w:cs="宋体"/>
          <w:sz w:val="28"/>
          <w:szCs w:val="28"/>
        </w:rPr>
        <w:t>总量管控，对设定约束性与预期性总量调控指标。</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宋体"/>
          <w:sz w:val="28"/>
          <w:szCs w:val="28"/>
          <w:lang w:val="en-US" w:eastAsia="zh-CN"/>
        </w:rPr>
      </w:pPr>
      <w:r>
        <w:rPr>
          <w:rFonts w:hint="eastAsia" w:ascii="仿宋" w:hAnsi="仿宋" w:eastAsia="仿宋" w:cs="仿宋"/>
          <w:b/>
          <w:bCs/>
          <w:color w:val="auto"/>
          <w:sz w:val="28"/>
          <w:szCs w:val="28"/>
          <w:lang w:val="en-US" w:eastAsia="zh-CN"/>
        </w:rPr>
        <w:t>砂石土</w:t>
      </w:r>
      <w:r>
        <w:rPr>
          <w:rFonts w:hint="eastAsia" w:ascii="仿宋" w:hAnsi="仿宋" w:eastAsia="仿宋" w:cs="仿宋"/>
          <w:b/>
          <w:bCs/>
          <w:color w:val="auto"/>
          <w:sz w:val="28"/>
          <w:szCs w:val="28"/>
        </w:rPr>
        <w:t>开采总量</w:t>
      </w:r>
      <w:r>
        <w:rPr>
          <w:rFonts w:hint="eastAsia" w:ascii="仿宋" w:hAnsi="仿宋" w:eastAsia="仿宋" w:cs="仿宋"/>
          <w:b/>
          <w:bCs/>
          <w:color w:val="auto"/>
          <w:sz w:val="28"/>
          <w:szCs w:val="28"/>
          <w:lang w:val="en-US" w:eastAsia="zh-CN"/>
        </w:rPr>
        <w:t>控制</w:t>
      </w:r>
      <w:r>
        <w:rPr>
          <w:rFonts w:hint="eastAsia" w:ascii="仿宋" w:hAnsi="仿宋" w:eastAsia="仿宋" w:cs="仿宋"/>
          <w:b/>
          <w:bCs/>
          <w:color w:val="auto"/>
          <w:sz w:val="28"/>
          <w:szCs w:val="28"/>
        </w:rPr>
        <w:t>。</w:t>
      </w:r>
      <w:r>
        <w:rPr>
          <w:rFonts w:hint="eastAsia" w:ascii="仿宋" w:hAnsi="仿宋" w:eastAsia="仿宋" w:cs="仿宋"/>
          <w:sz w:val="28"/>
          <w:szCs w:val="28"/>
          <w:lang w:val="zh-CN"/>
        </w:rPr>
        <w:t>砂石粘土、非金属矿产资源开发总量控制的要求是保持资源开发利用总量与沙湾市社会经济发展需求水平相适应。</w:t>
      </w:r>
      <w:r>
        <w:rPr>
          <w:rFonts w:hint="eastAsia" w:ascii="仿宋" w:hAnsi="仿宋" w:eastAsia="仿宋" w:cs="宋体"/>
          <w:sz w:val="28"/>
          <w:szCs w:val="28"/>
        </w:rPr>
        <w:t>2020年</w:t>
      </w:r>
      <w:r>
        <w:rPr>
          <w:rFonts w:hint="eastAsia" w:ascii="仿宋" w:hAnsi="仿宋" w:eastAsia="仿宋" w:cs="宋体"/>
          <w:sz w:val="28"/>
          <w:szCs w:val="28"/>
          <w:lang w:val="en-US" w:eastAsia="zh-CN"/>
        </w:rPr>
        <w:t>沙湾</w:t>
      </w:r>
      <w:r>
        <w:rPr>
          <w:rFonts w:hint="eastAsia" w:ascii="仿宋" w:hAnsi="仿宋" w:eastAsia="仿宋" w:cs="宋体"/>
          <w:sz w:val="28"/>
          <w:szCs w:val="28"/>
        </w:rPr>
        <w:t>市建筑用砂矿开采量为</w:t>
      </w:r>
      <w:r>
        <w:rPr>
          <w:rFonts w:hint="eastAsia" w:ascii="仿宋" w:hAnsi="仿宋" w:eastAsia="仿宋" w:cs="宋体"/>
          <w:color w:val="000000"/>
          <w:sz w:val="28"/>
          <w:szCs w:val="28"/>
          <w:lang w:val="en-US" w:eastAsia="zh-CN"/>
        </w:rPr>
        <w:t>299.1</w:t>
      </w:r>
      <w:r>
        <w:rPr>
          <w:rFonts w:hint="eastAsia" w:ascii="仿宋" w:hAnsi="仿宋" w:eastAsia="仿宋" w:cs="宋体"/>
          <w:sz w:val="28"/>
          <w:szCs w:val="28"/>
        </w:rPr>
        <w:t>万立方米</w:t>
      </w:r>
      <w:r>
        <w:rPr>
          <w:rFonts w:hint="eastAsia" w:ascii="仿宋" w:hAnsi="仿宋" w:eastAsia="仿宋" w:cs="宋体"/>
          <w:sz w:val="28"/>
          <w:szCs w:val="28"/>
          <w:lang w:eastAsia="zh-CN"/>
        </w:rPr>
        <w:t>，</w:t>
      </w:r>
      <w:r>
        <w:rPr>
          <w:rFonts w:hint="eastAsia" w:ascii="仿宋" w:hAnsi="仿宋" w:eastAsia="仿宋" w:cs="宋体"/>
          <w:sz w:val="28"/>
          <w:szCs w:val="28"/>
          <w:lang w:val="en-US" w:eastAsia="zh-CN"/>
        </w:rPr>
        <w:t>砖瓦粘土开采量为38</w:t>
      </w:r>
      <w:r>
        <w:rPr>
          <w:rFonts w:hint="eastAsia" w:ascii="仿宋" w:hAnsi="仿宋" w:eastAsia="仿宋" w:cs="宋体"/>
          <w:sz w:val="28"/>
          <w:szCs w:val="28"/>
        </w:rPr>
        <w:t>万立方米。随着市“十四五”计划中</w:t>
      </w:r>
      <w:r>
        <w:rPr>
          <w:rFonts w:hint="eastAsia" w:ascii="仿宋" w:hAnsi="仿宋" w:eastAsia="仿宋" w:cs="宋体"/>
          <w:sz w:val="28"/>
          <w:szCs w:val="28"/>
          <w:lang w:val="en-US" w:eastAsia="zh-CN"/>
        </w:rPr>
        <w:t>沙湾市撤县建市、</w:t>
      </w:r>
      <w:r>
        <w:rPr>
          <w:rFonts w:hint="eastAsia" w:ascii="仿宋" w:hAnsi="仿宋" w:eastAsia="仿宋" w:cs="宋体"/>
          <w:sz w:val="28"/>
          <w:szCs w:val="28"/>
        </w:rPr>
        <w:t>基础设施、城镇建设项目的实施，乡村振兴和新型工业化进程的加快，对建筑用砂矿需求量将会有所增加，为满足建设需要，预计建筑用砂2025年产量</w:t>
      </w:r>
      <w:r>
        <w:rPr>
          <w:rFonts w:hint="eastAsia" w:ascii="仿宋" w:hAnsi="仿宋" w:eastAsia="仿宋" w:cs="宋体"/>
          <w:sz w:val="28"/>
          <w:szCs w:val="28"/>
          <w:lang w:val="en-US" w:eastAsia="zh-CN"/>
        </w:rPr>
        <w:t>400</w:t>
      </w:r>
      <w:r>
        <w:rPr>
          <w:rFonts w:hint="eastAsia" w:ascii="仿宋" w:hAnsi="仿宋" w:eastAsia="仿宋" w:cs="宋体"/>
          <w:sz w:val="28"/>
          <w:szCs w:val="28"/>
        </w:rPr>
        <w:t>万立方米。砖瓦用粘土矿资源主要是供砖厂利用，砖瓦用粘土矿的开采对生态环境的破坏较大</w:t>
      </w:r>
      <w:r>
        <w:rPr>
          <w:rFonts w:hint="eastAsia" w:ascii="仿宋" w:hAnsi="仿宋" w:eastAsia="仿宋" w:cs="宋体"/>
          <w:sz w:val="28"/>
          <w:szCs w:val="28"/>
          <w:lang w:eastAsia="zh-CN"/>
        </w:rPr>
        <w:t>。</w:t>
      </w:r>
      <w:r>
        <w:rPr>
          <w:rFonts w:hint="eastAsia" w:ascii="仿宋" w:hAnsi="仿宋" w:eastAsia="仿宋" w:cs="宋体"/>
          <w:sz w:val="28"/>
          <w:szCs w:val="28"/>
        </w:rPr>
        <w:t>随着砖窑企业由轮窑生产向旋转窑、隧道窑生产的升级改造，将进一步提升砖窑企业的规模，</w:t>
      </w:r>
      <w:r>
        <w:rPr>
          <w:rFonts w:hint="eastAsia" w:ascii="仿宋" w:hAnsi="仿宋" w:eastAsia="仿宋" w:cs="宋体"/>
          <w:sz w:val="28"/>
          <w:szCs w:val="28"/>
          <w:lang w:val="en-US" w:eastAsia="zh-CN"/>
        </w:rPr>
        <w:t>稳定</w:t>
      </w:r>
      <w:r>
        <w:rPr>
          <w:rFonts w:hint="eastAsia" w:ascii="仿宋" w:hAnsi="仿宋" w:eastAsia="仿宋" w:cs="宋体"/>
          <w:sz w:val="28"/>
          <w:szCs w:val="28"/>
        </w:rPr>
        <w:t>砖窑企业的数量，加快砖瓦用粘土矿山按绿色矿山管理的步伐。各砖窑企业的年度粘土使用量在本轮规划期内</w:t>
      </w:r>
      <w:r>
        <w:rPr>
          <w:rFonts w:hint="eastAsia" w:ascii="仿宋" w:hAnsi="仿宋" w:eastAsia="仿宋" w:cs="宋体"/>
          <w:sz w:val="28"/>
          <w:szCs w:val="28"/>
          <w:lang w:val="en-US" w:eastAsia="zh-CN"/>
        </w:rPr>
        <w:t>满足沙湾市撤县建市及基础设施建设的需要</w:t>
      </w:r>
      <w:r>
        <w:rPr>
          <w:rFonts w:hint="eastAsia" w:ascii="仿宋" w:hAnsi="仿宋" w:eastAsia="仿宋" w:cs="宋体"/>
          <w:sz w:val="28"/>
          <w:szCs w:val="28"/>
          <w:lang w:eastAsia="zh-CN"/>
        </w:rPr>
        <w:t>，</w:t>
      </w:r>
      <w:r>
        <w:rPr>
          <w:rFonts w:hint="eastAsia" w:ascii="仿宋" w:hAnsi="仿宋" w:eastAsia="仿宋" w:cs="宋体"/>
          <w:sz w:val="28"/>
          <w:szCs w:val="28"/>
        </w:rPr>
        <w:t>预计砖瓦用粘土2025年产量</w:t>
      </w:r>
      <w:r>
        <w:rPr>
          <w:rFonts w:hint="eastAsia" w:ascii="仿宋" w:hAnsi="仿宋" w:eastAsia="仿宋" w:cs="宋体"/>
          <w:sz w:val="28"/>
          <w:szCs w:val="28"/>
          <w:lang w:val="en-US" w:eastAsia="zh-CN"/>
        </w:rPr>
        <w:t>50</w:t>
      </w:r>
      <w:r>
        <w:rPr>
          <w:rFonts w:hint="eastAsia" w:ascii="仿宋" w:hAnsi="仿宋" w:eastAsia="仿宋" w:cs="宋体"/>
          <w:sz w:val="28"/>
          <w:szCs w:val="28"/>
        </w:rPr>
        <w:t>万立方米</w:t>
      </w:r>
      <w:r>
        <w:rPr>
          <w:rFonts w:hint="eastAsia" w:ascii="仿宋" w:hAnsi="仿宋" w:eastAsia="仿宋" w:cs="宋体"/>
          <w:sz w:val="28"/>
          <w:szCs w:val="28"/>
          <w:lang w:val="en-US" w:eastAsia="zh-CN"/>
        </w:rPr>
        <w:t>。</w:t>
      </w:r>
    </w:p>
    <w:p>
      <w:pPr>
        <w:keepNext w:val="0"/>
        <w:keepLines w:val="0"/>
        <w:pageBreakBefore w:val="0"/>
        <w:widowControl w:val="0"/>
        <w:kinsoku/>
        <w:wordWrap/>
        <w:overflowPunct/>
        <w:topLinePunct w:val="0"/>
        <w:autoSpaceDE w:val="0"/>
        <w:autoSpaceDN w:val="0"/>
        <w:bidi w:val="0"/>
        <w:adjustRightInd/>
        <w:snapToGrid/>
        <w:spacing w:line="500" w:lineRule="exact"/>
        <w:ind w:firstLine="560" w:firstLineChars="200"/>
        <w:textAlignment w:val="auto"/>
        <w:rPr>
          <w:rFonts w:hint="eastAsia" w:ascii="仿宋" w:hAnsi="仿宋" w:eastAsia="仿宋" w:cs="仿宋"/>
          <w:bCs/>
          <w:snapToGrid w:val="0"/>
          <w:kern w:val="0"/>
          <w:sz w:val="28"/>
          <w:szCs w:val="28"/>
          <w:lang w:eastAsia="zh-CN"/>
        </w:rPr>
      </w:pPr>
      <w:r>
        <w:rPr>
          <w:rFonts w:hint="eastAsia" w:ascii="仿宋" w:hAnsi="仿宋" w:eastAsia="仿宋" w:cs="仿宋"/>
          <w:sz w:val="28"/>
          <w:szCs w:val="28"/>
          <w:lang w:val="zh-CN"/>
        </w:rPr>
        <w:t>经对沙湾市国民经济产值各类数据的分析，</w:t>
      </w:r>
      <w:r>
        <w:rPr>
          <w:rFonts w:hint="eastAsia" w:ascii="仿宋" w:hAnsi="仿宋" w:eastAsia="仿宋" w:cs="仿宋"/>
          <w:bCs/>
          <w:snapToGrid w:val="0"/>
          <w:kern w:val="0"/>
          <w:sz w:val="28"/>
          <w:szCs w:val="28"/>
        </w:rPr>
        <w:t>规划到202</w:t>
      </w:r>
      <w:r>
        <w:rPr>
          <w:rFonts w:hint="eastAsia" w:ascii="仿宋" w:hAnsi="仿宋" w:eastAsia="仿宋" w:cs="仿宋"/>
          <w:bCs/>
          <w:snapToGrid w:val="0"/>
          <w:kern w:val="0"/>
          <w:sz w:val="28"/>
          <w:szCs w:val="28"/>
          <w:lang w:val="en-US" w:eastAsia="zh-CN"/>
        </w:rPr>
        <w:t>5</w:t>
      </w:r>
      <w:r>
        <w:rPr>
          <w:rFonts w:hint="eastAsia" w:ascii="仿宋" w:hAnsi="仿宋" w:eastAsia="仿宋" w:cs="仿宋"/>
          <w:bCs/>
          <w:snapToGrid w:val="0"/>
          <w:kern w:val="0"/>
          <w:sz w:val="28"/>
          <w:szCs w:val="28"/>
        </w:rPr>
        <w:t>年</w:t>
      </w:r>
      <w:r>
        <w:rPr>
          <w:rFonts w:hint="eastAsia" w:ascii="仿宋" w:hAnsi="仿宋" w:eastAsia="仿宋" w:cs="仿宋"/>
          <w:bCs/>
          <w:snapToGrid w:val="0"/>
          <w:kern w:val="0"/>
          <w:sz w:val="28"/>
          <w:szCs w:val="28"/>
          <w:lang w:eastAsia="zh-CN"/>
        </w:rPr>
        <w:t>沙湾市</w:t>
      </w:r>
      <w:r>
        <w:rPr>
          <w:rFonts w:hint="eastAsia" w:ascii="仿宋" w:hAnsi="仿宋" w:eastAsia="仿宋" w:cs="仿宋"/>
          <w:bCs/>
          <w:snapToGrid w:val="0"/>
          <w:kern w:val="0"/>
          <w:sz w:val="28"/>
          <w:szCs w:val="28"/>
        </w:rPr>
        <w:t>三类矿产开采总量调控预期性指标见</w:t>
      </w:r>
      <w:r>
        <w:rPr>
          <w:rFonts w:hint="eastAsia" w:ascii="仿宋" w:hAnsi="仿宋" w:eastAsia="仿宋" w:cs="仿宋"/>
          <w:b w:val="0"/>
          <w:bCs/>
          <w:snapToGrid w:val="0"/>
          <w:color w:val="auto"/>
          <w:kern w:val="0"/>
          <w:sz w:val="28"/>
          <w:szCs w:val="28"/>
          <w:lang w:val="en-US" w:eastAsia="zh-CN"/>
        </w:rPr>
        <w:t>专栏16</w:t>
      </w:r>
      <w:r>
        <w:rPr>
          <w:rFonts w:hint="eastAsia" w:ascii="仿宋" w:hAnsi="仿宋" w:eastAsia="仿宋" w:cs="仿宋"/>
          <w:b w:val="0"/>
          <w:bCs/>
          <w:snapToGrid w:val="0"/>
          <w:color w:val="auto"/>
          <w:kern w:val="0"/>
          <w:sz w:val="28"/>
          <w:szCs w:val="28"/>
        </w:rPr>
        <w:t xml:space="preserve"> </w:t>
      </w:r>
      <w:r>
        <w:rPr>
          <w:rFonts w:hint="eastAsia" w:ascii="仿宋" w:hAnsi="仿宋" w:eastAsia="仿宋" w:cs="仿宋"/>
          <w:bCs/>
          <w:snapToGrid w:val="0"/>
          <w:kern w:val="0"/>
          <w:sz w:val="28"/>
          <w:szCs w:val="28"/>
          <w:lang w:eastAsia="zh-CN"/>
        </w:rPr>
        <w:t>。</w:t>
      </w:r>
    </w:p>
    <w:p>
      <w:pPr>
        <w:pStyle w:val="2"/>
        <w:outlineLvl w:val="9"/>
        <w:rPr>
          <w:rFonts w:hint="eastAsia"/>
          <w:lang w:val="zh-CN" w:eastAsia="zh-CN"/>
        </w:rPr>
      </w:pPr>
    </w:p>
    <w:tbl>
      <w:tblPr>
        <w:tblStyle w:val="16"/>
        <w:tblW w:w="852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25"/>
        <w:gridCol w:w="2154"/>
        <w:gridCol w:w="1710"/>
        <w:gridCol w:w="1710"/>
        <w:gridCol w:w="172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8522" w:type="dxa"/>
            <w:gridSpan w:val="5"/>
            <w:tcBorders>
              <w:bottom w:val="single" w:color="auto" w:sz="4" w:space="0"/>
            </w:tcBorders>
            <w:shd w:val="clear" w:color="auto" w:fill="D9D9D9"/>
            <w:noWrap w:val="0"/>
            <w:vAlign w:val="center"/>
          </w:tcPr>
          <w:p>
            <w:pPr>
              <w:widowControl/>
              <w:adjustRightInd w:val="0"/>
              <w:snapToGrid w:val="0"/>
              <w:jc w:val="center"/>
              <w:rPr>
                <w:rFonts w:hint="eastAsia" w:ascii="仿宋" w:hAnsi="仿宋" w:eastAsia="仿宋" w:cs="仿宋"/>
                <w:b/>
                <w:kern w:val="0"/>
                <w:szCs w:val="21"/>
              </w:rPr>
            </w:pPr>
            <w:bookmarkStart w:id="106" w:name="_Toc497128477"/>
            <w:r>
              <w:rPr>
                <w:rFonts w:hint="eastAsia" w:ascii="仿宋" w:hAnsi="仿宋" w:eastAsia="仿宋" w:cs="仿宋"/>
                <w:b/>
                <w:kern w:val="0"/>
                <w:szCs w:val="21"/>
              </w:rPr>
              <w:t>专栏</w:t>
            </w:r>
            <w:r>
              <w:rPr>
                <w:rFonts w:hint="eastAsia" w:ascii="仿宋" w:hAnsi="仿宋" w:eastAsia="仿宋" w:cs="仿宋"/>
                <w:b/>
                <w:szCs w:val="21"/>
              </w:rPr>
              <w:t>1</w:t>
            </w:r>
            <w:r>
              <w:rPr>
                <w:rFonts w:hint="eastAsia" w:ascii="仿宋" w:hAnsi="仿宋" w:eastAsia="仿宋" w:cs="仿宋"/>
                <w:b/>
                <w:szCs w:val="21"/>
                <w:lang w:val="en-US" w:eastAsia="zh-CN"/>
              </w:rPr>
              <w:t>6</w:t>
            </w:r>
            <w:r>
              <w:rPr>
                <w:rFonts w:hint="eastAsia" w:ascii="仿宋" w:hAnsi="仿宋" w:eastAsia="仿宋" w:cs="仿宋"/>
                <w:b/>
                <w:szCs w:val="21"/>
              </w:rPr>
              <w:t xml:space="preserve">  砂石土矿资源开采总量调控规划表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225" w:type="dxa"/>
            <w:vMerge w:val="restart"/>
            <w:tcBorders>
              <w:top w:val="single" w:color="auto" w:sz="4" w:space="0"/>
            </w:tcBorders>
            <w:noWrap w:val="0"/>
            <w:vAlign w:val="center"/>
          </w:tcPr>
          <w:p>
            <w:pPr>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矿种</w:t>
            </w:r>
          </w:p>
        </w:tc>
        <w:tc>
          <w:tcPr>
            <w:tcW w:w="2154" w:type="dxa"/>
            <w:tcBorders>
              <w:top w:val="single" w:color="auto" w:sz="4" w:space="0"/>
            </w:tcBorders>
            <w:noWrap w:val="0"/>
            <w:vAlign w:val="center"/>
          </w:tcPr>
          <w:p>
            <w:pPr>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2020年末现状</w:t>
            </w:r>
          </w:p>
        </w:tc>
        <w:tc>
          <w:tcPr>
            <w:tcW w:w="5143" w:type="dxa"/>
            <w:gridSpan w:val="3"/>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规划期调控目标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225" w:type="dxa"/>
            <w:vMerge w:val="continue"/>
            <w:noWrap w:val="0"/>
            <w:vAlign w:val="center"/>
          </w:tcPr>
          <w:p>
            <w:pPr>
              <w:widowControl/>
              <w:adjustRightInd w:val="0"/>
              <w:snapToGrid w:val="0"/>
              <w:jc w:val="center"/>
              <w:rPr>
                <w:rFonts w:hint="eastAsia" w:ascii="仿宋" w:hAnsi="仿宋" w:eastAsia="仿宋" w:cs="仿宋"/>
                <w:kern w:val="0"/>
                <w:szCs w:val="21"/>
              </w:rPr>
            </w:pPr>
          </w:p>
        </w:tc>
        <w:tc>
          <w:tcPr>
            <w:tcW w:w="2154"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开采总量</w:t>
            </w:r>
          </w:p>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(万立方米</w:t>
            </w:r>
            <w:r>
              <w:rPr>
                <w:rFonts w:hint="eastAsia" w:ascii="仿宋" w:hAnsi="仿宋" w:eastAsia="仿宋" w:cs="仿宋"/>
                <w:szCs w:val="21"/>
              </w:rPr>
              <w:t>）</w:t>
            </w:r>
          </w:p>
        </w:tc>
        <w:tc>
          <w:tcPr>
            <w:tcW w:w="1710"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每年增长率</w:t>
            </w:r>
          </w:p>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w:t>
            </w:r>
          </w:p>
        </w:tc>
        <w:tc>
          <w:tcPr>
            <w:tcW w:w="1710"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2025年末年</w:t>
            </w:r>
          </w:p>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开采总量</w:t>
            </w:r>
          </w:p>
        </w:tc>
        <w:tc>
          <w:tcPr>
            <w:tcW w:w="1723"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指标类型</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225"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建筑用砂</w:t>
            </w:r>
          </w:p>
        </w:tc>
        <w:tc>
          <w:tcPr>
            <w:tcW w:w="2154"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lang w:val="en-US" w:eastAsia="zh-CN"/>
              </w:rPr>
              <w:t>299.1</w:t>
            </w:r>
          </w:p>
        </w:tc>
        <w:tc>
          <w:tcPr>
            <w:tcW w:w="1710" w:type="dxa"/>
            <w:noWrap w:val="0"/>
            <w:vAlign w:val="center"/>
          </w:tcPr>
          <w:p>
            <w:pPr>
              <w:widowControl/>
              <w:adjustRightInd w:val="0"/>
              <w:snapToGrid w:val="0"/>
              <w:jc w:val="center"/>
              <w:rPr>
                <w:rFonts w:hint="eastAsia" w:ascii="仿宋" w:hAnsi="仿宋" w:eastAsia="仿宋" w:cs="仿宋"/>
                <w:kern w:val="0"/>
                <w:szCs w:val="21"/>
                <w:lang w:eastAsia="zh-CN"/>
              </w:rPr>
            </w:pPr>
            <w:r>
              <w:rPr>
                <w:rFonts w:hint="eastAsia" w:ascii="仿宋" w:hAnsi="仿宋" w:eastAsia="仿宋" w:cs="仿宋"/>
                <w:kern w:val="0"/>
                <w:szCs w:val="21"/>
                <w:lang w:val="en-US" w:eastAsia="zh-CN"/>
              </w:rPr>
              <w:t>6</w:t>
            </w:r>
          </w:p>
        </w:tc>
        <w:tc>
          <w:tcPr>
            <w:tcW w:w="1710" w:type="dxa"/>
            <w:noWrap w:val="0"/>
            <w:vAlign w:val="center"/>
          </w:tcPr>
          <w:p>
            <w:pPr>
              <w:widowControl/>
              <w:adjustRightInd w:val="0"/>
              <w:snapToGrid w:val="0"/>
              <w:jc w:val="center"/>
              <w:rPr>
                <w:rFonts w:hint="default" w:ascii="仿宋" w:hAnsi="仿宋" w:eastAsia="仿宋" w:cs="仿宋"/>
                <w:kern w:val="0"/>
                <w:szCs w:val="21"/>
                <w:lang w:val="en-US" w:eastAsia="zh-CN"/>
              </w:rPr>
            </w:pPr>
            <w:r>
              <w:rPr>
                <w:rFonts w:hint="eastAsia" w:ascii="仿宋" w:hAnsi="仿宋" w:eastAsia="仿宋" w:cs="仿宋"/>
                <w:kern w:val="0"/>
                <w:szCs w:val="21"/>
                <w:lang w:val="en-US" w:eastAsia="zh-CN"/>
              </w:rPr>
              <w:t>400</w:t>
            </w:r>
          </w:p>
        </w:tc>
        <w:tc>
          <w:tcPr>
            <w:tcW w:w="1723"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预期性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225"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砖瓦用</w:t>
            </w:r>
            <w:r>
              <w:rPr>
                <w:rFonts w:hint="eastAsia" w:ascii="仿宋" w:hAnsi="仿宋" w:eastAsia="仿宋" w:cs="仿宋"/>
                <w:kern w:val="0"/>
                <w:szCs w:val="21"/>
                <w:lang w:val="en-US" w:eastAsia="zh-CN"/>
              </w:rPr>
              <w:t>页岩、</w:t>
            </w:r>
            <w:r>
              <w:rPr>
                <w:rFonts w:hint="eastAsia" w:ascii="仿宋" w:hAnsi="仿宋" w:eastAsia="仿宋" w:cs="仿宋"/>
                <w:kern w:val="0"/>
                <w:szCs w:val="21"/>
              </w:rPr>
              <w:t>粘土</w:t>
            </w:r>
          </w:p>
        </w:tc>
        <w:tc>
          <w:tcPr>
            <w:tcW w:w="2154"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lang w:val="en-US" w:eastAsia="zh-CN"/>
              </w:rPr>
              <w:t>38</w:t>
            </w:r>
          </w:p>
        </w:tc>
        <w:tc>
          <w:tcPr>
            <w:tcW w:w="1710" w:type="dxa"/>
            <w:noWrap w:val="0"/>
            <w:vAlign w:val="center"/>
          </w:tcPr>
          <w:p>
            <w:pPr>
              <w:widowControl/>
              <w:adjustRightInd w:val="0"/>
              <w:snapToGrid w:val="0"/>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6</w:t>
            </w:r>
          </w:p>
        </w:tc>
        <w:tc>
          <w:tcPr>
            <w:tcW w:w="1710" w:type="dxa"/>
            <w:noWrap w:val="0"/>
            <w:vAlign w:val="center"/>
          </w:tcPr>
          <w:p>
            <w:pPr>
              <w:widowControl/>
              <w:adjustRightInd w:val="0"/>
              <w:snapToGrid w:val="0"/>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50</w:t>
            </w:r>
          </w:p>
        </w:tc>
        <w:tc>
          <w:tcPr>
            <w:tcW w:w="1723"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预期性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225"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合计</w:t>
            </w:r>
          </w:p>
        </w:tc>
        <w:tc>
          <w:tcPr>
            <w:tcW w:w="2154"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lang w:val="en-US" w:eastAsia="zh-CN"/>
              </w:rPr>
              <w:t>337.1</w:t>
            </w:r>
          </w:p>
        </w:tc>
        <w:tc>
          <w:tcPr>
            <w:tcW w:w="1710" w:type="dxa"/>
            <w:noWrap w:val="0"/>
            <w:vAlign w:val="center"/>
          </w:tcPr>
          <w:p>
            <w:pPr>
              <w:widowControl/>
              <w:adjustRightInd w:val="0"/>
              <w:snapToGrid w:val="0"/>
              <w:jc w:val="center"/>
              <w:rPr>
                <w:rFonts w:hint="eastAsia" w:ascii="仿宋" w:hAnsi="仿宋" w:eastAsia="仿宋" w:cs="仿宋"/>
                <w:kern w:val="0"/>
                <w:szCs w:val="21"/>
              </w:rPr>
            </w:pPr>
            <w:r>
              <w:rPr>
                <w:rFonts w:hint="eastAsia" w:ascii="仿宋" w:hAnsi="仿宋" w:eastAsia="仿宋" w:cs="仿宋"/>
                <w:kern w:val="0"/>
                <w:szCs w:val="21"/>
              </w:rPr>
              <w:t>-</w:t>
            </w:r>
          </w:p>
        </w:tc>
        <w:tc>
          <w:tcPr>
            <w:tcW w:w="1710" w:type="dxa"/>
            <w:noWrap w:val="0"/>
            <w:vAlign w:val="center"/>
          </w:tcPr>
          <w:p>
            <w:pPr>
              <w:widowControl/>
              <w:adjustRightInd w:val="0"/>
              <w:snapToGrid w:val="0"/>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450</w:t>
            </w:r>
          </w:p>
        </w:tc>
        <w:tc>
          <w:tcPr>
            <w:tcW w:w="1723" w:type="dxa"/>
            <w:noWrap w:val="0"/>
            <w:vAlign w:val="center"/>
          </w:tcPr>
          <w:p>
            <w:pPr>
              <w:widowControl/>
              <w:adjustRightInd w:val="0"/>
              <w:snapToGrid w:val="0"/>
              <w:jc w:val="center"/>
              <w:rPr>
                <w:rFonts w:hint="eastAsia" w:ascii="仿宋" w:hAnsi="仿宋" w:eastAsia="仿宋" w:cs="仿宋"/>
                <w:kern w:val="0"/>
                <w:szCs w:val="21"/>
              </w:rPr>
            </w:pPr>
          </w:p>
        </w:tc>
      </w:tr>
    </w:tbl>
    <w:p>
      <w:pPr>
        <w:widowControl w:val="0"/>
        <w:spacing w:line="500" w:lineRule="exact"/>
        <w:ind w:firstLine="562"/>
        <w:rPr>
          <w:rFonts w:hint="eastAsia" w:ascii="仿宋" w:hAnsi="仿宋" w:eastAsia="仿宋" w:cs="仿宋"/>
          <w:bCs/>
          <w:snapToGrid w:val="0"/>
          <w:kern w:val="0"/>
          <w:sz w:val="28"/>
          <w:szCs w:val="28"/>
          <w:lang w:eastAsia="zh-CN"/>
        </w:rPr>
      </w:pPr>
      <w:r>
        <w:rPr>
          <w:rFonts w:hint="eastAsia" w:ascii="仿宋" w:hAnsi="仿宋" w:eastAsia="仿宋" w:cs="仿宋"/>
          <w:b/>
          <w:snapToGrid w:val="0"/>
          <w:kern w:val="0"/>
          <w:sz w:val="28"/>
          <w:szCs w:val="28"/>
        </w:rPr>
        <w:t>矿业权数据调控</w:t>
      </w:r>
      <w:bookmarkEnd w:id="106"/>
      <w:r>
        <w:rPr>
          <w:rFonts w:hint="eastAsia" w:ascii="仿宋" w:hAnsi="仿宋" w:eastAsia="仿宋" w:cs="仿宋"/>
          <w:b/>
          <w:snapToGrid w:val="0"/>
          <w:kern w:val="0"/>
          <w:sz w:val="28"/>
          <w:szCs w:val="28"/>
          <w:lang w:eastAsia="zh-CN"/>
        </w:rPr>
        <w:t>。</w:t>
      </w:r>
      <w:r>
        <w:rPr>
          <w:rFonts w:hint="eastAsia" w:ascii="仿宋" w:hAnsi="仿宋" w:eastAsia="仿宋" w:cs="仿宋"/>
          <w:b w:val="0"/>
          <w:bCs/>
          <w:snapToGrid w:val="0"/>
          <w:kern w:val="0"/>
          <w:sz w:val="28"/>
          <w:szCs w:val="28"/>
          <w:lang w:eastAsia="zh-CN"/>
        </w:rPr>
        <w:t>严格采矿权准入管理，从规划布局、开发规模、资源利用效率、矿山建设标准、环境保护等方面严格审查矿产资源开发项目，引导矿山企业规模化、集约化开采，提升矿业开发集中度。</w:t>
      </w:r>
      <w:r>
        <w:rPr>
          <w:rFonts w:hint="eastAsia" w:ascii="仿宋" w:hAnsi="仿宋" w:eastAsia="仿宋" w:cs="仿宋"/>
          <w:b w:val="0"/>
          <w:bCs/>
          <w:snapToGrid w:val="0"/>
          <w:color w:val="auto"/>
          <w:kern w:val="0"/>
          <w:sz w:val="28"/>
          <w:szCs w:val="28"/>
          <w:highlight w:val="none"/>
        </w:rPr>
        <w:t>根据</w:t>
      </w:r>
      <w:r>
        <w:rPr>
          <w:rFonts w:hint="eastAsia" w:ascii="仿宋" w:hAnsi="仿宋" w:eastAsia="仿宋" w:cs="仿宋"/>
          <w:b w:val="0"/>
          <w:bCs/>
          <w:snapToGrid w:val="0"/>
          <w:color w:val="auto"/>
          <w:kern w:val="0"/>
          <w:sz w:val="28"/>
          <w:szCs w:val="28"/>
          <w:highlight w:val="none"/>
          <w:lang w:eastAsia="zh-CN"/>
        </w:rPr>
        <w:t>沙湾市</w:t>
      </w:r>
      <w:r>
        <w:rPr>
          <w:rFonts w:hint="eastAsia" w:ascii="仿宋" w:hAnsi="仿宋" w:eastAsia="仿宋" w:cs="仿宋"/>
          <w:b w:val="0"/>
          <w:bCs/>
          <w:snapToGrid w:val="0"/>
          <w:color w:val="auto"/>
          <w:kern w:val="0"/>
          <w:sz w:val="28"/>
          <w:szCs w:val="28"/>
          <w:highlight w:val="none"/>
        </w:rPr>
        <w:t>发展规划、交通发展规划、国民经济和社会发展规划纲要</w:t>
      </w:r>
      <w:r>
        <w:rPr>
          <w:rFonts w:hint="eastAsia" w:ascii="仿宋" w:hAnsi="仿宋" w:eastAsia="仿宋" w:cs="仿宋"/>
          <w:b w:val="0"/>
          <w:bCs/>
          <w:snapToGrid w:val="0"/>
          <w:color w:val="auto"/>
          <w:kern w:val="0"/>
          <w:sz w:val="28"/>
          <w:szCs w:val="28"/>
          <w:highlight w:val="none"/>
          <w:lang w:val="en-US" w:eastAsia="zh-CN"/>
        </w:rPr>
        <w:t>及沙湾现已撤县建市，</w:t>
      </w:r>
      <w:r>
        <w:rPr>
          <w:rFonts w:hint="eastAsia" w:ascii="仿宋" w:hAnsi="仿宋" w:eastAsia="仿宋" w:cs="仿宋"/>
          <w:b w:val="0"/>
          <w:bCs/>
          <w:snapToGrid w:val="0"/>
          <w:kern w:val="0"/>
          <w:sz w:val="28"/>
          <w:szCs w:val="28"/>
        </w:rPr>
        <w:t>十</w:t>
      </w:r>
      <w:r>
        <w:rPr>
          <w:rFonts w:hint="eastAsia" w:ascii="仿宋" w:hAnsi="仿宋" w:eastAsia="仿宋" w:cs="仿宋"/>
          <w:b w:val="0"/>
          <w:bCs/>
          <w:snapToGrid w:val="0"/>
          <w:kern w:val="0"/>
          <w:sz w:val="28"/>
          <w:szCs w:val="28"/>
          <w:lang w:val="en-US" w:eastAsia="zh-CN"/>
        </w:rPr>
        <w:t>四</w:t>
      </w:r>
      <w:r>
        <w:rPr>
          <w:rFonts w:hint="eastAsia" w:ascii="仿宋" w:hAnsi="仿宋" w:eastAsia="仿宋" w:cs="仿宋"/>
          <w:b w:val="0"/>
          <w:bCs/>
          <w:snapToGrid w:val="0"/>
          <w:kern w:val="0"/>
          <w:sz w:val="28"/>
          <w:szCs w:val="28"/>
        </w:rPr>
        <w:t>五期间将加大城市发展、道路建设及新农村建设，对砂石土的需求量</w:t>
      </w:r>
      <w:r>
        <w:rPr>
          <w:rFonts w:hint="eastAsia" w:ascii="仿宋" w:hAnsi="仿宋" w:eastAsia="仿宋" w:cs="仿宋"/>
          <w:b w:val="0"/>
          <w:bCs/>
          <w:snapToGrid w:val="0"/>
          <w:kern w:val="0"/>
          <w:sz w:val="28"/>
          <w:szCs w:val="28"/>
          <w:lang w:val="en-US" w:eastAsia="zh-CN"/>
        </w:rPr>
        <w:t>有所增加</w:t>
      </w:r>
      <w:r>
        <w:rPr>
          <w:rFonts w:hint="eastAsia" w:ascii="仿宋" w:hAnsi="仿宋" w:eastAsia="仿宋" w:cs="仿宋"/>
          <w:b w:val="0"/>
          <w:bCs/>
          <w:snapToGrid w:val="0"/>
          <w:kern w:val="0"/>
          <w:sz w:val="28"/>
          <w:szCs w:val="28"/>
          <w:highlight w:val="none"/>
        </w:rPr>
        <w:t>，</w:t>
      </w:r>
      <w:r>
        <w:rPr>
          <w:rFonts w:hint="eastAsia" w:ascii="仿宋" w:hAnsi="仿宋" w:eastAsia="仿宋" w:cs="仿宋"/>
          <w:b w:val="0"/>
          <w:bCs/>
          <w:snapToGrid w:val="0"/>
          <w:kern w:val="0"/>
          <w:sz w:val="28"/>
          <w:szCs w:val="28"/>
        </w:rPr>
        <w:t>但道</w:t>
      </w:r>
      <w:r>
        <w:rPr>
          <w:rFonts w:hint="eastAsia" w:ascii="仿宋" w:hAnsi="仿宋" w:eastAsia="仿宋" w:cs="仿宋"/>
          <w:bCs/>
          <w:snapToGrid w:val="0"/>
          <w:kern w:val="0"/>
          <w:sz w:val="28"/>
          <w:szCs w:val="28"/>
        </w:rPr>
        <w:t>路建设等新设的临时用砂石料采矿权在建设完毕后予以注销</w:t>
      </w:r>
      <w:r>
        <w:rPr>
          <w:rFonts w:hint="eastAsia" w:ascii="仿宋" w:hAnsi="仿宋" w:eastAsia="仿宋" w:cs="仿宋"/>
          <w:bCs/>
          <w:snapToGrid w:val="0"/>
          <w:kern w:val="0"/>
          <w:sz w:val="28"/>
          <w:szCs w:val="28"/>
          <w:lang w:eastAsia="zh-CN"/>
        </w:rPr>
        <w:t>。</w:t>
      </w:r>
    </w:p>
    <w:p>
      <w:pPr>
        <w:widowControl w:val="0"/>
        <w:spacing w:line="500" w:lineRule="exact"/>
        <w:ind w:firstLine="562"/>
        <w:rPr>
          <w:rFonts w:hint="eastAsia" w:ascii="仿宋" w:hAnsi="仿宋" w:eastAsia="仿宋" w:cs="仿宋"/>
          <w:bCs/>
          <w:snapToGrid w:val="0"/>
          <w:kern w:val="0"/>
          <w:sz w:val="28"/>
          <w:szCs w:val="28"/>
        </w:rPr>
      </w:pPr>
      <w:r>
        <w:rPr>
          <w:rFonts w:hint="eastAsia" w:ascii="仿宋_GB2312" w:hAnsi="仿宋_GB2312" w:eastAsia="仿宋_GB2312" w:cs="仿宋_GB2312"/>
          <w:sz w:val="28"/>
          <w:szCs w:val="28"/>
        </w:rPr>
        <w:t>考虑开发利用总量控制的要求，与矿山最低开采规模和矿山规模结构指标做好衔接，合理确定区域内矿山数量，并与矿产资源整合等要求相衔接。根据</w:t>
      </w:r>
      <w:r>
        <w:rPr>
          <w:rFonts w:hint="eastAsia" w:ascii="仿宋_GB2312" w:hAnsi="仿宋_GB2312" w:eastAsia="仿宋_GB2312" w:cs="仿宋_GB2312"/>
          <w:sz w:val="28"/>
          <w:szCs w:val="28"/>
          <w:lang w:val="en-US" w:eastAsia="zh-CN"/>
        </w:rPr>
        <w:t>塔城地区</w:t>
      </w:r>
      <w:r>
        <w:rPr>
          <w:rFonts w:hint="eastAsia" w:ascii="仿宋_GB2312" w:hAnsi="仿宋_GB2312" w:eastAsia="仿宋_GB2312" w:cs="仿宋_GB2312"/>
          <w:sz w:val="28"/>
          <w:szCs w:val="28"/>
        </w:rPr>
        <w:t>规划要求，</w:t>
      </w:r>
      <w:r>
        <w:rPr>
          <w:rFonts w:hint="eastAsia" w:ascii="仿宋_GB2312" w:hAnsi="仿宋_GB2312" w:eastAsia="仿宋_GB2312" w:cs="仿宋_GB2312"/>
          <w:sz w:val="28"/>
          <w:szCs w:val="28"/>
          <w:lang w:val="en-US" w:eastAsia="zh-CN"/>
        </w:rPr>
        <w:t>控制</w:t>
      </w:r>
      <w:r>
        <w:rPr>
          <w:rFonts w:hint="eastAsia" w:ascii="仿宋_GB2312" w:hAnsi="仿宋_GB2312" w:eastAsia="仿宋_GB2312" w:cs="仿宋_GB2312"/>
          <w:sz w:val="28"/>
          <w:szCs w:val="28"/>
        </w:rPr>
        <w:t>小型矿山数量</w:t>
      </w:r>
      <w:r>
        <w:rPr>
          <w:rFonts w:hint="eastAsia" w:ascii="仿宋_GB2312" w:hAnsi="仿宋_GB2312" w:eastAsia="仿宋_GB2312" w:cs="仿宋_GB2312"/>
          <w:sz w:val="28"/>
          <w:szCs w:val="28"/>
          <w:lang w:val="en-US" w:eastAsia="zh-CN"/>
        </w:rPr>
        <w:t>和</w:t>
      </w:r>
      <w:r>
        <w:rPr>
          <w:rFonts w:hint="eastAsia" w:ascii="仿宋_GB2312" w:hAnsi="仿宋_GB2312" w:eastAsia="仿宋_GB2312" w:cs="仿宋_GB2312"/>
          <w:sz w:val="28"/>
          <w:szCs w:val="28"/>
        </w:rPr>
        <w:t>矿山总数，到2025年，矿山总数控制在</w:t>
      </w:r>
      <w:r>
        <w:rPr>
          <w:rFonts w:hint="eastAsia" w:ascii="仿宋_GB2312" w:hAnsi="仿宋_GB2312" w:eastAsia="仿宋_GB2312" w:cs="仿宋_GB2312"/>
          <w:sz w:val="28"/>
          <w:szCs w:val="28"/>
          <w:lang w:val="en-US" w:eastAsia="zh-CN"/>
        </w:rPr>
        <w:t>50</w:t>
      </w:r>
      <w:r>
        <w:rPr>
          <w:rFonts w:hint="eastAsia" w:ascii="仿宋_GB2312" w:hAnsi="仿宋_GB2312" w:eastAsia="仿宋_GB2312" w:cs="仿宋_GB2312"/>
          <w:sz w:val="28"/>
          <w:szCs w:val="28"/>
        </w:rPr>
        <w:t>个以下，</w:t>
      </w:r>
      <w:r>
        <w:rPr>
          <w:rFonts w:hint="eastAsia" w:ascii="仿宋_GB2312" w:hAnsi="仿宋_GB2312" w:eastAsia="仿宋_GB2312" w:cs="仿宋_GB2312"/>
          <w:sz w:val="28"/>
          <w:szCs w:val="28"/>
          <w:lang w:val="en-US" w:eastAsia="zh-CN"/>
        </w:rPr>
        <w:t>建筑用砂石土数量控制在25个以下，</w:t>
      </w:r>
      <w:r>
        <w:rPr>
          <w:rFonts w:hint="eastAsia" w:ascii="仿宋_GB2312" w:hAnsi="仿宋_GB2312" w:eastAsia="仿宋_GB2312" w:cs="仿宋_GB2312"/>
          <w:color w:val="000000"/>
          <w:sz w:val="28"/>
          <w:szCs w:val="28"/>
        </w:rPr>
        <w:t>使矿山规模结构逐步得到优化</w:t>
      </w:r>
      <w:r>
        <w:rPr>
          <w:rFonts w:hint="eastAsia" w:ascii="仿宋_GB2312" w:hAnsi="仿宋_GB2312" w:eastAsia="仿宋_GB2312" w:cs="仿宋_GB2312"/>
          <w:sz w:val="28"/>
          <w:szCs w:val="28"/>
        </w:rPr>
        <w:t>。</w:t>
      </w:r>
      <w:bookmarkStart w:id="107" w:name="_Toc428223943"/>
      <w:bookmarkStart w:id="108" w:name="_Toc440964052"/>
      <w:bookmarkStart w:id="109" w:name="_Toc428224094"/>
      <w:bookmarkStart w:id="110" w:name="_Toc497128478"/>
    </w:p>
    <w:p>
      <w:pPr>
        <w:keepNext w:val="0"/>
        <w:keepLines w:val="0"/>
        <w:pageBreakBefore w:val="0"/>
        <w:widowControl w:val="0"/>
        <w:kinsoku/>
        <w:wordWrap/>
        <w:overflowPunct/>
        <w:topLinePunct w:val="0"/>
        <w:autoSpaceDE/>
        <w:autoSpaceDN/>
        <w:bidi w:val="0"/>
        <w:adjustRightInd/>
        <w:snapToGrid/>
        <w:spacing w:line="500" w:lineRule="exact"/>
        <w:ind w:left="0" w:firstLine="562" w:firstLineChars="200"/>
        <w:textAlignment w:val="auto"/>
        <w:outlineLvl w:val="9"/>
        <w:rPr>
          <w:rFonts w:hint="eastAsia" w:ascii="仿宋" w:hAnsi="仿宋" w:eastAsia="仿宋" w:cs="仿宋"/>
          <w:bCs/>
          <w:snapToGrid w:val="0"/>
          <w:spacing w:val="0"/>
          <w:kern w:val="0"/>
          <w:sz w:val="28"/>
          <w:szCs w:val="28"/>
          <w:lang w:val="zh-CN" w:eastAsia="zh-CN" w:bidi="ar-SA"/>
        </w:rPr>
      </w:pPr>
      <w:r>
        <w:rPr>
          <w:rFonts w:hint="eastAsia" w:ascii="仿宋" w:hAnsi="仿宋" w:eastAsia="仿宋" w:cs="仿宋"/>
          <w:b/>
          <w:snapToGrid w:val="0"/>
          <w:kern w:val="0"/>
          <w:sz w:val="28"/>
          <w:szCs w:val="28"/>
        </w:rPr>
        <w:t>管理措施</w:t>
      </w:r>
      <w:bookmarkEnd w:id="107"/>
      <w:bookmarkEnd w:id="108"/>
      <w:bookmarkEnd w:id="109"/>
      <w:bookmarkEnd w:id="110"/>
      <w:r>
        <w:rPr>
          <w:rFonts w:hint="eastAsia" w:ascii="仿宋" w:hAnsi="仿宋" w:eastAsia="仿宋" w:cs="仿宋"/>
          <w:b/>
          <w:snapToGrid w:val="0"/>
          <w:kern w:val="0"/>
          <w:sz w:val="28"/>
          <w:szCs w:val="28"/>
          <w:lang w:eastAsia="zh-CN"/>
        </w:rPr>
        <w:t>。</w:t>
      </w:r>
      <w:r>
        <w:rPr>
          <w:rFonts w:hint="eastAsia" w:ascii="仿宋" w:hAnsi="仿宋" w:eastAsia="仿宋" w:cs="仿宋"/>
          <w:bCs/>
          <w:snapToGrid w:val="0"/>
          <w:spacing w:val="0"/>
          <w:kern w:val="0"/>
          <w:sz w:val="28"/>
          <w:szCs w:val="28"/>
          <w:lang w:val="zh-CN" w:eastAsia="zh-CN" w:bidi="ar-SA"/>
        </w:rPr>
        <w:t>制定和完善沙湾市审批权限内采矿权规划设置的管理制度。加强对采矿权规划设置实施的监督管理。自然资源部门要加强采矿权规划设置的执行情况监督检查和跟踪调查。及时了解规划执行情况和存在问题，组织落实采矿权规划设置的实施。按照《矿产资源开采登记管理办法》、《新疆维吾尔自治区矿产资源管理条例》和《新疆维吾尔自治区探矿权采矿权管理办法》等有关的法律、法规和规章制度，加强对各种矿产开采全过程管理。</w:t>
      </w:r>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textAlignment w:val="auto"/>
        <w:rPr>
          <w:rFonts w:ascii="仿宋" w:hAnsi="仿宋" w:eastAsia="仿宋" w:cs="仿宋"/>
          <w:color w:val="000000"/>
          <w:spacing w:val="-2"/>
          <w:sz w:val="28"/>
          <w:szCs w:val="28"/>
        </w:rPr>
      </w:pPr>
      <w:r>
        <w:rPr>
          <w:rFonts w:hint="eastAsia" w:ascii="仿宋" w:hAnsi="仿宋" w:eastAsia="仿宋" w:cs="仿宋"/>
          <w:color w:val="000000"/>
          <w:spacing w:val="-2"/>
          <w:sz w:val="28"/>
          <w:szCs w:val="28"/>
        </w:rPr>
        <w:t>严格控制新设采矿权，采取集中采矿和规模开采等措施，逐步关闭规模小、环境影响较大的矿山，鼓励金属矿山利用矿山废石等进行采坑回填或采取其它措施对废石进行综合利用，减少或替代对砂石粘土矿产的开发，改变小矿过多的局面，逐步形成大中小型矿山协调发展，通过资源整合、兼并重组等措施，控制小型矿山数量，使矿山规模结构逐步得到优化。设立砂石土类矿产集中开采区，实施整体开发。</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firstLine="562" w:firstLineChars="200"/>
        <w:textAlignment w:val="auto"/>
        <w:outlineLvl w:val="1"/>
        <w:rPr>
          <w:rFonts w:hint="eastAsia" w:ascii="仿宋" w:hAnsi="仿宋" w:eastAsia="仿宋" w:cs="仿宋"/>
          <w:b/>
          <w:bCs/>
          <w:color w:val="auto"/>
          <w:sz w:val="28"/>
          <w:szCs w:val="28"/>
          <w:lang w:eastAsia="zh-CN"/>
        </w:rPr>
      </w:pPr>
      <w:bookmarkStart w:id="111" w:name="_Toc4021"/>
      <w:bookmarkStart w:id="112" w:name="_Toc27814"/>
      <w:bookmarkStart w:id="113" w:name="_Toc3660"/>
      <w:bookmarkStart w:id="114" w:name="_Toc23761"/>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lang w:eastAsia="zh-CN"/>
        </w:rPr>
        <w:t>）优化矿产资源开发利用结构</w:t>
      </w:r>
      <w:bookmarkEnd w:id="111"/>
      <w:bookmarkStart w:id="115" w:name="_Toc64994170"/>
      <w:bookmarkStart w:id="116" w:name="_Toc65516669"/>
      <w:bookmarkStart w:id="117" w:name="_Toc65516670"/>
    </w:p>
    <w:bookmarkEnd w:id="115"/>
    <w:bookmarkEnd w:id="116"/>
    <w:bookmarkEnd w:id="117"/>
    <w:p>
      <w:pPr>
        <w:keepNext w:val="0"/>
        <w:keepLines w:val="0"/>
        <w:pageBreakBefore w:val="0"/>
        <w:widowControl/>
        <w:kinsoku/>
        <w:wordWrap/>
        <w:overflowPunct/>
        <w:topLinePunct w:val="0"/>
        <w:autoSpaceDE/>
        <w:autoSpaceDN/>
        <w:bidi w:val="0"/>
        <w:adjustRightInd/>
        <w:snapToGrid/>
        <w:spacing w:line="500" w:lineRule="exact"/>
        <w:ind w:firstLine="562" w:firstLineChars="200"/>
        <w:textAlignment w:val="auto"/>
        <w:rPr>
          <w:sz w:val="28"/>
          <w:szCs w:val="28"/>
        </w:rPr>
      </w:pPr>
      <w:r>
        <w:rPr>
          <w:rFonts w:hint="eastAsia" w:ascii="仿宋" w:hAnsi="仿宋" w:eastAsia="仿宋" w:cs="宋体"/>
          <w:b/>
          <w:sz w:val="28"/>
          <w:szCs w:val="28"/>
          <w:lang w:val="en-US" w:eastAsia="zh-CN"/>
        </w:rPr>
        <w:t>砂石土</w:t>
      </w:r>
      <w:r>
        <w:rPr>
          <w:rFonts w:hint="eastAsia" w:ascii="仿宋" w:hAnsi="仿宋" w:eastAsia="仿宋" w:cs="宋体"/>
          <w:b/>
          <w:sz w:val="28"/>
          <w:szCs w:val="28"/>
        </w:rPr>
        <w:t>矿产开发结构调整</w:t>
      </w:r>
      <w:r>
        <w:rPr>
          <w:rFonts w:hint="eastAsia" w:ascii="仿宋" w:hAnsi="仿宋" w:eastAsia="仿宋" w:cs="仿宋"/>
          <w:b/>
          <w:bCs/>
          <w:color w:val="auto"/>
          <w:sz w:val="28"/>
          <w:szCs w:val="28"/>
          <w:lang w:eastAsia="zh-CN"/>
        </w:rPr>
        <w:t>。</w:t>
      </w:r>
      <w:r>
        <w:rPr>
          <w:rFonts w:hint="eastAsia" w:ascii="仿宋" w:hAnsi="仿宋" w:eastAsia="仿宋" w:cs="仿宋"/>
          <w:b w:val="0"/>
          <w:bCs w:val="0"/>
          <w:color w:val="auto"/>
          <w:sz w:val="28"/>
          <w:szCs w:val="28"/>
          <w:lang w:val="en-US" w:eastAsia="zh-CN"/>
        </w:rPr>
        <w:t>沙湾</w:t>
      </w:r>
      <w:r>
        <w:rPr>
          <w:rFonts w:hint="eastAsia" w:ascii="仿宋" w:hAnsi="仿宋" w:eastAsia="仿宋" w:cs="仿宋"/>
          <w:b w:val="0"/>
          <w:bCs w:val="0"/>
          <w:color w:val="auto"/>
          <w:sz w:val="28"/>
          <w:szCs w:val="28"/>
          <w:lang w:eastAsia="zh-CN"/>
        </w:rPr>
        <w:t>市辖区内砂石</w:t>
      </w:r>
      <w:r>
        <w:rPr>
          <w:rFonts w:hint="eastAsia" w:ascii="仿宋" w:hAnsi="仿宋" w:eastAsia="仿宋" w:cs="仿宋"/>
          <w:b w:val="0"/>
          <w:bCs w:val="0"/>
          <w:color w:val="auto"/>
          <w:sz w:val="28"/>
          <w:szCs w:val="28"/>
          <w:lang w:val="en-US" w:eastAsia="zh-CN"/>
        </w:rPr>
        <w:t>土</w:t>
      </w:r>
      <w:r>
        <w:rPr>
          <w:rFonts w:hint="eastAsia" w:ascii="仿宋" w:hAnsi="仿宋" w:eastAsia="仿宋" w:cs="仿宋"/>
          <w:b w:val="0"/>
          <w:bCs w:val="0"/>
          <w:color w:val="auto"/>
          <w:sz w:val="28"/>
          <w:szCs w:val="28"/>
          <w:lang w:eastAsia="zh-CN"/>
        </w:rPr>
        <w:t>主要赋存于</w:t>
      </w:r>
      <w:r>
        <w:rPr>
          <w:rFonts w:hint="eastAsia" w:ascii="仿宋" w:hAnsi="仿宋" w:eastAsia="仿宋" w:cs="仿宋"/>
          <w:b w:val="0"/>
          <w:bCs w:val="0"/>
          <w:color w:val="auto"/>
          <w:sz w:val="28"/>
          <w:szCs w:val="28"/>
          <w:lang w:val="en-US" w:eastAsia="zh-CN"/>
        </w:rPr>
        <w:t>沙湾市南部到天山北坡之间的</w:t>
      </w:r>
      <w:r>
        <w:rPr>
          <w:rFonts w:hint="eastAsia" w:ascii="仿宋" w:hAnsi="仿宋" w:eastAsia="仿宋" w:cs="仿宋"/>
          <w:b w:val="0"/>
          <w:bCs w:val="0"/>
          <w:color w:val="auto"/>
          <w:sz w:val="28"/>
          <w:szCs w:val="28"/>
          <w:lang w:eastAsia="zh-CN"/>
        </w:rPr>
        <w:t>第四系全新统和现代河床中。分布面积较广，资源量较丰富。</w:t>
      </w:r>
      <w:r>
        <w:rPr>
          <w:rFonts w:hint="eastAsia" w:ascii="仿宋" w:hAnsi="仿宋" w:eastAsia="仿宋" w:cs="宋体"/>
          <w:sz w:val="28"/>
          <w:szCs w:val="28"/>
        </w:rPr>
        <w:t>对于</w:t>
      </w:r>
      <w:r>
        <w:rPr>
          <w:rFonts w:hint="eastAsia" w:ascii="仿宋" w:hAnsi="仿宋" w:eastAsia="仿宋" w:cs="宋体"/>
          <w:sz w:val="28"/>
          <w:szCs w:val="28"/>
          <w:lang w:val="en-US" w:eastAsia="zh-CN"/>
        </w:rPr>
        <w:t>沙湾</w:t>
      </w:r>
      <w:r>
        <w:rPr>
          <w:rFonts w:hint="eastAsia" w:ascii="仿宋" w:hAnsi="仿宋" w:eastAsia="仿宋" w:cs="宋体"/>
          <w:sz w:val="28"/>
          <w:szCs w:val="28"/>
        </w:rPr>
        <w:t>市辖区内分布河道或两侧属河道管理范围内的砂石土矿，根据自治区自然资源厅下发的《新疆维吾尔自治区矿产资源管理若干事项暂行办法》（新自然资规[2021]1号），属河道管理范围内砂石土开采管理适用河道管理相关规定</w:t>
      </w:r>
      <w:r>
        <w:rPr>
          <w:rFonts w:hint="eastAsia" w:ascii="仿宋" w:hAnsi="仿宋" w:eastAsia="仿宋" w:cs="宋体"/>
          <w:sz w:val="28"/>
          <w:szCs w:val="28"/>
          <w:lang w:val="en-US" w:eastAsia="zh-CN"/>
        </w:rPr>
        <w:t>。</w:t>
      </w:r>
      <w:r>
        <w:rPr>
          <w:rFonts w:hint="eastAsia" w:ascii="仿宋" w:hAnsi="仿宋" w:eastAsia="仿宋" w:cs="宋体"/>
          <w:sz w:val="28"/>
          <w:szCs w:val="28"/>
        </w:rPr>
        <w:t>故本《规划》对河道及其两侧属河道管理范围内的砂石土矿，不设置矿业权。</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b w:val="0"/>
          <w:bCs w:val="0"/>
          <w:sz w:val="28"/>
          <w:szCs w:val="28"/>
          <w:lang w:val="zh-CN" w:eastAsia="zh-CN"/>
        </w:rPr>
      </w:pPr>
      <w:r>
        <w:rPr>
          <w:rFonts w:hint="eastAsia" w:ascii="仿宋" w:hAnsi="仿宋" w:eastAsia="仿宋" w:cs="仿宋"/>
          <w:b/>
          <w:bCs/>
          <w:sz w:val="28"/>
          <w:szCs w:val="28"/>
          <w:lang w:val="zh-CN" w:eastAsia="zh-CN"/>
        </w:rPr>
        <w:t>调整优化矿山结构。</w:t>
      </w:r>
      <w:r>
        <w:rPr>
          <w:rFonts w:hint="eastAsia" w:ascii="仿宋" w:hAnsi="仿宋" w:eastAsia="仿宋" w:cs="仿宋"/>
          <w:b w:val="0"/>
          <w:bCs w:val="0"/>
          <w:sz w:val="28"/>
          <w:szCs w:val="28"/>
          <w:lang w:val="zh-CN" w:eastAsia="zh-CN"/>
        </w:rPr>
        <w:t>通过资源整合、兼并重组等措施，改变小矿过多的局面，到2025年，全区大中型矿山的比例达40%以上，矿山规模结构逐步得到优化解决生产能力不均衡，布局不合理的问题,合理规划集中开采区。</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2" w:firstLineChars="200"/>
        <w:textAlignment w:val="auto"/>
        <w:outlineLvl w:val="1"/>
        <w:rPr>
          <w:rFonts w:hint="eastAsia" w:ascii="仿宋" w:hAnsi="仿宋" w:eastAsia="仿宋" w:cs="仿宋"/>
          <w:b/>
          <w:bCs/>
          <w:sz w:val="28"/>
          <w:szCs w:val="28"/>
          <w:lang w:eastAsia="zh-CN"/>
        </w:rPr>
      </w:pPr>
      <w:bookmarkStart w:id="118" w:name="_Toc15510"/>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lang w:eastAsia="zh-CN"/>
        </w:rPr>
        <w:t>）严格规划准入管理</w:t>
      </w:r>
      <w:bookmarkEnd w:id="118"/>
    </w:p>
    <w:p>
      <w:pPr>
        <w:keepNext w:val="0"/>
        <w:keepLines w:val="0"/>
        <w:pageBreakBefore w:val="0"/>
        <w:widowControl w:val="0"/>
        <w:kinsoku/>
        <w:wordWrap/>
        <w:overflowPunct/>
        <w:topLinePunct w:val="0"/>
        <w:autoSpaceDE/>
        <w:autoSpaceDN/>
        <w:bidi w:val="0"/>
        <w:adjustRightInd/>
        <w:snapToGrid/>
        <w:spacing w:line="500" w:lineRule="exact"/>
        <w:ind w:left="0" w:firstLine="562" w:firstLineChars="200"/>
        <w:textAlignment w:val="auto"/>
        <w:rPr>
          <w:rFonts w:hint="eastAsia" w:ascii="仿宋" w:hAnsi="仿宋" w:eastAsia="仿宋" w:cs="仿宋"/>
          <w:color w:val="000000"/>
          <w:kern w:val="0"/>
          <w:sz w:val="28"/>
          <w:szCs w:val="28"/>
          <w:lang w:val="en-US" w:eastAsia="zh-CN" w:bidi="ar-SA"/>
        </w:rPr>
      </w:pPr>
      <w:bookmarkStart w:id="119" w:name="_Toc89547558"/>
      <w:r>
        <w:rPr>
          <w:rFonts w:hint="eastAsia" w:ascii="仿宋" w:hAnsi="仿宋" w:eastAsia="仿宋" w:cs="仿宋"/>
          <w:b/>
          <w:bCs/>
          <w:sz w:val="28"/>
          <w:szCs w:val="28"/>
          <w:lang w:val="en-US" w:eastAsia="zh-CN"/>
        </w:rPr>
        <w:t>实施绿色勘查方面</w:t>
      </w:r>
      <w:bookmarkEnd w:id="119"/>
      <w:r>
        <w:rPr>
          <w:rFonts w:hint="eastAsia" w:ascii="仿宋" w:hAnsi="仿宋" w:eastAsia="仿宋" w:cs="仿宋"/>
          <w:b/>
          <w:bCs/>
          <w:sz w:val="28"/>
          <w:szCs w:val="28"/>
          <w:lang w:val="en-US" w:eastAsia="zh-CN"/>
        </w:rPr>
        <w:t>。</w:t>
      </w:r>
      <w:r>
        <w:rPr>
          <w:rFonts w:hint="eastAsia" w:ascii="仿宋" w:hAnsi="仿宋" w:eastAsia="仿宋" w:cs="仿宋"/>
          <w:color w:val="000000"/>
          <w:kern w:val="0"/>
          <w:sz w:val="28"/>
          <w:szCs w:val="28"/>
          <w:lang w:val="en-US" w:eastAsia="zh-CN" w:bidi="ar-SA"/>
        </w:rPr>
        <w:t>严格执行绿色勘查规范，全面实施绿色勘查。牢固树立绿色发展理念，将绿色发展理念贯穿于勘查活动的全过程，将保护生态环境作为勘查活动中应尽的义务和责任。</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lang w:val="en-US" w:eastAsia="zh-CN" w:bidi="ar-SA"/>
        </w:rPr>
        <w:t>依靠科技和管理创新，采用新技术、新方法、新工艺、新设备，推广航空物探、浅钻、便携式钻机、一基多孔等勘查技术，有效减少对生态环境影响的程度、范围及持续时间。</w:t>
      </w:r>
    </w:p>
    <w:p>
      <w:pPr>
        <w:keepNext w:val="0"/>
        <w:keepLines w:val="0"/>
        <w:pageBreakBefore w:val="0"/>
        <w:widowControl w:val="0"/>
        <w:kinsoku/>
        <w:wordWrap/>
        <w:overflowPunct/>
        <w:topLinePunct w:val="0"/>
        <w:autoSpaceDE/>
        <w:autoSpaceDN/>
        <w:bidi w:val="0"/>
        <w:adjustRightInd/>
        <w:snapToGrid/>
        <w:spacing w:line="500" w:lineRule="exact"/>
        <w:ind w:left="0" w:firstLine="560" w:firstLineChars="200"/>
        <w:textAlignment w:val="auto"/>
        <w:rPr>
          <w:rFonts w:hint="eastAsia" w:ascii="仿宋" w:hAnsi="仿宋" w:eastAsia="仿宋" w:cs="仿宋"/>
          <w:color w:val="000000"/>
          <w:kern w:val="0"/>
          <w:sz w:val="28"/>
          <w:szCs w:val="28"/>
          <w:lang w:val="en-US" w:eastAsia="zh-CN" w:bidi="ar-SA"/>
        </w:rPr>
      </w:pPr>
      <w:r>
        <w:rPr>
          <w:rFonts w:hint="eastAsia" w:ascii="仿宋" w:hAnsi="仿宋" w:eastAsia="仿宋" w:cs="仿宋"/>
          <w:color w:val="000000"/>
          <w:kern w:val="0"/>
          <w:sz w:val="28"/>
          <w:szCs w:val="28"/>
          <w:lang w:val="en-US" w:eastAsia="zh-CN" w:bidi="ar-SA"/>
        </w:rPr>
        <w:t>针对勘查区植被覆盖情况、自然修复能力等自然地理环境差异情况，采用适宜的勘查手段、环境保护和生态修复措施，严格控制施工周期，分类实施绿色勘查工作。</w:t>
      </w:r>
    </w:p>
    <w:p>
      <w:pPr>
        <w:keepNext w:val="0"/>
        <w:keepLines w:val="0"/>
        <w:pageBreakBefore w:val="0"/>
        <w:widowControl w:val="0"/>
        <w:kinsoku/>
        <w:wordWrap/>
        <w:overflowPunct/>
        <w:topLinePunct w:val="0"/>
        <w:autoSpaceDE/>
        <w:autoSpaceDN/>
        <w:bidi w:val="0"/>
        <w:adjustRightInd/>
        <w:snapToGrid/>
        <w:spacing w:line="500" w:lineRule="exact"/>
        <w:ind w:left="0" w:firstLine="562" w:firstLineChars="200"/>
        <w:textAlignment w:val="auto"/>
        <w:rPr>
          <w:rFonts w:hint="eastAsia" w:ascii="仿宋" w:hAnsi="仿宋" w:eastAsia="仿宋" w:cs="仿宋"/>
          <w:color w:val="000000"/>
          <w:kern w:val="0"/>
          <w:sz w:val="28"/>
          <w:szCs w:val="28"/>
          <w:lang w:val="en-US" w:eastAsia="zh-CN" w:bidi="ar-SA"/>
        </w:rPr>
      </w:pPr>
      <w:bookmarkStart w:id="120" w:name="_Toc89547559"/>
      <w:r>
        <w:rPr>
          <w:rFonts w:hint="eastAsia" w:ascii="仿宋" w:hAnsi="仿宋" w:eastAsia="仿宋" w:cs="仿宋"/>
          <w:b/>
          <w:bCs/>
          <w:sz w:val="28"/>
          <w:szCs w:val="28"/>
          <w:lang w:val="en-US" w:eastAsia="zh-CN"/>
        </w:rPr>
        <w:t>开采规模方面</w:t>
      </w:r>
      <w:bookmarkEnd w:id="120"/>
      <w:r>
        <w:rPr>
          <w:rFonts w:hint="eastAsia" w:ascii="仿宋" w:hAnsi="仿宋" w:eastAsia="仿宋" w:cs="仿宋"/>
          <w:b/>
          <w:bCs/>
          <w:sz w:val="28"/>
          <w:szCs w:val="28"/>
          <w:lang w:val="en-US" w:eastAsia="zh-CN"/>
        </w:rPr>
        <w:t>。</w:t>
      </w:r>
      <w:r>
        <w:rPr>
          <w:rFonts w:hint="eastAsia" w:ascii="仿宋" w:hAnsi="仿宋" w:eastAsia="仿宋" w:cs="仿宋"/>
          <w:color w:val="000000"/>
          <w:kern w:val="0"/>
          <w:sz w:val="28"/>
          <w:szCs w:val="28"/>
          <w:lang w:val="en-US" w:eastAsia="zh-CN" w:bidi="ar-SA"/>
        </w:rPr>
        <w:t>严格矿山新建矿山最低开采规模准入标准，引导矿山企业规模开采，严格矿山建设标准、环境准入标准和安全标准，鼓励老矿山通过整合、提升规模达到相应矿山最低开采规模要求。产业政策和行业准入条件高于本规划规模准入标准的，以产业政策和行业准入条件为准。</w:t>
      </w:r>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textAlignment w:val="auto"/>
        <w:rPr>
          <w:rFonts w:hint="eastAsia" w:ascii="仿宋" w:hAnsi="仿宋" w:eastAsia="仿宋" w:cs="仿宋"/>
          <w:color w:val="000000"/>
          <w:spacing w:val="-2"/>
          <w:sz w:val="28"/>
          <w:szCs w:val="28"/>
          <w:lang w:eastAsia="zh-CN"/>
        </w:rPr>
      </w:pPr>
      <w:r>
        <w:rPr>
          <w:rFonts w:hint="eastAsia" w:ascii="仿宋" w:hAnsi="仿宋" w:eastAsia="仿宋" w:cs="仿宋"/>
          <w:color w:val="000000"/>
          <w:spacing w:val="-2"/>
          <w:sz w:val="28"/>
          <w:szCs w:val="28"/>
        </w:rPr>
        <w:t>新建矿山开采规模不得低于矿产资源规划确定的矿山最低开采规模</w:t>
      </w:r>
      <w:r>
        <w:rPr>
          <w:rFonts w:hint="eastAsia" w:ascii="仿宋" w:hAnsi="仿宋" w:eastAsia="仿宋" w:cs="仿宋"/>
          <w:color w:val="000000"/>
          <w:kern w:val="0"/>
          <w:sz w:val="28"/>
          <w:szCs w:val="28"/>
          <w:lang w:val="en-US" w:eastAsia="zh-CN" w:bidi="ar-SA"/>
        </w:rPr>
        <w:t>（专栏17）</w:t>
      </w:r>
      <w:r>
        <w:rPr>
          <w:rFonts w:hint="eastAsia" w:ascii="仿宋" w:hAnsi="仿宋" w:eastAsia="仿宋" w:cs="仿宋"/>
          <w:color w:val="000000"/>
          <w:spacing w:val="-2"/>
          <w:sz w:val="28"/>
          <w:szCs w:val="28"/>
        </w:rPr>
        <w:t>，做到开采规模与储量规模相适应，编制《矿产资源开发利用与生态保护修复方案》并通过评审。对于已经取得采矿权而开采规模与矿山相应的资源储量规模显著不协调的，即达不到规划所限定的最低开采规模的矿山，应该限期整改、联合，走规模化、集约化之路。</w:t>
      </w:r>
    </w:p>
    <w:tbl>
      <w:tblPr>
        <w:tblStyle w:val="16"/>
        <w:tblW w:w="8522"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495"/>
        <w:gridCol w:w="2116"/>
        <w:gridCol w:w="1083"/>
        <w:gridCol w:w="895"/>
        <w:gridCol w:w="799"/>
        <w:gridCol w:w="756"/>
        <w:gridCol w:w="825"/>
        <w:gridCol w:w="1553"/>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50" w:hRule="atLeast"/>
          <w:tblHeader/>
          <w:jc w:val="center"/>
        </w:trPr>
        <w:tc>
          <w:tcPr>
            <w:tcW w:w="8522" w:type="dxa"/>
            <w:gridSpan w:val="8"/>
            <w:tcBorders>
              <w:top w:val="single" w:color="auto" w:sz="8" w:space="0"/>
              <w:left w:val="single" w:color="auto" w:sz="8" w:space="0"/>
              <w:bottom w:val="single" w:color="auto" w:sz="8" w:space="0"/>
              <w:right w:val="single" w:color="auto" w:sz="8" w:space="0"/>
            </w:tcBorders>
            <w:shd w:val="clear" w:color="auto" w:fill="D8D8D8"/>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bookmarkStart w:id="121" w:name="_Toc89547560"/>
            <w:r>
              <w:rPr>
                <w:rFonts w:hint="eastAsia" w:ascii="仿宋" w:hAnsi="仿宋" w:eastAsia="仿宋" w:cs="仿宋"/>
                <w:b/>
                <w:bCs/>
                <w:color w:val="auto"/>
                <w:sz w:val="21"/>
                <w:szCs w:val="21"/>
                <w:lang w:eastAsia="zh-CN"/>
              </w:rPr>
              <w:t>专栏</w:t>
            </w:r>
            <w:r>
              <w:rPr>
                <w:rFonts w:hint="eastAsia" w:ascii="仿宋" w:hAnsi="仿宋" w:eastAsia="仿宋" w:cs="仿宋"/>
                <w:b/>
                <w:bCs/>
                <w:color w:val="auto"/>
                <w:sz w:val="21"/>
                <w:szCs w:val="21"/>
                <w:lang w:val="en-US" w:eastAsia="zh-CN"/>
              </w:rPr>
              <w:t>17</w:t>
            </w:r>
            <w:r>
              <w:rPr>
                <w:rFonts w:hint="eastAsia" w:ascii="仿宋" w:hAnsi="仿宋" w:eastAsia="仿宋" w:cs="仿宋"/>
                <w:b/>
                <w:bCs/>
                <w:color w:val="auto"/>
                <w:sz w:val="21"/>
                <w:szCs w:val="21"/>
                <w:lang w:eastAsia="zh-CN"/>
              </w:rPr>
              <w:t xml:space="preserve">  </w:t>
            </w:r>
            <w:r>
              <w:rPr>
                <w:rFonts w:hint="eastAsia" w:ascii="仿宋" w:hAnsi="仿宋" w:eastAsia="仿宋" w:cs="仿宋"/>
                <w:b/>
                <w:bCs/>
                <w:color w:val="auto"/>
                <w:kern w:val="0"/>
                <w:sz w:val="21"/>
                <w:szCs w:val="21"/>
              </w:rPr>
              <w:t>新建矿山重点矿种最低开采规模设计标准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2"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序号</w:t>
            </w:r>
          </w:p>
        </w:tc>
        <w:tc>
          <w:tcPr>
            <w:tcW w:w="2116"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名称</w:t>
            </w:r>
          </w:p>
        </w:tc>
        <w:tc>
          <w:tcPr>
            <w:tcW w:w="1083"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单位/年</w:t>
            </w:r>
          </w:p>
        </w:tc>
        <w:tc>
          <w:tcPr>
            <w:tcW w:w="895"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大型</w:t>
            </w:r>
          </w:p>
        </w:tc>
        <w:tc>
          <w:tcPr>
            <w:tcW w:w="79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中型</w:t>
            </w:r>
          </w:p>
        </w:tc>
        <w:tc>
          <w:tcPr>
            <w:tcW w:w="75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小型</w:t>
            </w:r>
          </w:p>
        </w:tc>
        <w:tc>
          <w:tcPr>
            <w:tcW w:w="82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最低服</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务年限</w:t>
            </w:r>
          </w:p>
        </w:tc>
        <w:tc>
          <w:tcPr>
            <w:tcW w:w="155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煤（地下开采/露天开采）</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原煤万吨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120/400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45/100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禁止新建120万吨/年以下煤矿（喀什、克州、和田、阿勒泰及个别边远缺煤县市除外）</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煤（地下开采/露天开采）</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原煤万吨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120/400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吐哈、准东、伊犁</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铁（地下开采/露天开采）</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100/200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30/60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10/30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9"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4</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锰</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铬</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756"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w:t>
            </w:r>
          </w:p>
        </w:tc>
        <w:tc>
          <w:tcPr>
            <w:tcW w:w="82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铜</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7</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铅</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15年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8</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锌</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15年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9</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钨</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锡</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11</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钼</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12</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铝</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13</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镍</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94"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14</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锑</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50" w:hRule="atLeast"/>
          <w:tblHeader/>
          <w:jc w:val="center"/>
        </w:trPr>
        <w:tc>
          <w:tcPr>
            <w:tcW w:w="8522" w:type="dxa"/>
            <w:gridSpan w:val="8"/>
            <w:tcBorders>
              <w:top w:val="single" w:color="auto" w:sz="8" w:space="0"/>
              <w:left w:val="single" w:color="auto" w:sz="8" w:space="0"/>
              <w:bottom w:val="single" w:color="auto" w:sz="8" w:space="0"/>
              <w:right w:val="single" w:color="auto" w:sz="8" w:space="0"/>
            </w:tcBorders>
            <w:shd w:val="clear" w:color="auto" w:fill="D8D8D8"/>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b/>
                <w:bCs/>
                <w:color w:val="auto"/>
                <w:sz w:val="21"/>
                <w:szCs w:val="21"/>
                <w:lang w:eastAsia="zh-CN"/>
              </w:rPr>
              <w:t>专栏</w:t>
            </w:r>
            <w:r>
              <w:rPr>
                <w:rFonts w:hint="eastAsia" w:ascii="仿宋" w:hAnsi="仿宋" w:eastAsia="仿宋" w:cs="仿宋"/>
                <w:b/>
                <w:bCs/>
                <w:color w:val="auto"/>
                <w:sz w:val="21"/>
                <w:szCs w:val="21"/>
                <w:lang w:val="en-US" w:eastAsia="zh-CN"/>
              </w:rPr>
              <w:t>17</w:t>
            </w:r>
            <w:r>
              <w:rPr>
                <w:rFonts w:hint="eastAsia" w:ascii="仿宋" w:hAnsi="仿宋" w:eastAsia="仿宋" w:cs="仿宋"/>
                <w:b/>
                <w:bCs/>
                <w:color w:val="auto"/>
                <w:sz w:val="21"/>
                <w:szCs w:val="21"/>
                <w:lang w:eastAsia="zh-CN"/>
              </w:rPr>
              <w:t xml:space="preserve">  </w:t>
            </w:r>
            <w:r>
              <w:rPr>
                <w:rFonts w:hint="eastAsia" w:ascii="仿宋" w:hAnsi="仿宋" w:eastAsia="仿宋" w:cs="仿宋"/>
                <w:b/>
                <w:bCs/>
                <w:color w:val="auto"/>
                <w:kern w:val="0"/>
                <w:sz w:val="21"/>
                <w:szCs w:val="21"/>
              </w:rPr>
              <w:t>新建矿山重点矿种最低开采规模设计标准</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2"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序号</w:t>
            </w:r>
          </w:p>
        </w:tc>
        <w:tc>
          <w:tcPr>
            <w:tcW w:w="2116"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名称</w:t>
            </w:r>
          </w:p>
        </w:tc>
        <w:tc>
          <w:tcPr>
            <w:tcW w:w="1083"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单位/年</w:t>
            </w:r>
          </w:p>
        </w:tc>
        <w:tc>
          <w:tcPr>
            <w:tcW w:w="895" w:type="dxa"/>
            <w:tcBorders>
              <w:top w:val="single" w:color="auto" w:sz="8" w:space="0"/>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大型</w:t>
            </w:r>
          </w:p>
        </w:tc>
        <w:tc>
          <w:tcPr>
            <w:tcW w:w="799"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中型</w:t>
            </w:r>
          </w:p>
        </w:tc>
        <w:tc>
          <w:tcPr>
            <w:tcW w:w="756"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小型</w:t>
            </w:r>
          </w:p>
        </w:tc>
        <w:tc>
          <w:tcPr>
            <w:tcW w:w="82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最低服</w:t>
            </w:r>
          </w:p>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务年限</w:t>
            </w:r>
          </w:p>
        </w:tc>
        <w:tc>
          <w:tcPr>
            <w:tcW w:w="155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备注</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15</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金（岩金）（地下开采/露天开采）</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15/15</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6/9</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16</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磷（地下开采/露天开采）</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50/50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10/15</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both"/>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17</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锂、铍</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18</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钾盐（固态/液态）</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5/50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3/10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19</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硫铁矿</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20</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重晶石</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21</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萤石（CaF</w:t>
            </w:r>
            <w:r>
              <w:rPr>
                <w:rFonts w:hint="eastAsia" w:ascii="仿宋" w:hAnsi="仿宋" w:eastAsia="仿宋" w:cs="仿宋"/>
                <w:sz w:val="21"/>
                <w:szCs w:val="21"/>
                <w:vertAlign w:val="subscript"/>
              </w:rPr>
              <w:t>2</w:t>
            </w:r>
            <w:r>
              <w:rPr>
                <w:rFonts w:hint="eastAsia" w:ascii="仿宋" w:hAnsi="仿宋" w:eastAsia="仿宋" w:cs="仿宋"/>
                <w:sz w:val="21"/>
                <w:szCs w:val="21"/>
              </w:rPr>
              <w:t>）</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8</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22</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石灰岩（水泥用/其他）</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100/100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50/50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30/20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23</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冶金、水泥用天然石英砂</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24</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玻璃、陶瓷等石英岩、石英砂</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25</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高岭土</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26</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云母（工业原料云母）</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27</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石棉</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石棉万吨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0.5</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28</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膨润土</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10年</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29</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建筑用砂</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万立方米</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13</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砖瓦用粘土</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矿石万吨</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13</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6</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31</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建筑用石材</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万立方米</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1.5</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blHeader/>
          <w:jc w:val="center"/>
        </w:trPr>
        <w:tc>
          <w:tcPr>
            <w:tcW w:w="4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32</w:t>
            </w:r>
          </w:p>
        </w:tc>
        <w:tc>
          <w:tcPr>
            <w:tcW w:w="211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饰面用石材</w:t>
            </w:r>
          </w:p>
        </w:tc>
        <w:tc>
          <w:tcPr>
            <w:tcW w:w="108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万立方米</w:t>
            </w:r>
          </w:p>
        </w:tc>
        <w:tc>
          <w:tcPr>
            <w:tcW w:w="89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1</w:t>
            </w:r>
          </w:p>
        </w:tc>
        <w:tc>
          <w:tcPr>
            <w:tcW w:w="799"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0.5</w:t>
            </w:r>
          </w:p>
        </w:tc>
        <w:tc>
          <w:tcPr>
            <w:tcW w:w="756"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0.3</w:t>
            </w:r>
          </w:p>
        </w:tc>
        <w:tc>
          <w:tcPr>
            <w:tcW w:w="825"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c>
          <w:tcPr>
            <w:tcW w:w="1553"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jc w:val="center"/>
              <w:textAlignment w:val="auto"/>
              <w:rPr>
                <w:rFonts w:hint="eastAsia" w:ascii="仿宋" w:hAnsi="仿宋" w:eastAsia="仿宋" w:cs="仿宋"/>
                <w:sz w:val="21"/>
                <w:szCs w:val="21"/>
              </w:rPr>
            </w:pPr>
            <w:r>
              <w:rPr>
                <w:rFonts w:hint="eastAsia" w:ascii="仿宋" w:hAnsi="仿宋" w:eastAsia="仿宋" w:cs="仿宋"/>
                <w:sz w:val="21"/>
                <w:szCs w:val="21"/>
              </w:rPr>
              <w:t> </w:t>
            </w:r>
          </w:p>
        </w:tc>
      </w:tr>
    </w:tbl>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pacing w:val="-2"/>
          <w:sz w:val="28"/>
          <w:szCs w:val="28"/>
        </w:rPr>
      </w:pPr>
      <w:r>
        <w:rPr>
          <w:rFonts w:hint="eastAsia" w:ascii="仿宋" w:hAnsi="仿宋" w:eastAsia="仿宋" w:cs="仿宋"/>
          <w:b/>
          <w:bCs/>
          <w:sz w:val="28"/>
          <w:szCs w:val="28"/>
          <w:lang w:val="en-US" w:eastAsia="zh-CN"/>
        </w:rPr>
        <w:t>开发利用水平方面</w:t>
      </w:r>
      <w:bookmarkEnd w:id="121"/>
      <w:r>
        <w:rPr>
          <w:rFonts w:hint="eastAsia" w:ascii="仿宋" w:hAnsi="仿宋" w:eastAsia="仿宋" w:cs="仿宋"/>
          <w:b/>
          <w:bCs/>
          <w:sz w:val="28"/>
          <w:szCs w:val="28"/>
          <w:lang w:val="en-US" w:eastAsia="zh-CN"/>
        </w:rPr>
        <w:t>。</w:t>
      </w:r>
      <w:r>
        <w:rPr>
          <w:rFonts w:hint="eastAsia" w:ascii="仿宋" w:hAnsi="仿宋" w:eastAsia="仿宋" w:cs="仿宋"/>
          <w:color w:val="000000"/>
          <w:spacing w:val="-2"/>
          <w:sz w:val="28"/>
          <w:szCs w:val="28"/>
        </w:rPr>
        <w:t>矿山建设须符合规模开采、集约经营的原则</w:t>
      </w:r>
      <w:r>
        <w:rPr>
          <w:rFonts w:hint="eastAsia" w:ascii="仿宋" w:hAnsi="仿宋" w:eastAsia="仿宋" w:cs="仿宋"/>
          <w:color w:val="000000"/>
          <w:spacing w:val="-2"/>
          <w:sz w:val="28"/>
          <w:szCs w:val="28"/>
          <w:lang w:eastAsia="zh-CN"/>
        </w:rPr>
        <w:t>。</w:t>
      </w:r>
      <w:r>
        <w:rPr>
          <w:rFonts w:hint="eastAsia" w:ascii="仿宋" w:hAnsi="仿宋" w:eastAsia="仿宋" w:cs="仿宋"/>
          <w:color w:val="000000"/>
          <w:spacing w:val="-2"/>
          <w:sz w:val="28"/>
          <w:szCs w:val="28"/>
        </w:rPr>
        <w:t>禁止出现大矿小开，一矿多开，一证多矿、采易弃难、采富弃贫、滥采乱挖等严重浪费矿产资源的现象。矿山企业要严格按矿山设计的矿山“三率”指标进行生产，积极依靠科技进步提高采、选、冶技术水平和装备水平，加强对共（伴）矿产的综合利用，提高资源利用率。</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pacing w:val="-2"/>
          <w:sz w:val="28"/>
          <w:szCs w:val="28"/>
        </w:rPr>
      </w:pPr>
      <w:bookmarkStart w:id="122" w:name="_Toc89547561"/>
      <w:r>
        <w:rPr>
          <w:rFonts w:hint="eastAsia" w:ascii="仿宋" w:hAnsi="仿宋" w:eastAsia="仿宋" w:cs="仿宋"/>
          <w:b/>
          <w:bCs/>
          <w:color w:val="000000"/>
          <w:kern w:val="0"/>
          <w:sz w:val="28"/>
          <w:szCs w:val="28"/>
          <w:lang w:val="en-US" w:eastAsia="zh-CN" w:bidi="ar-SA"/>
        </w:rPr>
        <w:t>绿色矿山建设方面</w:t>
      </w:r>
      <w:bookmarkEnd w:id="122"/>
      <w:r>
        <w:rPr>
          <w:rFonts w:hint="eastAsia" w:ascii="仿宋" w:hAnsi="仿宋" w:eastAsia="仿宋" w:cs="仿宋"/>
          <w:b/>
          <w:bCs/>
          <w:color w:val="000000"/>
          <w:kern w:val="0"/>
          <w:sz w:val="28"/>
          <w:szCs w:val="28"/>
          <w:lang w:val="en-US" w:eastAsia="zh-CN" w:bidi="ar-SA"/>
        </w:rPr>
        <w:t>。</w:t>
      </w:r>
      <w:r>
        <w:rPr>
          <w:rFonts w:hint="eastAsia" w:ascii="仿宋" w:hAnsi="仿宋" w:eastAsia="仿宋" w:cs="仿宋"/>
          <w:color w:val="000000"/>
          <w:spacing w:val="-2"/>
          <w:sz w:val="28"/>
          <w:szCs w:val="28"/>
        </w:rPr>
        <w:t>新建矿山资源开发利用必须符合国家的法律法规和产业政策，矿山建设达到行业绿色矿山标准，按规定进行了环境影响评价和地质灾害评估，提供的通过评审的矿产资源开发利用和生态保护修复方案，矿产资源开发利用采用先进的生产技术和有利于生态保护的生产方式，土地复垦及地质灾害防治措施应符合国家有关规定。矿山企业必须签署《绿色矿山公约》，按照绿色矿山建设要求，进行资源开发要开展经济与环境效益的综合评估。</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pacing w:val="-2"/>
          <w:sz w:val="28"/>
          <w:szCs w:val="28"/>
        </w:rPr>
      </w:pPr>
      <w:bookmarkStart w:id="123" w:name="_Toc89547562"/>
      <w:r>
        <w:rPr>
          <w:rFonts w:hint="eastAsia" w:ascii="仿宋" w:hAnsi="仿宋" w:eastAsia="仿宋" w:cs="仿宋"/>
          <w:b/>
          <w:bCs/>
          <w:color w:val="000000"/>
          <w:kern w:val="0"/>
          <w:sz w:val="28"/>
          <w:szCs w:val="28"/>
          <w:lang w:val="en-US" w:eastAsia="zh-CN" w:bidi="ar-SA"/>
        </w:rPr>
        <w:t>矿区生态修复方面</w:t>
      </w:r>
      <w:bookmarkEnd w:id="123"/>
      <w:r>
        <w:rPr>
          <w:rFonts w:hint="eastAsia" w:ascii="仿宋" w:hAnsi="仿宋" w:eastAsia="仿宋" w:cs="仿宋"/>
          <w:b/>
          <w:bCs/>
          <w:color w:val="000000"/>
          <w:kern w:val="0"/>
          <w:sz w:val="28"/>
          <w:szCs w:val="28"/>
          <w:lang w:val="en-US" w:eastAsia="zh-CN" w:bidi="ar-SA"/>
        </w:rPr>
        <w:t>。</w:t>
      </w:r>
      <w:r>
        <w:rPr>
          <w:rFonts w:hint="eastAsia" w:ascii="仿宋" w:hAnsi="仿宋" w:eastAsia="仿宋" w:cs="仿宋"/>
          <w:color w:val="000000"/>
          <w:spacing w:val="-2"/>
          <w:sz w:val="28"/>
          <w:szCs w:val="28"/>
        </w:rPr>
        <w:t>矿山企业依法取得矿山开采的各类证照，必须符合生态环境准入条件，严格执行《矿山地质环境保护规定》、《新疆维吾尔自治区地质环境保护条例》和《土地复垦条例》等法规，编制《环境影响评价报告》、《矿产资源开发利用与生态保护修复方案》并评审通过；矿山在矿产资源开发利用过程中，按照“矿产资源开发与矿山生态环境保护修复并重”的原则，坚持“谁开发、谁保护；谁破坏、谁恢复；谁投资、谁受益”的方针，必须落实矿产资源开发利用与生态保护修复方案，按时完成土地复垦年度指标，不断提高改善矿山生态环境质量，实现矿业开发和生态环境保护的协调发展。矿山企业及时缴纳矿山环境治理恢复基金。</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62" w:firstLineChars="200"/>
        <w:textAlignment w:val="auto"/>
        <w:outlineLvl w:val="1"/>
        <w:rPr>
          <w:rFonts w:hint="eastAsia" w:ascii="仿宋" w:hAnsi="仿宋" w:eastAsia="仿宋" w:cs="仿宋"/>
          <w:b/>
          <w:bCs/>
          <w:sz w:val="28"/>
          <w:szCs w:val="28"/>
          <w:lang w:eastAsia="zh-CN"/>
        </w:rPr>
      </w:pPr>
      <w:bookmarkStart w:id="124" w:name="_Toc29481"/>
      <w:bookmarkStart w:id="125" w:name="_Toc89547564"/>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lang w:eastAsia="zh-CN"/>
        </w:rPr>
        <w:t>）</w:t>
      </w:r>
      <w:r>
        <w:rPr>
          <w:rFonts w:hint="eastAsia" w:ascii="仿宋" w:hAnsi="仿宋" w:eastAsia="仿宋" w:cs="仿宋"/>
          <w:b/>
          <w:sz w:val="28"/>
          <w:szCs w:val="28"/>
        </w:rPr>
        <w:t>矿产资源开发管理</w:t>
      </w:r>
      <w:bookmarkEnd w:id="124"/>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pacing w:val="-2"/>
          <w:sz w:val="28"/>
          <w:szCs w:val="28"/>
        </w:rPr>
      </w:pPr>
      <w:r>
        <w:rPr>
          <w:rFonts w:hint="eastAsia" w:ascii="仿宋" w:hAnsi="仿宋" w:eastAsia="仿宋" w:cs="仿宋"/>
          <w:b/>
          <w:bCs/>
          <w:sz w:val="28"/>
          <w:szCs w:val="28"/>
        </w:rPr>
        <w:t>矿产资源勘查管理措施</w:t>
      </w:r>
      <w:bookmarkEnd w:id="125"/>
      <w:r>
        <w:rPr>
          <w:rFonts w:hint="eastAsia" w:ascii="仿宋" w:hAnsi="仿宋" w:eastAsia="仿宋" w:cs="仿宋"/>
          <w:b/>
          <w:bCs/>
          <w:sz w:val="28"/>
          <w:szCs w:val="28"/>
          <w:lang w:eastAsia="zh-CN"/>
        </w:rPr>
        <w:t>。</w:t>
      </w:r>
      <w:r>
        <w:rPr>
          <w:rFonts w:hint="eastAsia" w:ascii="仿宋" w:hAnsi="仿宋" w:eastAsia="仿宋" w:cs="仿宋"/>
          <w:spacing w:val="-2"/>
          <w:sz w:val="28"/>
          <w:szCs w:val="28"/>
        </w:rPr>
        <w:t>落实自治区、塔城地区规划，</w:t>
      </w:r>
      <w:r>
        <w:rPr>
          <w:rFonts w:hint="eastAsia" w:ascii="仿宋" w:hAnsi="仿宋" w:eastAsia="仿宋" w:cs="仿宋"/>
          <w:sz w:val="28"/>
          <w:szCs w:val="28"/>
        </w:rPr>
        <w:t>严格勘查准入条件，</w:t>
      </w:r>
      <w:r>
        <w:rPr>
          <w:rFonts w:hint="eastAsia" w:ascii="仿宋" w:hAnsi="仿宋" w:eastAsia="仿宋" w:cs="仿宋"/>
          <w:bCs/>
          <w:sz w:val="28"/>
          <w:szCs w:val="28"/>
        </w:rPr>
        <w:t>完善探矿权退出机制，</w:t>
      </w:r>
      <w:r>
        <w:rPr>
          <w:rFonts w:hint="eastAsia" w:ascii="仿宋" w:hAnsi="仿宋" w:eastAsia="仿宋" w:cs="仿宋"/>
          <w:sz w:val="28"/>
          <w:szCs w:val="28"/>
        </w:rPr>
        <w:t>全面落实绿色勘查，</w:t>
      </w:r>
      <w:r>
        <w:rPr>
          <w:rFonts w:hint="eastAsia" w:ascii="仿宋" w:hAnsi="仿宋" w:eastAsia="仿宋" w:cs="仿宋"/>
          <w:spacing w:val="-2"/>
          <w:sz w:val="28"/>
          <w:szCs w:val="28"/>
        </w:rPr>
        <w:t>健全矿业权人勘查开采公示信息实地核查制度。</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z w:val="28"/>
          <w:szCs w:val="28"/>
        </w:rPr>
      </w:pPr>
      <w:r>
        <w:rPr>
          <w:rFonts w:hint="eastAsia" w:ascii="仿宋" w:hAnsi="仿宋" w:eastAsia="仿宋" w:cs="仿宋"/>
          <w:b/>
          <w:bCs/>
          <w:sz w:val="28"/>
          <w:szCs w:val="28"/>
        </w:rPr>
        <w:t>--严格勘查准入条件。</w:t>
      </w:r>
      <w:r>
        <w:rPr>
          <w:rFonts w:hint="eastAsia" w:ascii="仿宋" w:hAnsi="仿宋" w:eastAsia="仿宋" w:cs="仿宋"/>
          <w:sz w:val="28"/>
          <w:szCs w:val="28"/>
        </w:rPr>
        <w:t>探矿权申请人应是企业法人或事业法人，应当具备与申请勘查矿种及规模相适应的资金实力，注册资本和银行提供的资金证明不得低于相关要求。探矿权申请人提交勘查登记申请之日前两年内，没有因违法被吊销勘查许可证。对严重失信的探矿权申请人，依法实行勘查市场禁入制度。新设探矿权勘查阶段不得低于原有勘查阶段，不得与其它已设置矿业权交叉重叠，申请勘查区域与相邻矿业权区域间应保持合理间距。新设探矿权的勘查矿种和勘查范围必须符合规划要求，应做到综合勘查、综合评价，必须达到环境保护、安全生产的要求。</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sz w:val="28"/>
          <w:szCs w:val="28"/>
          <w:highlight w:val="none"/>
        </w:rPr>
      </w:pPr>
      <w:r>
        <w:rPr>
          <w:rFonts w:hint="eastAsia" w:ascii="仿宋" w:hAnsi="仿宋" w:eastAsia="仿宋" w:cs="仿宋"/>
          <w:b/>
          <w:bCs/>
          <w:color w:val="000000"/>
          <w:sz w:val="28"/>
          <w:szCs w:val="28"/>
          <w:lang w:val="en-US" w:eastAsia="zh-CN"/>
        </w:rPr>
        <w:t>--</w:t>
      </w:r>
      <w:r>
        <w:rPr>
          <w:rFonts w:hint="eastAsia" w:ascii="仿宋" w:hAnsi="仿宋" w:eastAsia="仿宋" w:cs="仿宋"/>
          <w:b/>
          <w:bCs/>
          <w:color w:val="000000"/>
          <w:sz w:val="28"/>
          <w:szCs w:val="28"/>
        </w:rPr>
        <w:t>全面落实绿色勘查</w:t>
      </w:r>
      <w:r>
        <w:rPr>
          <w:rFonts w:hint="eastAsia" w:ascii="仿宋" w:hAnsi="仿宋" w:eastAsia="仿宋" w:cs="仿宋"/>
          <w:b/>
          <w:bCs/>
          <w:color w:val="000000"/>
          <w:sz w:val="28"/>
          <w:szCs w:val="28"/>
          <w:lang w:eastAsia="zh-CN"/>
        </w:rPr>
        <w:t>。</w:t>
      </w:r>
      <w:r>
        <w:rPr>
          <w:rFonts w:hint="eastAsia" w:ascii="仿宋" w:hAnsi="仿宋" w:eastAsia="仿宋" w:cs="仿宋"/>
          <w:color w:val="auto"/>
          <w:sz w:val="28"/>
          <w:szCs w:val="28"/>
        </w:rPr>
        <w:t>勘查实施单位必须按照绿色地质勘查工作规范要求，在实施地质勘查各方面和全过程中通过</w:t>
      </w:r>
      <w:r>
        <w:rPr>
          <w:rFonts w:hint="eastAsia" w:ascii="仿宋" w:hAnsi="仿宋" w:eastAsia="仿宋" w:cs="仿宋"/>
          <w:color w:val="000000"/>
          <w:sz w:val="28"/>
          <w:szCs w:val="28"/>
        </w:rPr>
        <w:t>采取新技术、新方法、新工艺、新设备等最大限度地减少地质勘查工作对生态环境的扰动和影响，</w:t>
      </w:r>
      <w:r>
        <w:rPr>
          <w:rFonts w:hint="eastAsia" w:ascii="仿宋" w:hAnsi="仿宋" w:eastAsia="仿宋" w:cs="仿宋"/>
          <w:color w:val="000000"/>
          <w:sz w:val="28"/>
          <w:szCs w:val="28"/>
          <w:highlight w:val="none"/>
        </w:rPr>
        <w:t>实现地质勘查目的和生态环境保护协同共进的新勘查模式。</w:t>
      </w:r>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textAlignment w:val="auto"/>
        <w:rPr>
          <w:rFonts w:hint="eastAsia" w:ascii="仿宋" w:hAnsi="仿宋" w:eastAsia="仿宋" w:cs="仿宋"/>
          <w:sz w:val="28"/>
          <w:szCs w:val="28"/>
        </w:rPr>
      </w:pPr>
      <w:r>
        <w:rPr>
          <w:rFonts w:hint="eastAsia" w:ascii="仿宋" w:hAnsi="仿宋" w:eastAsia="仿宋" w:cs="仿宋"/>
          <w:color w:val="000000"/>
          <w:spacing w:val="-2"/>
          <w:sz w:val="28"/>
          <w:szCs w:val="28"/>
          <w:lang w:val="en-US" w:eastAsia="zh-CN"/>
        </w:rPr>
        <w:t>--</w:t>
      </w:r>
      <w:r>
        <w:rPr>
          <w:rFonts w:hint="eastAsia" w:ascii="仿宋" w:hAnsi="仿宋" w:eastAsia="仿宋" w:cs="仿宋"/>
          <w:b/>
          <w:bCs/>
          <w:color w:val="000000"/>
          <w:spacing w:val="-2"/>
          <w:sz w:val="28"/>
          <w:szCs w:val="28"/>
        </w:rPr>
        <w:t>健全矿业权公示信息核查制度。</w:t>
      </w:r>
      <w:r>
        <w:rPr>
          <w:rFonts w:hint="eastAsia" w:ascii="仿宋" w:hAnsi="仿宋" w:eastAsia="仿宋" w:cs="仿宋"/>
          <w:color w:val="000000"/>
          <w:spacing w:val="-2"/>
          <w:sz w:val="28"/>
          <w:szCs w:val="28"/>
        </w:rPr>
        <w:t>督促矿业权人按期、规范填报公示信息，在市辖区内实施地质矿产勘查项目和从事矿产资源开采的矿山，均应进入矿业权人勘查开采公示信息系统。市、区（县）自然资源局每年随机抽取矿业权人勘查开采信息公示系统中地勘项目和开采矿山进行实地核查，并公开核查结果，对未如实填报公示信息的单位或矿山企业按相关法律法规进行处罚，以保证公示的信息客观、规范、准确。</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w:t>
      </w:r>
      <w:r>
        <w:rPr>
          <w:rFonts w:hint="eastAsia" w:ascii="仿宋" w:hAnsi="仿宋" w:eastAsia="仿宋" w:cs="仿宋"/>
          <w:b/>
          <w:bCs/>
          <w:color w:val="000000"/>
          <w:sz w:val="28"/>
          <w:szCs w:val="28"/>
        </w:rPr>
        <w:t>鼓励社会资本投资矿产勘查。</w:t>
      </w:r>
      <w:r>
        <w:rPr>
          <w:rFonts w:hint="eastAsia" w:ascii="仿宋" w:hAnsi="仿宋" w:eastAsia="仿宋" w:cs="仿宋"/>
          <w:color w:val="000000"/>
          <w:sz w:val="28"/>
          <w:szCs w:val="28"/>
        </w:rPr>
        <w:t>进一步开放矿产勘查市场，鼓励、支持和引导社会资本投入地质找矿工作，降低找矿风险，构建多元投资、多方合作、协调有序、快速推进的制度平台。鼓励社会资本自主组建勘查单位，开展矿产勘查，积极推进资本和技术有机结合，形成多渠道矿产勘查投入新机制。</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pacing w:val="-2"/>
          <w:sz w:val="28"/>
          <w:szCs w:val="28"/>
        </w:rPr>
      </w:pPr>
      <w:r>
        <w:rPr>
          <w:rFonts w:hint="eastAsia" w:ascii="仿宋" w:hAnsi="仿宋" w:eastAsia="仿宋" w:cs="仿宋"/>
          <w:b/>
          <w:bCs/>
          <w:sz w:val="28"/>
          <w:szCs w:val="28"/>
        </w:rPr>
        <w:t>--完善探矿权退出机制。</w:t>
      </w:r>
      <w:r>
        <w:rPr>
          <w:rFonts w:hint="eastAsia" w:ascii="仿宋" w:hAnsi="仿宋" w:eastAsia="仿宋" w:cs="仿宋"/>
          <w:sz w:val="28"/>
          <w:szCs w:val="28"/>
        </w:rPr>
        <w:t>探矿权延续时，严格执行延续次数、持有时限、提高勘查阶段和缩减勘查面积的相关要求。全面调整探矿权占用费收取标准，建立累进动态调整机制，充分利用经济手段有效遏制“圈而不探”。勘查许可证有效期届满，探矿权人既不申请延续，也不申请注销，可依法公告注销勘查许可证。探矿权人违法违规，限期内整改不通过的，可依法吊销勘查许可证。</w:t>
      </w:r>
      <w:r>
        <w:rPr>
          <w:rFonts w:hint="eastAsia" w:ascii="仿宋" w:hAnsi="仿宋" w:eastAsia="仿宋" w:cs="仿宋"/>
          <w:color w:val="000000"/>
          <w:spacing w:val="-2"/>
          <w:sz w:val="28"/>
          <w:szCs w:val="28"/>
        </w:rPr>
        <w:t>对设立超过15年以上的探矿权加大核查力度，对存在“圈而不探”“以采代探”等违法违规行为的，责令限期改正，逾期不改正的，按规定予以处罚，情节严重的，依法吊销勘查许可证。</w:t>
      </w:r>
    </w:p>
    <w:p>
      <w:pPr>
        <w:keepNext w:val="0"/>
        <w:keepLines w:val="0"/>
        <w:pageBreakBefore w:val="0"/>
        <w:widowControl w:val="0"/>
        <w:kinsoku/>
        <w:wordWrap/>
        <w:overflowPunct/>
        <w:topLinePunct w:val="0"/>
        <w:autoSpaceDE/>
        <w:autoSpaceDN/>
        <w:bidi w:val="0"/>
        <w:adjustRightInd w:val="0"/>
        <w:snapToGrid w:val="0"/>
        <w:spacing w:line="500" w:lineRule="exact"/>
        <w:ind w:firstLine="562" w:firstLineChars="200"/>
        <w:textAlignment w:val="auto"/>
        <w:rPr>
          <w:rFonts w:hint="eastAsia" w:ascii="仿宋" w:hAnsi="仿宋" w:eastAsia="仿宋" w:cs="仿宋"/>
          <w:color w:val="000000"/>
          <w:spacing w:val="-2"/>
          <w:sz w:val="28"/>
          <w:szCs w:val="28"/>
        </w:rPr>
      </w:pPr>
      <w:bookmarkStart w:id="126" w:name="_Toc89547565"/>
      <w:r>
        <w:rPr>
          <w:rFonts w:hint="eastAsia" w:ascii="仿宋" w:hAnsi="仿宋" w:eastAsia="仿宋" w:cs="仿宋"/>
          <w:b/>
          <w:bCs/>
          <w:sz w:val="28"/>
          <w:szCs w:val="28"/>
        </w:rPr>
        <w:t>矿产资源开发管理措施</w:t>
      </w:r>
      <w:bookmarkEnd w:id="126"/>
      <w:r>
        <w:rPr>
          <w:rFonts w:hint="eastAsia" w:ascii="仿宋" w:hAnsi="仿宋" w:eastAsia="仿宋" w:cs="仿宋"/>
          <w:b/>
          <w:bCs/>
          <w:sz w:val="28"/>
          <w:szCs w:val="28"/>
          <w:lang w:eastAsia="zh-CN"/>
        </w:rPr>
        <w:t>。</w:t>
      </w:r>
      <w:r>
        <w:rPr>
          <w:rFonts w:hint="eastAsia" w:ascii="仿宋" w:hAnsi="仿宋" w:eastAsia="仿宋" w:cs="仿宋"/>
          <w:color w:val="000000"/>
          <w:spacing w:val="-2"/>
          <w:sz w:val="28"/>
          <w:szCs w:val="28"/>
        </w:rPr>
        <w:t>落实开发准入条件，强效矿产资源开发退出机制，严格设立审批制度，健全联合执法工作机制，建立定向督促检查和巡查工作机制。</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rPr>
          <w:rFonts w:hint="eastAsia" w:ascii="仿宋" w:hAnsi="仿宋" w:eastAsia="仿宋" w:cs="仿宋"/>
          <w:sz w:val="28"/>
          <w:szCs w:val="28"/>
        </w:rPr>
      </w:pPr>
      <w:r>
        <w:rPr>
          <w:rFonts w:hint="eastAsia" w:ascii="仿宋" w:hAnsi="仿宋" w:eastAsia="仿宋" w:cs="仿宋"/>
          <w:b/>
          <w:bCs/>
          <w:color w:val="000000"/>
          <w:spacing w:val="-2"/>
          <w:sz w:val="28"/>
          <w:szCs w:val="28"/>
          <w:lang w:val="en-US" w:eastAsia="zh-CN"/>
        </w:rPr>
        <w:t>--</w:t>
      </w:r>
      <w:r>
        <w:rPr>
          <w:rFonts w:hint="eastAsia" w:ascii="仿宋" w:hAnsi="仿宋" w:eastAsia="仿宋" w:cs="仿宋"/>
          <w:b/>
          <w:bCs/>
          <w:color w:val="000000"/>
          <w:spacing w:val="-2"/>
          <w:sz w:val="28"/>
          <w:szCs w:val="28"/>
        </w:rPr>
        <w:t>严格矿产资源开发准入管理。</w:t>
      </w:r>
      <w:r>
        <w:rPr>
          <w:rFonts w:hint="eastAsia" w:ascii="仿宋" w:hAnsi="仿宋" w:eastAsia="仿宋" w:cs="仿宋"/>
          <w:color w:val="000000"/>
          <w:spacing w:val="-2"/>
          <w:sz w:val="28"/>
          <w:szCs w:val="28"/>
        </w:rPr>
        <w:t>全面落实规划分区管理制度，提高环境保护、技术、资源利用效率等准入门槛。</w:t>
      </w:r>
      <w:r>
        <w:rPr>
          <w:rFonts w:hint="eastAsia" w:ascii="仿宋" w:hAnsi="仿宋" w:eastAsia="仿宋" w:cs="仿宋"/>
          <w:sz w:val="28"/>
          <w:szCs w:val="28"/>
        </w:rPr>
        <w:t>严格矿业开发空间准入，在批准的国土空间规划确定的禁止矿产开发区、核心保护区和重点保护区、批准的生态保护红线内禁止设置采矿权。</w:t>
      </w:r>
      <w:r>
        <w:rPr>
          <w:rFonts w:hint="eastAsia" w:ascii="仿宋" w:hAnsi="仿宋" w:eastAsia="仿宋" w:cs="仿宋"/>
          <w:color w:val="000000"/>
          <w:spacing w:val="-2"/>
          <w:sz w:val="28"/>
          <w:szCs w:val="28"/>
        </w:rPr>
        <w:t>严格开采规模准入，</w:t>
      </w:r>
      <w:r>
        <w:rPr>
          <w:rFonts w:hint="eastAsia" w:ascii="仿宋" w:hAnsi="仿宋" w:eastAsia="仿宋" w:cs="仿宋"/>
          <w:sz w:val="28"/>
          <w:szCs w:val="28"/>
        </w:rPr>
        <w:t>严格执行本《规划》规定的新立采矿权最低开采规模标准。严格资源利用技术准入，禁止采用落后的、淘汰的、破坏和浪费矿产资源的开采和选矿技术，采选工艺应符合国家《矿产资源节约与综合利用鼓励、限制和淘汰技术目录》。积极开展科技创新和技术革新，矿山企业应保障科技创新的资金投入。</w:t>
      </w:r>
    </w:p>
    <w:p>
      <w:pPr>
        <w:keepNext w:val="0"/>
        <w:keepLines w:val="0"/>
        <w:pageBreakBefore w:val="0"/>
        <w:widowControl w:val="0"/>
        <w:kinsoku/>
        <w:wordWrap/>
        <w:overflowPunct/>
        <w:topLinePunct w:val="0"/>
        <w:autoSpaceDE/>
        <w:autoSpaceDN/>
        <w:bidi w:val="0"/>
        <w:adjustRightInd/>
        <w:snapToGrid/>
        <w:spacing w:line="500" w:lineRule="exact"/>
        <w:ind w:firstLine="552" w:firstLineChars="200"/>
        <w:textAlignment w:val="auto"/>
        <w:rPr>
          <w:rFonts w:hint="eastAsia" w:ascii="仿宋" w:hAnsi="仿宋" w:eastAsia="仿宋" w:cs="仿宋"/>
          <w:sz w:val="28"/>
          <w:szCs w:val="28"/>
        </w:rPr>
      </w:pPr>
      <w:r>
        <w:rPr>
          <w:rFonts w:hint="eastAsia" w:ascii="仿宋" w:hAnsi="仿宋" w:eastAsia="仿宋" w:cs="仿宋"/>
          <w:color w:val="000000"/>
          <w:spacing w:val="-2"/>
          <w:sz w:val="28"/>
          <w:szCs w:val="28"/>
          <w:lang w:val="en-US" w:eastAsia="zh-CN"/>
        </w:rPr>
        <w:t>--</w:t>
      </w:r>
      <w:r>
        <w:rPr>
          <w:rFonts w:hint="eastAsia" w:ascii="仿宋" w:hAnsi="仿宋" w:eastAsia="仿宋" w:cs="仿宋"/>
          <w:b/>
          <w:bCs/>
          <w:color w:val="000000"/>
          <w:spacing w:val="-2"/>
          <w:sz w:val="28"/>
          <w:szCs w:val="28"/>
        </w:rPr>
        <w:t>严格管理禁止、限制开采矿种。</w:t>
      </w:r>
      <w:r>
        <w:rPr>
          <w:rFonts w:hint="eastAsia" w:ascii="仿宋" w:hAnsi="仿宋" w:eastAsia="仿宋" w:cs="仿宋"/>
          <w:color w:val="000000"/>
          <w:spacing w:val="-2"/>
          <w:sz w:val="28"/>
          <w:szCs w:val="28"/>
        </w:rPr>
        <w:t>《规划》明确的禁止开采矿种，不得新设矿业权，因共生、伴生矿等情况确需综合回收利用禁止矿种的，应严格论证。对限制开釆矿种，要严格执行开釆总量控制、开采准入条件等有关要求。新设开釆项目优先向能源资源基地、国家规划矿区、重点开采区投放。</w:t>
      </w:r>
    </w:p>
    <w:p>
      <w:pPr>
        <w:keepNext w:val="0"/>
        <w:keepLines w:val="0"/>
        <w:pageBreakBefore w:val="0"/>
        <w:widowControl w:val="0"/>
        <w:kinsoku/>
        <w:wordWrap/>
        <w:overflowPunct/>
        <w:topLinePunct w:val="0"/>
        <w:autoSpaceDE/>
        <w:autoSpaceDN/>
        <w:bidi w:val="0"/>
        <w:adjustRightInd/>
        <w:snapToGrid/>
        <w:spacing w:line="500" w:lineRule="exact"/>
        <w:ind w:firstLine="554" w:firstLineChars="200"/>
        <w:textAlignment w:val="auto"/>
        <w:rPr>
          <w:rFonts w:hint="eastAsia" w:ascii="仿宋" w:hAnsi="仿宋" w:eastAsia="仿宋" w:cs="仿宋"/>
          <w:color w:val="000000"/>
          <w:spacing w:val="-2"/>
          <w:sz w:val="28"/>
          <w:szCs w:val="28"/>
        </w:rPr>
      </w:pPr>
      <w:r>
        <w:rPr>
          <w:rFonts w:hint="eastAsia" w:ascii="仿宋" w:hAnsi="仿宋" w:eastAsia="仿宋" w:cs="仿宋"/>
          <w:b/>
          <w:bCs/>
          <w:color w:val="000000"/>
          <w:spacing w:val="-2"/>
          <w:sz w:val="28"/>
          <w:szCs w:val="28"/>
          <w:lang w:val="en-US" w:eastAsia="zh-CN"/>
        </w:rPr>
        <w:t>--</w:t>
      </w:r>
      <w:r>
        <w:rPr>
          <w:rFonts w:hint="eastAsia" w:ascii="仿宋" w:hAnsi="仿宋" w:eastAsia="仿宋" w:cs="仿宋"/>
          <w:b/>
          <w:bCs/>
          <w:color w:val="000000"/>
          <w:spacing w:val="-2"/>
          <w:sz w:val="28"/>
          <w:szCs w:val="28"/>
        </w:rPr>
        <w:t>严格执行环境影响评价制度。</w:t>
      </w:r>
      <w:r>
        <w:rPr>
          <w:rFonts w:hint="eastAsia" w:ascii="仿宋" w:hAnsi="仿宋" w:eastAsia="仿宋" w:cs="仿宋"/>
          <w:color w:val="000000"/>
          <w:spacing w:val="-2"/>
          <w:sz w:val="28"/>
          <w:szCs w:val="28"/>
        </w:rPr>
        <w:t>在允许矿产开发的区域新建、扩建、改建矿产资源开采项目应进行环境影响评价，依法办理审批手续，并按照绿色矿山建设标准开展作业。执行主体功能区产业准入负面清单、“三线一单”等产业清单要求，科学编制《矿产资源开发利用与生态保护修复方案》。</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lang w:val="en-US" w:eastAsia="zh-CN"/>
        </w:rPr>
        <w:t>--</w:t>
      </w:r>
      <w:r>
        <w:rPr>
          <w:rFonts w:hint="eastAsia" w:ascii="仿宋" w:hAnsi="仿宋" w:eastAsia="仿宋" w:cs="仿宋"/>
          <w:b/>
          <w:bCs/>
          <w:color w:val="000000"/>
          <w:sz w:val="28"/>
          <w:szCs w:val="28"/>
        </w:rPr>
        <w:t>矿产资源开发退出机制。</w:t>
      </w:r>
      <w:r>
        <w:rPr>
          <w:rFonts w:hint="eastAsia" w:ascii="仿宋" w:hAnsi="仿宋" w:eastAsia="仿宋" w:cs="仿宋"/>
          <w:color w:val="000000"/>
          <w:spacing w:val="-2"/>
          <w:sz w:val="28"/>
          <w:szCs w:val="28"/>
        </w:rPr>
        <w:t>矿业权人自身原因导致采矿许可证过期失效的，发证机关依法注销或公告废止采矿许可证；矿业权人主动申请注销采矿权的，经有关部门批准后关闭退出；</w:t>
      </w:r>
      <w:r>
        <w:rPr>
          <w:rFonts w:hint="eastAsia" w:ascii="仿宋" w:hAnsi="仿宋" w:eastAsia="仿宋" w:cs="仿宋"/>
          <w:color w:val="000000"/>
          <w:sz w:val="28"/>
          <w:szCs w:val="28"/>
        </w:rPr>
        <w:t>已设合法采矿权，由于公共利益需要、产业政策调整原因需要退出的，按相关规定退出。已设采矿权未达到最低开采规模、安全生产、生态保护、最低“三率”指标等要求，以及采用国家明令淘汰采选技术方法的，责令限期整改，整改后仍未达到要求的，依法淘汰退出。</w:t>
      </w:r>
    </w:p>
    <w:p>
      <w:pPr>
        <w:rPr>
          <w:rFonts w:hint="eastAsia" w:ascii="黑体" w:hAnsi="黑体" w:eastAsia="黑体" w:cs="黑体"/>
          <w:color w:val="000000"/>
          <w:spacing w:val="-2"/>
          <w:sz w:val="32"/>
          <w:szCs w:val="32"/>
          <w:lang w:val="zh-CN" w:eastAsia="zh-CN"/>
        </w:rPr>
      </w:pPr>
      <w:bookmarkStart w:id="127" w:name="_Toc19960"/>
      <w:r>
        <w:rPr>
          <w:rFonts w:hint="eastAsia" w:ascii="黑体" w:hAnsi="黑体" w:eastAsia="黑体" w:cs="黑体"/>
          <w:color w:val="000000"/>
          <w:spacing w:val="-2"/>
          <w:sz w:val="32"/>
          <w:szCs w:val="32"/>
          <w:lang w:val="zh-CN" w:eastAsia="zh-CN"/>
        </w:rPr>
        <w:br w:type="page"/>
      </w:r>
    </w:p>
    <w:p>
      <w:pPr>
        <w:keepNext w:val="0"/>
        <w:keepLines w:val="0"/>
        <w:pageBreakBefore w:val="0"/>
        <w:widowControl w:val="0"/>
        <w:kinsoku/>
        <w:wordWrap/>
        <w:overflowPunct/>
        <w:topLinePunct w:val="0"/>
        <w:autoSpaceDE/>
        <w:autoSpaceDN/>
        <w:bidi w:val="0"/>
        <w:adjustRightInd/>
        <w:snapToGrid/>
        <w:spacing w:before="157" w:beforeLines="50" w:line="360" w:lineRule="auto"/>
        <w:ind w:firstLine="632" w:firstLineChars="200"/>
        <w:textAlignment w:val="auto"/>
        <w:outlineLvl w:val="0"/>
        <w:rPr>
          <w:rFonts w:hint="eastAsia" w:ascii="黑体" w:hAnsi="黑体" w:eastAsia="黑体" w:cs="黑体"/>
          <w:color w:val="000000"/>
          <w:spacing w:val="-2"/>
          <w:sz w:val="32"/>
          <w:szCs w:val="32"/>
          <w:lang w:val="en-US" w:eastAsia="zh-CN"/>
        </w:rPr>
      </w:pPr>
      <w:r>
        <w:rPr>
          <w:rFonts w:hint="eastAsia" w:ascii="黑体" w:hAnsi="黑体" w:eastAsia="黑体" w:cs="黑体"/>
          <w:color w:val="000000"/>
          <w:spacing w:val="-2"/>
          <w:sz w:val="32"/>
          <w:szCs w:val="32"/>
          <w:lang w:val="zh-CN" w:eastAsia="zh-CN"/>
        </w:rPr>
        <w:t>五、绿色矿山建设和矿区生态保护</w:t>
      </w:r>
      <w:bookmarkEnd w:id="112"/>
      <w:bookmarkEnd w:id="113"/>
      <w:bookmarkEnd w:id="114"/>
      <w:bookmarkEnd w:id="127"/>
    </w:p>
    <w:p>
      <w:pPr>
        <w:keepNext/>
        <w:keepLines/>
        <w:pageBreakBefore w:val="0"/>
        <w:widowControl w:val="0"/>
        <w:kinsoku/>
        <w:wordWrap/>
        <w:overflowPunct/>
        <w:topLinePunct w:val="0"/>
        <w:autoSpaceDE/>
        <w:autoSpaceDN/>
        <w:bidi w:val="0"/>
        <w:adjustRightInd/>
        <w:snapToGrid/>
        <w:spacing w:before="0" w:after="0" w:line="500" w:lineRule="exact"/>
        <w:ind w:firstLine="560" w:firstLineChars="200"/>
        <w:textAlignment w:val="auto"/>
        <w:outlineLvl w:val="9"/>
        <w:rPr>
          <w:rFonts w:hint="default" w:ascii="仿宋" w:hAnsi="仿宋" w:eastAsia="仿宋" w:cs="仿宋"/>
          <w:b w:val="0"/>
          <w:bCs w:val="0"/>
          <w:color w:val="000000"/>
          <w:sz w:val="28"/>
          <w:szCs w:val="28"/>
          <w:lang w:val="en-US" w:eastAsia="zh-CN"/>
        </w:rPr>
      </w:pPr>
      <w:bookmarkStart w:id="128" w:name="_Toc71653066"/>
      <w:bookmarkStart w:id="129" w:name="_Toc78272066"/>
      <w:bookmarkStart w:id="130" w:name="_Toc78270698"/>
      <w:bookmarkStart w:id="131" w:name="_Toc71695049"/>
      <w:bookmarkStart w:id="132" w:name="_Toc9182"/>
      <w:bookmarkStart w:id="133" w:name="_Toc18309"/>
      <w:bookmarkStart w:id="134" w:name="_Toc65143714"/>
      <w:bookmarkStart w:id="135" w:name="_Toc26472_WPSOffice_Level2"/>
      <w:bookmarkStart w:id="136" w:name="_Toc67671019"/>
      <w:bookmarkStart w:id="137" w:name="_Toc25016"/>
      <w:bookmarkStart w:id="138" w:name="_Toc5953"/>
      <w:r>
        <w:rPr>
          <w:rFonts w:hint="eastAsia" w:ascii="仿宋" w:hAnsi="仿宋" w:eastAsia="仿宋" w:cs="仿宋"/>
          <w:b w:val="0"/>
          <w:bCs w:val="0"/>
          <w:color w:val="000000"/>
          <w:sz w:val="28"/>
          <w:szCs w:val="28"/>
          <w:lang w:eastAsia="zh-CN"/>
        </w:rPr>
        <w:t>坚持以习近平生态文明思想为指导，统筹推进“五位一体”总体布局，协调推进“四个全面战略布局，坚持创新、协调、绿色、开放、共享新发展理念，按照高质量发展要求，科学谋划绿色矿业发展总体布局，推动转型升级，全力保障能源和其他战略性矿产资源安全，精心服务生态文明建设和自然资源管理中心工作，为</w:t>
      </w:r>
      <w:r>
        <w:rPr>
          <w:rFonts w:hint="eastAsia" w:ascii="仿宋" w:hAnsi="仿宋" w:eastAsia="仿宋" w:cs="仿宋"/>
          <w:b w:val="0"/>
          <w:bCs w:val="0"/>
          <w:color w:val="000000"/>
          <w:sz w:val="28"/>
          <w:szCs w:val="28"/>
          <w:lang w:val="en-US" w:eastAsia="zh-CN"/>
        </w:rPr>
        <w:t>沙湾市</w:t>
      </w:r>
      <w:r>
        <w:rPr>
          <w:rFonts w:hint="eastAsia" w:ascii="仿宋" w:hAnsi="仿宋" w:eastAsia="仿宋" w:cs="仿宋"/>
          <w:b w:val="0"/>
          <w:bCs w:val="0"/>
          <w:color w:val="000000"/>
          <w:sz w:val="28"/>
          <w:szCs w:val="28"/>
          <w:lang w:eastAsia="zh-CN"/>
        </w:rPr>
        <w:t>发展做出积极贡献。</w:t>
      </w:r>
    </w:p>
    <w:p>
      <w:pPr>
        <w:pStyle w:val="3"/>
        <w:pageBreakBefore w:val="0"/>
        <w:widowControl w:val="0"/>
        <w:tabs>
          <w:tab w:val="left" w:pos="0"/>
        </w:tabs>
        <w:kinsoku/>
        <w:wordWrap/>
        <w:overflowPunct/>
        <w:topLinePunct w:val="0"/>
        <w:autoSpaceDE/>
        <w:autoSpaceDN/>
        <w:bidi w:val="0"/>
        <w:adjustRightInd/>
        <w:snapToGrid/>
        <w:spacing w:before="0" w:after="0" w:line="500" w:lineRule="exact"/>
        <w:ind w:firstLine="562" w:firstLineChars="200"/>
        <w:textAlignment w:val="auto"/>
        <w:outlineLvl w:val="1"/>
        <w:rPr>
          <w:rFonts w:hint="eastAsia" w:ascii="仿宋" w:hAnsi="仿宋" w:eastAsia="仿宋" w:cs="仿宋"/>
          <w:color w:val="000000"/>
          <w:sz w:val="28"/>
          <w:szCs w:val="28"/>
        </w:rPr>
      </w:pPr>
      <w:bookmarkStart w:id="139" w:name="_Toc24419"/>
      <w:bookmarkStart w:id="140" w:name="_Toc89547569"/>
      <w:r>
        <w:rPr>
          <w:rFonts w:hint="eastAsia" w:ascii="仿宋" w:hAnsi="仿宋" w:eastAsia="仿宋" w:cs="仿宋"/>
          <w:color w:val="000000"/>
          <w:sz w:val="28"/>
          <w:szCs w:val="28"/>
          <w:lang w:val="en-US" w:eastAsia="zh-CN"/>
        </w:rPr>
        <w:t>（一）绿色矿山建设</w:t>
      </w:r>
      <w:bookmarkEnd w:id="139"/>
    </w:p>
    <w:p>
      <w:pPr>
        <w:pageBreakBefore w:val="0"/>
        <w:widowControl w:val="0"/>
        <w:tabs>
          <w:tab w:val="left" w:pos="0"/>
        </w:tabs>
        <w:kinsoku/>
        <w:wordWrap/>
        <w:overflowPunct/>
        <w:topLinePunct w:val="0"/>
        <w:autoSpaceDE/>
        <w:autoSpaceDN/>
        <w:bidi w:val="0"/>
        <w:adjustRightInd/>
        <w:snapToGrid/>
        <w:spacing w:before="0" w:after="0"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总体思路</w:t>
      </w:r>
      <w:bookmarkEnd w:id="140"/>
      <w:r>
        <w:rPr>
          <w:rFonts w:hint="eastAsia" w:ascii="仿宋" w:hAnsi="仿宋" w:eastAsia="仿宋" w:cs="仿宋"/>
          <w:b/>
          <w:bCs/>
          <w:sz w:val="28"/>
          <w:szCs w:val="28"/>
          <w:lang w:eastAsia="zh-CN"/>
        </w:rPr>
        <w:t>。</w:t>
      </w:r>
      <w:r>
        <w:rPr>
          <w:rFonts w:hint="eastAsia" w:ascii="仿宋" w:hAnsi="仿宋" w:eastAsia="仿宋" w:cs="仿宋"/>
          <w:b w:val="0"/>
          <w:bCs w:val="0"/>
          <w:sz w:val="28"/>
          <w:szCs w:val="28"/>
          <w:lang w:eastAsia="zh-CN"/>
        </w:rPr>
        <w:t>按照“政府指导、企业主建、标准引领、全面推进”的原则，</w:t>
      </w:r>
      <w:r>
        <w:rPr>
          <w:rFonts w:hint="eastAsia" w:ascii="仿宋_GB2312" w:hAnsi="仿宋_GB2312" w:eastAsia="仿宋_GB2312" w:cs="仿宋_GB2312"/>
          <w:color w:val="000000"/>
          <w:sz w:val="28"/>
          <w:szCs w:val="28"/>
        </w:rPr>
        <w:t>新建矿山全部按照绿色矿山标准建设，生产矿山加快改造升级，逐步达标。在矿业权出让、延续等审批中明确矿业权人落实绿色开采的要求。大中型矿山逐步达到规划绿色矿山目标，小型生产矿山按照绿色矿山标准规范管理。</w:t>
      </w:r>
      <w:r>
        <w:rPr>
          <w:rFonts w:hint="eastAsia" w:ascii="仿宋" w:hAnsi="仿宋" w:eastAsia="仿宋" w:cs="仿宋"/>
          <w:b w:val="0"/>
          <w:bCs/>
          <w:sz w:val="28"/>
          <w:szCs w:val="28"/>
        </w:rPr>
        <w:t>以煤</w:t>
      </w:r>
      <w:r>
        <w:rPr>
          <w:rFonts w:hint="eastAsia" w:ascii="仿宋" w:hAnsi="仿宋" w:eastAsia="仿宋" w:cs="仿宋"/>
          <w:b w:val="0"/>
          <w:bCs/>
          <w:sz w:val="28"/>
          <w:szCs w:val="28"/>
          <w:lang w:val="en-US" w:eastAsia="zh-CN"/>
        </w:rPr>
        <w:t>炭行业绿色矿山建设规范</w:t>
      </w:r>
      <w:r>
        <w:rPr>
          <w:rFonts w:hint="eastAsia" w:ascii="仿宋" w:hAnsi="仿宋" w:eastAsia="仿宋" w:cs="仿宋"/>
          <w:b w:val="0"/>
          <w:bCs/>
          <w:sz w:val="28"/>
          <w:szCs w:val="28"/>
        </w:rPr>
        <w:t>为</w:t>
      </w:r>
      <w:r>
        <w:rPr>
          <w:rFonts w:hint="eastAsia" w:ascii="仿宋" w:hAnsi="仿宋" w:eastAsia="仿宋" w:cs="仿宋"/>
          <w:b w:val="0"/>
          <w:bCs/>
          <w:sz w:val="28"/>
          <w:szCs w:val="28"/>
          <w:lang w:val="en-US" w:eastAsia="zh-CN"/>
        </w:rPr>
        <w:t>依据</w:t>
      </w:r>
      <w:r>
        <w:rPr>
          <w:rFonts w:hint="eastAsia" w:ascii="仿宋" w:hAnsi="仿宋" w:eastAsia="仿宋" w:cs="仿宋"/>
          <w:b w:val="0"/>
          <w:bCs/>
          <w:sz w:val="28"/>
          <w:szCs w:val="28"/>
        </w:rPr>
        <w:t>，把煤矿作为</w:t>
      </w:r>
      <w:r>
        <w:rPr>
          <w:rFonts w:hint="eastAsia" w:ascii="仿宋" w:hAnsi="仿宋" w:eastAsia="仿宋" w:cs="仿宋"/>
          <w:b w:val="0"/>
          <w:bCs/>
          <w:sz w:val="28"/>
          <w:szCs w:val="28"/>
          <w:lang w:val="en-US" w:eastAsia="zh-CN"/>
        </w:rPr>
        <w:t>沙湾</w:t>
      </w:r>
      <w:r>
        <w:rPr>
          <w:rFonts w:hint="eastAsia" w:ascii="仿宋" w:hAnsi="仿宋" w:eastAsia="仿宋" w:cs="仿宋"/>
          <w:b w:val="0"/>
          <w:bCs/>
          <w:sz w:val="28"/>
          <w:szCs w:val="28"/>
        </w:rPr>
        <w:t>市绿色矿山重点建设对象，将全市煤矿新建及改扩建矿井按绿色矿山建设，积极申请进入绿色矿山名录，带动全市其他矿山企业开展绿色矿山建设的开展</w:t>
      </w:r>
      <w:bookmarkStart w:id="141" w:name="_Toc89547570"/>
      <w:r>
        <w:rPr>
          <w:rFonts w:hint="eastAsia" w:ascii="仿宋" w:hAnsi="仿宋" w:eastAsia="仿宋" w:cs="仿宋"/>
          <w:b w:val="0"/>
          <w:bCs/>
          <w:sz w:val="28"/>
          <w:szCs w:val="28"/>
          <w:lang w:eastAsia="zh-CN"/>
        </w:rPr>
        <w:t>。</w:t>
      </w:r>
    </w:p>
    <w:p>
      <w:pPr>
        <w:pageBreakBefore w:val="0"/>
        <w:widowControl w:val="0"/>
        <w:tabs>
          <w:tab w:val="left" w:pos="0"/>
        </w:tabs>
        <w:kinsoku/>
        <w:wordWrap/>
        <w:overflowPunct/>
        <w:topLinePunct w:val="0"/>
        <w:autoSpaceDE/>
        <w:autoSpaceDN/>
        <w:bidi w:val="0"/>
        <w:adjustRightInd/>
        <w:snapToGrid/>
        <w:spacing w:before="0" w:after="0" w:line="500" w:lineRule="exact"/>
        <w:ind w:firstLine="562" w:firstLineChars="200"/>
        <w:textAlignment w:val="auto"/>
        <w:outlineLvl w:val="9"/>
        <w:rPr>
          <w:rFonts w:hint="default" w:ascii="仿宋" w:hAnsi="仿宋" w:eastAsia="仿宋" w:cs="仿宋"/>
          <w:b w:val="0"/>
          <w:bCs/>
          <w:sz w:val="28"/>
          <w:szCs w:val="28"/>
          <w:lang w:val="en-US" w:eastAsia="zh-CN"/>
        </w:rPr>
      </w:pPr>
      <w:r>
        <w:rPr>
          <w:rFonts w:hint="eastAsia" w:ascii="仿宋" w:hAnsi="仿宋" w:eastAsia="仿宋" w:cs="仿宋"/>
          <w:b/>
          <w:bCs/>
          <w:sz w:val="28"/>
          <w:szCs w:val="28"/>
        </w:rPr>
        <w:t>主要任务</w:t>
      </w:r>
      <w:bookmarkEnd w:id="141"/>
      <w:r>
        <w:rPr>
          <w:rFonts w:hint="eastAsia" w:ascii="仿宋" w:hAnsi="仿宋" w:eastAsia="仿宋" w:cs="仿宋"/>
          <w:b/>
          <w:bCs/>
          <w:sz w:val="28"/>
          <w:szCs w:val="28"/>
          <w:lang w:eastAsia="zh-CN"/>
        </w:rPr>
        <w:t>。</w:t>
      </w:r>
      <w:r>
        <w:rPr>
          <w:rFonts w:hint="eastAsia" w:ascii="仿宋" w:hAnsi="仿宋" w:eastAsia="仿宋" w:cs="仿宋"/>
          <w:b w:val="0"/>
          <w:bCs w:val="0"/>
          <w:sz w:val="28"/>
          <w:szCs w:val="28"/>
          <w:lang w:val="en-US" w:eastAsia="zh-CN"/>
        </w:rPr>
        <w:t>沙湾市新</w:t>
      </w:r>
      <w:r>
        <w:rPr>
          <w:rFonts w:hint="eastAsia" w:ascii="仿宋" w:hAnsi="仿宋" w:eastAsia="仿宋" w:cs="仿宋"/>
          <w:b w:val="0"/>
          <w:bCs/>
          <w:sz w:val="28"/>
          <w:szCs w:val="28"/>
          <w:lang w:val="en-US" w:eastAsia="zh-CN"/>
        </w:rPr>
        <w:t>建矿山全部达到绿色矿山建设标准，生产矿山加快升级，逐步达到要求，</w:t>
      </w:r>
      <w:r>
        <w:rPr>
          <w:rFonts w:hint="eastAsia" w:ascii="仿宋" w:hAnsi="仿宋" w:eastAsia="仿宋" w:cs="仿宋"/>
          <w:b w:val="0"/>
          <w:bCs/>
          <w:sz w:val="28"/>
          <w:szCs w:val="28"/>
        </w:rPr>
        <w:t>推动全市绿色矿业</w:t>
      </w:r>
      <w:r>
        <w:rPr>
          <w:rFonts w:hint="eastAsia" w:ascii="仿宋" w:hAnsi="仿宋" w:eastAsia="仿宋" w:cs="仿宋"/>
          <w:b w:val="0"/>
          <w:bCs/>
          <w:sz w:val="28"/>
          <w:szCs w:val="28"/>
          <w:lang w:val="en-US" w:eastAsia="zh-CN"/>
        </w:rPr>
        <w:t>建设。将绿色发展理念贯穿于矿产资源规划、勘查、开发利用与保护全过程，引领和带动传统矿业转型升级，提升矿业发展质量和效益。</w:t>
      </w:r>
    </w:p>
    <w:p>
      <w:pPr>
        <w:pageBreakBefore w:val="0"/>
        <w:widowControl w:val="0"/>
        <w:tabs>
          <w:tab w:val="left" w:pos="0"/>
        </w:tabs>
        <w:kinsoku/>
        <w:wordWrap/>
        <w:overflowPunct/>
        <w:topLinePunct w:val="0"/>
        <w:autoSpaceDE/>
        <w:autoSpaceDN/>
        <w:bidi w:val="0"/>
        <w:adjustRightInd/>
        <w:snapToGrid/>
        <w:spacing w:before="0" w:after="0" w:line="500" w:lineRule="exact"/>
        <w:ind w:firstLine="562" w:firstLineChars="200"/>
        <w:textAlignment w:val="auto"/>
        <w:outlineLvl w:val="9"/>
        <w:rPr>
          <w:rFonts w:hint="eastAsia" w:ascii="仿宋" w:hAnsi="仿宋" w:eastAsia="仿宋" w:cs="仿宋"/>
          <w:b w:val="0"/>
          <w:bCs/>
          <w:sz w:val="28"/>
          <w:szCs w:val="28"/>
        </w:rPr>
      </w:pPr>
      <w:bookmarkStart w:id="142" w:name="_Toc89547571"/>
      <w:r>
        <w:rPr>
          <w:rFonts w:hint="eastAsia" w:ascii="仿宋" w:hAnsi="仿宋" w:eastAsia="仿宋" w:cs="仿宋"/>
          <w:b/>
          <w:bCs/>
          <w:sz w:val="28"/>
          <w:szCs w:val="28"/>
        </w:rPr>
        <w:t>组织方式</w:t>
      </w:r>
      <w:bookmarkEnd w:id="142"/>
      <w:r>
        <w:rPr>
          <w:rFonts w:hint="eastAsia" w:ascii="仿宋" w:hAnsi="仿宋" w:eastAsia="仿宋" w:cs="仿宋"/>
          <w:b/>
          <w:bCs/>
          <w:sz w:val="28"/>
          <w:szCs w:val="28"/>
          <w:lang w:eastAsia="zh-CN"/>
        </w:rPr>
        <w:t>。</w:t>
      </w:r>
      <w:r>
        <w:rPr>
          <w:rFonts w:hint="eastAsia" w:ascii="仿宋" w:hAnsi="仿宋" w:eastAsia="仿宋" w:cs="仿宋"/>
          <w:b w:val="0"/>
          <w:bCs/>
          <w:sz w:val="28"/>
          <w:szCs w:val="28"/>
        </w:rPr>
        <w:t>实施绿色矿山建设规划，建设绿色矿山需要政府、企业和社会三方面的共同努力，按照“政府主导，部门协作，企业主体，第三方评估，公众参与，共同推进”的原则开展。完成绿色矿山建设任务或达到绿色矿山建设要求的矿山企业开展自行评估，并向</w:t>
      </w:r>
      <w:r>
        <w:rPr>
          <w:rFonts w:hint="eastAsia" w:ascii="仿宋" w:hAnsi="仿宋" w:eastAsia="仿宋" w:cs="仿宋"/>
          <w:b w:val="0"/>
          <w:bCs/>
          <w:sz w:val="28"/>
          <w:szCs w:val="28"/>
          <w:lang w:val="en-US" w:eastAsia="zh-CN"/>
        </w:rPr>
        <w:t>沙湾市</w:t>
      </w:r>
      <w:r>
        <w:rPr>
          <w:rFonts w:hint="eastAsia" w:ascii="仿宋" w:hAnsi="仿宋" w:eastAsia="仿宋" w:cs="仿宋"/>
          <w:b w:val="0"/>
          <w:bCs/>
          <w:sz w:val="28"/>
          <w:szCs w:val="28"/>
        </w:rPr>
        <w:t>自然资源局</w:t>
      </w:r>
      <w:r>
        <w:rPr>
          <w:rFonts w:hint="eastAsia" w:ascii="仿宋" w:hAnsi="仿宋" w:eastAsia="仿宋" w:cs="仿宋"/>
          <w:b w:val="0"/>
          <w:bCs/>
          <w:sz w:val="28"/>
          <w:szCs w:val="28"/>
          <w:lang w:val="en-US" w:eastAsia="zh-CN"/>
        </w:rPr>
        <w:t>等有关部门</w:t>
      </w:r>
      <w:r>
        <w:rPr>
          <w:rFonts w:hint="eastAsia" w:ascii="仿宋" w:hAnsi="仿宋" w:eastAsia="仿宋" w:cs="仿宋"/>
          <w:b w:val="0"/>
          <w:bCs/>
          <w:sz w:val="28"/>
          <w:szCs w:val="28"/>
        </w:rPr>
        <w:t>提交评估报告。市自然资源局、环境保护等有关部门以政府购买服务的形式，委托第三方开展现场核查，符合绿色矿山建设要求的，逐级上报自治区有关主管部门，纳入全国绿色矿山名录，通过绿色矿业发展服务平台，向社会公开，接受监督。纳入名录的绿色矿山企业自动享受相关优惠政策。</w:t>
      </w:r>
    </w:p>
    <w:p>
      <w:pPr>
        <w:pageBreakBefore w:val="0"/>
        <w:widowControl w:val="0"/>
        <w:tabs>
          <w:tab w:val="left" w:pos="0"/>
        </w:tabs>
        <w:kinsoku/>
        <w:wordWrap/>
        <w:overflowPunct/>
        <w:topLinePunct w:val="0"/>
        <w:autoSpaceDE/>
        <w:autoSpaceDN/>
        <w:bidi w:val="0"/>
        <w:adjustRightInd/>
        <w:snapToGrid/>
        <w:spacing w:before="0" w:after="0" w:line="500" w:lineRule="exact"/>
        <w:ind w:firstLine="562" w:firstLineChars="200"/>
        <w:textAlignment w:val="auto"/>
        <w:outlineLvl w:val="9"/>
        <w:rPr>
          <w:rFonts w:hint="eastAsia" w:ascii="仿宋" w:hAnsi="仿宋" w:eastAsia="仿宋" w:cs="仿宋"/>
          <w:sz w:val="28"/>
          <w:szCs w:val="28"/>
        </w:rPr>
      </w:pPr>
      <w:bookmarkStart w:id="143" w:name="_Toc89547572"/>
      <w:r>
        <w:rPr>
          <w:rFonts w:hint="eastAsia" w:ascii="仿宋" w:hAnsi="仿宋" w:eastAsia="仿宋" w:cs="仿宋"/>
          <w:b/>
          <w:bCs/>
          <w:sz w:val="28"/>
          <w:szCs w:val="28"/>
        </w:rPr>
        <w:t>进度安排</w:t>
      </w:r>
      <w:bookmarkEnd w:id="143"/>
      <w:r>
        <w:rPr>
          <w:rFonts w:hint="eastAsia" w:ascii="仿宋" w:hAnsi="仿宋" w:eastAsia="仿宋" w:cs="仿宋"/>
          <w:b/>
          <w:bCs/>
          <w:sz w:val="28"/>
          <w:szCs w:val="28"/>
          <w:lang w:eastAsia="zh-CN"/>
        </w:rPr>
        <w:t>。</w:t>
      </w:r>
      <w:r>
        <w:rPr>
          <w:rFonts w:hint="eastAsia" w:ascii="仿宋" w:hAnsi="仿宋" w:eastAsia="仿宋" w:cs="仿宋"/>
          <w:sz w:val="28"/>
          <w:szCs w:val="28"/>
        </w:rPr>
        <w:t>2021～202</w:t>
      </w:r>
      <w:r>
        <w:rPr>
          <w:rFonts w:hint="eastAsia" w:ascii="仿宋" w:hAnsi="仿宋" w:eastAsia="仿宋" w:cs="仿宋"/>
          <w:sz w:val="28"/>
          <w:szCs w:val="28"/>
          <w:lang w:val="en-US" w:eastAsia="zh-CN"/>
        </w:rPr>
        <w:t>5</w:t>
      </w:r>
      <w:r>
        <w:rPr>
          <w:rFonts w:hint="eastAsia" w:ascii="仿宋" w:hAnsi="仿宋" w:eastAsia="仿宋" w:cs="仿宋"/>
          <w:sz w:val="28"/>
          <w:szCs w:val="28"/>
        </w:rPr>
        <w:t>年，对辖区内的新建矿山要按照绿色矿山标准要求进行规划、设计、建设和运营管理；生产矿山应及时编制绿色矿山建设实施方案，加快改造升级进程，按要求逐步推进绿色矿山建设，达标通过评审，进入绿色矿山名录（专栏1</w:t>
      </w:r>
      <w:r>
        <w:rPr>
          <w:rFonts w:hint="eastAsia" w:ascii="仿宋" w:hAnsi="仿宋" w:eastAsia="仿宋" w:cs="仿宋"/>
          <w:sz w:val="28"/>
          <w:szCs w:val="28"/>
          <w:lang w:val="en-US" w:eastAsia="zh-CN"/>
        </w:rPr>
        <w:t>8</w:t>
      </w:r>
      <w:r>
        <w:rPr>
          <w:rFonts w:hint="eastAsia" w:ascii="仿宋" w:hAnsi="仿宋" w:eastAsia="仿宋" w:cs="仿宋"/>
          <w:sz w:val="28"/>
          <w:szCs w:val="28"/>
        </w:rPr>
        <w:t>）。</w:t>
      </w:r>
    </w:p>
    <w:tbl>
      <w:tblPr>
        <w:tblStyle w:val="16"/>
        <w:tblW w:w="8336" w:type="dxa"/>
        <w:tblInd w:w="0" w:type="dxa"/>
        <w:tblLayout w:type="fixed"/>
        <w:tblCellMar>
          <w:top w:w="15" w:type="dxa"/>
          <w:left w:w="15" w:type="dxa"/>
          <w:bottom w:w="0" w:type="dxa"/>
          <w:right w:w="15" w:type="dxa"/>
        </w:tblCellMar>
      </w:tblPr>
      <w:tblGrid>
        <w:gridCol w:w="683"/>
        <w:gridCol w:w="3344"/>
        <w:gridCol w:w="1074"/>
        <w:gridCol w:w="1339"/>
        <w:gridCol w:w="1074"/>
        <w:gridCol w:w="822"/>
      </w:tblGrid>
      <w:tr>
        <w:tblPrEx>
          <w:tblCellMar>
            <w:top w:w="15" w:type="dxa"/>
            <w:left w:w="15" w:type="dxa"/>
            <w:bottom w:w="0" w:type="dxa"/>
            <w:right w:w="15" w:type="dxa"/>
          </w:tblCellMar>
        </w:tblPrEx>
        <w:trPr>
          <w:trHeight w:val="340" w:hRule="atLeast"/>
          <w:tblHeader/>
        </w:trPr>
        <w:tc>
          <w:tcPr>
            <w:tcW w:w="8336" w:type="dxa"/>
            <w:gridSpan w:val="6"/>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
                <w:color w:val="000000"/>
                <w:szCs w:val="21"/>
              </w:rPr>
              <w:t>专栏1</w:t>
            </w:r>
            <w:r>
              <w:rPr>
                <w:rFonts w:hint="eastAsia" w:ascii="仿宋" w:hAnsi="仿宋" w:eastAsia="仿宋" w:cs="仿宋"/>
                <w:b/>
                <w:color w:val="000000"/>
                <w:szCs w:val="21"/>
                <w:lang w:val="en-US" w:eastAsia="zh-CN"/>
              </w:rPr>
              <w:t>8</w:t>
            </w:r>
            <w:r>
              <w:rPr>
                <w:rFonts w:hint="eastAsia" w:ascii="仿宋" w:hAnsi="仿宋" w:eastAsia="仿宋" w:cs="仿宋"/>
                <w:b/>
                <w:color w:val="000000"/>
                <w:szCs w:val="21"/>
              </w:rPr>
              <w:t xml:space="preserve">  “十四五”</w:t>
            </w:r>
            <w:r>
              <w:rPr>
                <w:rFonts w:hint="eastAsia" w:ascii="仿宋" w:hAnsi="仿宋" w:eastAsia="仿宋" w:cs="仿宋"/>
                <w:b/>
                <w:color w:val="000000"/>
                <w:szCs w:val="21"/>
                <w:lang w:val="en-US" w:eastAsia="zh-CN"/>
              </w:rPr>
              <w:t>沙湾市</w:t>
            </w:r>
            <w:r>
              <w:rPr>
                <w:rFonts w:hint="eastAsia" w:ascii="仿宋" w:hAnsi="仿宋" w:eastAsia="仿宋" w:cs="仿宋"/>
                <w:b/>
                <w:color w:val="000000"/>
                <w:szCs w:val="21"/>
              </w:rPr>
              <w:t>绿色矿山建设</w:t>
            </w:r>
          </w:p>
        </w:tc>
      </w:tr>
      <w:tr>
        <w:tblPrEx>
          <w:tblCellMar>
            <w:top w:w="15" w:type="dxa"/>
            <w:left w:w="15" w:type="dxa"/>
            <w:bottom w:w="0" w:type="dxa"/>
            <w:right w:w="15" w:type="dxa"/>
          </w:tblCellMar>
        </w:tblPrEx>
        <w:trPr>
          <w:trHeight w:val="340" w:hRule="atLeast"/>
          <w:tblHeader/>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color w:val="000000"/>
                <w:kern w:val="0"/>
                <w:szCs w:val="21"/>
                <w:lang w:bidi="ar"/>
              </w:rPr>
              <w:t>序号</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color w:val="000000"/>
                <w:kern w:val="0"/>
                <w:szCs w:val="21"/>
                <w:lang w:bidi="ar"/>
              </w:rPr>
              <w:t>矿山名称</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color w:val="000000"/>
                <w:kern w:val="0"/>
                <w:szCs w:val="21"/>
                <w:lang w:bidi="ar"/>
              </w:rPr>
              <w:t>矿种</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color w:val="000000"/>
                <w:kern w:val="0"/>
                <w:szCs w:val="21"/>
                <w:lang w:bidi="ar"/>
              </w:rPr>
              <w:t>进度安排</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color w:val="000000"/>
                <w:kern w:val="0"/>
                <w:szCs w:val="21"/>
                <w:lang w:bidi="ar"/>
              </w:rPr>
              <w:t>指标属性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color w:val="000000"/>
                <w:kern w:val="0"/>
                <w:szCs w:val="21"/>
                <w:lang w:bidi="ar"/>
              </w:rPr>
              <w:t>备注</w:t>
            </w:r>
          </w:p>
        </w:tc>
      </w:tr>
      <w:tr>
        <w:tblPrEx>
          <w:tblCellMar>
            <w:top w:w="15" w:type="dxa"/>
            <w:left w:w="15" w:type="dxa"/>
            <w:bottom w:w="0" w:type="dxa"/>
            <w:right w:w="15" w:type="dxa"/>
          </w:tblCellMar>
        </w:tblPrEx>
        <w:trPr>
          <w:trHeight w:val="340" w:hRule="atLeast"/>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auto"/>
                <w:szCs w:val="21"/>
              </w:rPr>
            </w:pPr>
            <w:r>
              <w:rPr>
                <w:rFonts w:hint="eastAsia" w:ascii="仿宋" w:hAnsi="仿宋" w:eastAsia="仿宋" w:cs="仿宋"/>
                <w:bCs/>
                <w:color w:val="auto"/>
                <w:kern w:val="0"/>
                <w:szCs w:val="21"/>
                <w:lang w:bidi="ar"/>
              </w:rPr>
              <w:t>1</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auto"/>
                <w:szCs w:val="21"/>
              </w:rPr>
            </w:pPr>
            <w:r>
              <w:rPr>
                <w:rFonts w:hint="eastAsia" w:ascii="仿宋" w:hAnsi="仿宋" w:eastAsia="仿宋" w:cs="仿宋"/>
                <w:color w:val="auto"/>
                <w:szCs w:val="21"/>
              </w:rPr>
              <w:t>沙湾县宝英煤炭有限责任公司煤矿</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color w:val="auto"/>
                <w:szCs w:val="21"/>
              </w:rPr>
            </w:pPr>
            <w:r>
              <w:rPr>
                <w:rFonts w:hint="eastAsia" w:ascii="仿宋" w:hAnsi="仿宋" w:eastAsia="仿宋" w:cs="仿宋"/>
                <w:color w:val="auto"/>
                <w:szCs w:val="21"/>
              </w:rPr>
              <w:t>煤</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bidi="ar"/>
              </w:rPr>
              <w:t>202</w:t>
            </w:r>
            <w:r>
              <w:rPr>
                <w:rFonts w:hint="eastAsia" w:ascii="仿宋" w:hAnsi="仿宋" w:eastAsia="仿宋" w:cs="仿宋"/>
                <w:bCs/>
                <w:color w:val="000000"/>
                <w:kern w:val="0"/>
                <w:szCs w:val="21"/>
                <w:lang w:val="en-US" w:eastAsia="zh-CN" w:bidi="ar"/>
              </w:rPr>
              <w:t>4</w:t>
            </w:r>
            <w:r>
              <w:rPr>
                <w:rFonts w:hint="eastAsia" w:ascii="仿宋" w:hAnsi="仿宋" w:eastAsia="仿宋" w:cs="仿宋"/>
                <w:bCs/>
                <w:color w:val="000000"/>
                <w:kern w:val="0"/>
                <w:szCs w:val="21"/>
                <w:lang w:bidi="ar"/>
              </w:rPr>
              <w:t>年</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bidi="ar"/>
              </w:rPr>
              <w:t>预期性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val="en-US" w:eastAsia="zh-CN" w:bidi="ar"/>
              </w:rPr>
              <w:t>小</w:t>
            </w:r>
            <w:r>
              <w:rPr>
                <w:rFonts w:hint="eastAsia" w:ascii="仿宋" w:hAnsi="仿宋" w:eastAsia="仿宋" w:cs="仿宋"/>
                <w:bCs/>
                <w:color w:val="000000"/>
                <w:kern w:val="0"/>
                <w:szCs w:val="21"/>
                <w:lang w:bidi="ar"/>
              </w:rPr>
              <w:t>型</w:t>
            </w:r>
          </w:p>
        </w:tc>
      </w:tr>
      <w:tr>
        <w:tblPrEx>
          <w:tblCellMar>
            <w:top w:w="15" w:type="dxa"/>
            <w:left w:w="15" w:type="dxa"/>
            <w:bottom w:w="0" w:type="dxa"/>
            <w:right w:w="15" w:type="dxa"/>
          </w:tblCellMar>
        </w:tblPrEx>
        <w:trPr>
          <w:trHeight w:val="340" w:hRule="atLeast"/>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bidi="ar"/>
              </w:rPr>
              <w:t>2</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szCs w:val="21"/>
                <w:lang w:val="en-US" w:eastAsia="zh-CN"/>
              </w:rPr>
            </w:pPr>
            <w:r>
              <w:rPr>
                <w:rFonts w:hint="eastAsia" w:ascii="仿宋" w:hAnsi="仿宋" w:eastAsia="仿宋" w:cs="仿宋"/>
                <w:szCs w:val="21"/>
              </w:rPr>
              <w:t>沙湾县宏业煤炭有限责任公司榆树沟煤矿</w:t>
            </w:r>
            <w:r>
              <w:rPr>
                <w:rFonts w:hint="eastAsia" w:ascii="仿宋" w:hAnsi="仿宋" w:eastAsia="仿宋" w:cs="仿宋"/>
                <w:szCs w:val="21"/>
                <w:lang w:eastAsia="zh-CN"/>
              </w:rPr>
              <w:t>、</w:t>
            </w:r>
            <w:r>
              <w:rPr>
                <w:rFonts w:hint="eastAsia" w:ascii="仿宋" w:hAnsi="仿宋" w:eastAsia="仿宋" w:cs="仿宋"/>
                <w:szCs w:val="21"/>
                <w:lang w:val="en-US" w:eastAsia="zh-CN"/>
              </w:rPr>
              <w:t>沙湾煤矿</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szCs w:val="21"/>
              </w:rPr>
              <w:t>煤</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bidi="ar"/>
              </w:rPr>
              <w:t>202</w:t>
            </w:r>
            <w:r>
              <w:rPr>
                <w:rFonts w:hint="eastAsia" w:ascii="仿宋" w:hAnsi="仿宋" w:eastAsia="仿宋" w:cs="仿宋"/>
                <w:bCs/>
                <w:color w:val="000000"/>
                <w:kern w:val="0"/>
                <w:szCs w:val="21"/>
                <w:lang w:val="en-US" w:eastAsia="zh-CN" w:bidi="ar"/>
              </w:rPr>
              <w:t>4</w:t>
            </w:r>
            <w:r>
              <w:rPr>
                <w:rFonts w:hint="eastAsia" w:ascii="仿宋" w:hAnsi="仿宋" w:eastAsia="仿宋" w:cs="仿宋"/>
                <w:bCs/>
                <w:color w:val="000000"/>
                <w:kern w:val="0"/>
                <w:szCs w:val="21"/>
                <w:lang w:bidi="ar"/>
              </w:rPr>
              <w:t>年</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bidi="ar"/>
              </w:rPr>
              <w:t>预期性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val="en-US" w:eastAsia="zh-CN" w:bidi="ar"/>
              </w:rPr>
              <w:t>小</w:t>
            </w:r>
            <w:r>
              <w:rPr>
                <w:rFonts w:hint="eastAsia" w:ascii="仿宋" w:hAnsi="仿宋" w:eastAsia="仿宋" w:cs="仿宋"/>
                <w:bCs/>
                <w:color w:val="000000"/>
                <w:kern w:val="0"/>
                <w:szCs w:val="21"/>
                <w:lang w:bidi="ar"/>
              </w:rPr>
              <w:t>型</w:t>
            </w:r>
          </w:p>
        </w:tc>
      </w:tr>
      <w:tr>
        <w:tblPrEx>
          <w:tblCellMar>
            <w:top w:w="15" w:type="dxa"/>
            <w:left w:w="15" w:type="dxa"/>
            <w:bottom w:w="0" w:type="dxa"/>
            <w:right w:w="15" w:type="dxa"/>
          </w:tblCellMar>
        </w:tblPrEx>
        <w:trPr>
          <w:trHeight w:val="340" w:hRule="atLeast"/>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bidi="ar"/>
              </w:rPr>
              <w:t>3</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szCs w:val="21"/>
                <w:lang w:val="en-US" w:eastAsia="zh-CN"/>
              </w:rPr>
            </w:pPr>
            <w:r>
              <w:rPr>
                <w:rFonts w:hint="eastAsia" w:ascii="仿宋" w:hAnsi="仿宋" w:eastAsia="仿宋" w:cs="仿宋"/>
                <w:szCs w:val="21"/>
                <w:lang w:val="en-US" w:eastAsia="zh-CN"/>
              </w:rPr>
              <w:t>新疆沙湾县恒源煤炭有限责任公司煤炭</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szCs w:val="21"/>
              </w:rPr>
              <w:t>煤</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bidi="ar"/>
              </w:rPr>
              <w:t>202</w:t>
            </w:r>
            <w:r>
              <w:rPr>
                <w:rFonts w:hint="eastAsia" w:ascii="仿宋" w:hAnsi="仿宋" w:eastAsia="仿宋" w:cs="仿宋"/>
                <w:bCs/>
                <w:color w:val="000000"/>
                <w:kern w:val="0"/>
                <w:szCs w:val="21"/>
                <w:lang w:val="en-US" w:eastAsia="zh-CN" w:bidi="ar"/>
              </w:rPr>
              <w:t>5</w:t>
            </w:r>
            <w:r>
              <w:rPr>
                <w:rFonts w:hint="eastAsia" w:ascii="仿宋" w:hAnsi="仿宋" w:eastAsia="仿宋" w:cs="仿宋"/>
                <w:bCs/>
                <w:color w:val="000000"/>
                <w:kern w:val="0"/>
                <w:szCs w:val="21"/>
                <w:lang w:bidi="ar"/>
              </w:rPr>
              <w:t>年</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bidi="ar"/>
              </w:rPr>
              <w:t>预期性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szCs w:val="21"/>
              </w:rPr>
            </w:pPr>
            <w:r>
              <w:rPr>
                <w:rFonts w:hint="eastAsia" w:ascii="仿宋" w:hAnsi="仿宋" w:eastAsia="仿宋" w:cs="仿宋"/>
                <w:bCs/>
                <w:color w:val="000000"/>
                <w:kern w:val="0"/>
                <w:szCs w:val="21"/>
                <w:lang w:val="en-US" w:eastAsia="zh-CN" w:bidi="ar"/>
              </w:rPr>
              <w:t>中</w:t>
            </w:r>
            <w:r>
              <w:rPr>
                <w:rFonts w:hint="eastAsia" w:ascii="仿宋" w:hAnsi="仿宋" w:eastAsia="仿宋" w:cs="仿宋"/>
                <w:bCs/>
                <w:color w:val="000000"/>
                <w:kern w:val="0"/>
                <w:szCs w:val="21"/>
                <w:lang w:bidi="ar"/>
              </w:rPr>
              <w:t>型</w:t>
            </w:r>
          </w:p>
        </w:tc>
      </w:tr>
      <w:tr>
        <w:tblPrEx>
          <w:tblCellMar>
            <w:top w:w="15" w:type="dxa"/>
            <w:left w:w="15" w:type="dxa"/>
            <w:bottom w:w="0" w:type="dxa"/>
            <w:right w:w="15" w:type="dxa"/>
          </w:tblCellMar>
        </w:tblPrEx>
        <w:trPr>
          <w:trHeight w:val="340" w:hRule="atLeast"/>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4</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val="en-US" w:eastAsia="zh-CN" w:bidi="ar"/>
              </w:rPr>
              <w:t>沙湾天山水泥有限责任公司柳树沟石灰岩矿</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石灰岩</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2025年</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bidi="ar"/>
              </w:rPr>
              <w:t>预期性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小</w:t>
            </w:r>
            <w:r>
              <w:rPr>
                <w:rFonts w:hint="eastAsia" w:ascii="仿宋" w:hAnsi="仿宋" w:eastAsia="仿宋" w:cs="仿宋"/>
                <w:bCs/>
                <w:color w:val="000000"/>
                <w:kern w:val="0"/>
                <w:szCs w:val="21"/>
                <w:lang w:bidi="ar"/>
              </w:rPr>
              <w:t>型</w:t>
            </w:r>
          </w:p>
        </w:tc>
      </w:tr>
      <w:tr>
        <w:tblPrEx>
          <w:tblCellMar>
            <w:top w:w="15" w:type="dxa"/>
            <w:left w:w="15" w:type="dxa"/>
            <w:bottom w:w="0" w:type="dxa"/>
            <w:right w:w="15" w:type="dxa"/>
          </w:tblCellMar>
        </w:tblPrEx>
        <w:trPr>
          <w:trHeight w:val="340" w:hRule="atLeast"/>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bCs/>
                <w:color w:val="000000"/>
                <w:kern w:val="0"/>
                <w:szCs w:val="21"/>
                <w:lang w:val="en-US" w:eastAsia="zh-CN" w:bidi="ar"/>
              </w:rPr>
            </w:pPr>
            <w:bookmarkStart w:id="144" w:name="_Toc89547573"/>
            <w:r>
              <w:rPr>
                <w:rFonts w:hint="eastAsia" w:ascii="仿宋" w:hAnsi="仿宋" w:eastAsia="仿宋" w:cs="仿宋"/>
                <w:bCs/>
                <w:color w:val="000000"/>
                <w:kern w:val="0"/>
                <w:szCs w:val="21"/>
                <w:lang w:val="en-US" w:eastAsia="zh-CN" w:bidi="ar"/>
              </w:rPr>
              <w:t>5</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沙湾县鑫泉煤炭有限责任公司煤矿</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szCs w:val="21"/>
              </w:rPr>
              <w:t>煤</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bidi="ar"/>
              </w:rPr>
              <w:t>202</w:t>
            </w:r>
            <w:r>
              <w:rPr>
                <w:rFonts w:hint="eastAsia" w:ascii="仿宋" w:hAnsi="仿宋" w:eastAsia="仿宋" w:cs="仿宋"/>
                <w:bCs/>
                <w:color w:val="000000"/>
                <w:kern w:val="0"/>
                <w:szCs w:val="21"/>
                <w:lang w:val="en-US" w:eastAsia="zh-CN" w:bidi="ar"/>
              </w:rPr>
              <w:t>5</w:t>
            </w:r>
            <w:r>
              <w:rPr>
                <w:rFonts w:hint="eastAsia" w:ascii="仿宋" w:hAnsi="仿宋" w:eastAsia="仿宋" w:cs="仿宋"/>
                <w:bCs/>
                <w:color w:val="000000"/>
                <w:kern w:val="0"/>
                <w:szCs w:val="21"/>
                <w:lang w:bidi="ar"/>
              </w:rPr>
              <w:t>年</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bidi="ar"/>
              </w:rPr>
              <w:t>预期性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小</w:t>
            </w:r>
            <w:r>
              <w:rPr>
                <w:rFonts w:hint="eastAsia" w:ascii="仿宋" w:hAnsi="仿宋" w:eastAsia="仿宋" w:cs="仿宋"/>
                <w:bCs/>
                <w:color w:val="000000"/>
                <w:kern w:val="0"/>
                <w:szCs w:val="21"/>
                <w:lang w:bidi="ar"/>
              </w:rPr>
              <w:t>型</w:t>
            </w:r>
          </w:p>
        </w:tc>
      </w:tr>
      <w:tr>
        <w:tblPrEx>
          <w:tblCellMar>
            <w:top w:w="15" w:type="dxa"/>
            <w:left w:w="15" w:type="dxa"/>
            <w:bottom w:w="0" w:type="dxa"/>
            <w:right w:w="15" w:type="dxa"/>
          </w:tblCellMar>
        </w:tblPrEx>
        <w:trPr>
          <w:trHeight w:val="340" w:hRule="atLeast"/>
        </w:trPr>
        <w:tc>
          <w:tcPr>
            <w:tcW w:w="6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6</w:t>
            </w:r>
          </w:p>
        </w:tc>
        <w:tc>
          <w:tcPr>
            <w:tcW w:w="334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沙湾县东升煤矿有限责任公司煤矿</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szCs w:val="21"/>
              </w:rPr>
              <w:t>煤</w:t>
            </w:r>
          </w:p>
        </w:tc>
        <w:tc>
          <w:tcPr>
            <w:tcW w:w="1339"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bidi="ar"/>
              </w:rPr>
              <w:t>202</w:t>
            </w:r>
            <w:r>
              <w:rPr>
                <w:rFonts w:hint="eastAsia" w:ascii="仿宋" w:hAnsi="仿宋" w:eastAsia="仿宋" w:cs="仿宋"/>
                <w:bCs/>
                <w:color w:val="000000"/>
                <w:kern w:val="0"/>
                <w:szCs w:val="21"/>
                <w:lang w:val="en-US" w:eastAsia="zh-CN" w:bidi="ar"/>
              </w:rPr>
              <w:t>5</w:t>
            </w:r>
            <w:r>
              <w:rPr>
                <w:rFonts w:hint="eastAsia" w:ascii="仿宋" w:hAnsi="仿宋" w:eastAsia="仿宋" w:cs="仿宋"/>
                <w:bCs/>
                <w:color w:val="000000"/>
                <w:kern w:val="0"/>
                <w:szCs w:val="21"/>
                <w:lang w:bidi="ar"/>
              </w:rPr>
              <w:t>年</w:t>
            </w:r>
          </w:p>
        </w:tc>
        <w:tc>
          <w:tcPr>
            <w:tcW w:w="1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bidi="ar"/>
              </w:rPr>
            </w:pPr>
            <w:r>
              <w:rPr>
                <w:rFonts w:hint="eastAsia" w:ascii="仿宋" w:hAnsi="仿宋" w:eastAsia="仿宋" w:cs="仿宋"/>
                <w:bCs/>
                <w:color w:val="000000"/>
                <w:kern w:val="0"/>
                <w:szCs w:val="21"/>
                <w:lang w:bidi="ar"/>
              </w:rPr>
              <w:t>预期性</w:t>
            </w:r>
          </w:p>
        </w:tc>
        <w:tc>
          <w:tcPr>
            <w:tcW w:w="82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 w:hAnsi="仿宋" w:eastAsia="仿宋" w:cs="仿宋"/>
                <w:bCs/>
                <w:color w:val="000000"/>
                <w:kern w:val="0"/>
                <w:szCs w:val="21"/>
                <w:lang w:val="en-US" w:eastAsia="zh-CN" w:bidi="ar"/>
              </w:rPr>
            </w:pPr>
            <w:r>
              <w:rPr>
                <w:rFonts w:hint="eastAsia" w:ascii="仿宋" w:hAnsi="仿宋" w:eastAsia="仿宋" w:cs="仿宋"/>
                <w:bCs/>
                <w:color w:val="000000"/>
                <w:kern w:val="0"/>
                <w:szCs w:val="21"/>
                <w:lang w:val="en-US" w:eastAsia="zh-CN" w:bidi="ar"/>
              </w:rPr>
              <w:t>小</w:t>
            </w:r>
            <w:r>
              <w:rPr>
                <w:rFonts w:hint="eastAsia" w:ascii="仿宋" w:hAnsi="仿宋" w:eastAsia="仿宋" w:cs="仿宋"/>
                <w:bCs/>
                <w:color w:val="000000"/>
                <w:kern w:val="0"/>
                <w:szCs w:val="21"/>
                <w:lang w:bidi="ar"/>
              </w:rPr>
              <w:t>型</w:t>
            </w:r>
          </w:p>
        </w:tc>
      </w:tr>
    </w:tbl>
    <w:p>
      <w:pPr>
        <w:pageBreakBefore w:val="0"/>
        <w:widowControl w:val="0"/>
        <w:tabs>
          <w:tab w:val="left" w:pos="0"/>
        </w:tabs>
        <w:kinsoku/>
        <w:wordWrap/>
        <w:overflowPunct/>
        <w:topLinePunct w:val="0"/>
        <w:autoSpaceDE/>
        <w:autoSpaceDN/>
        <w:bidi w:val="0"/>
        <w:adjustRightInd/>
        <w:snapToGrid/>
        <w:spacing w:before="0" w:after="0" w:line="500" w:lineRule="exact"/>
        <w:ind w:firstLine="562" w:firstLineChars="200"/>
        <w:textAlignment w:val="auto"/>
        <w:outlineLvl w:val="9"/>
        <w:rPr>
          <w:rFonts w:hint="eastAsia" w:ascii="仿宋" w:hAnsi="仿宋" w:eastAsia="仿宋" w:cs="仿宋"/>
          <w:b w:val="0"/>
          <w:bCs/>
          <w:sz w:val="28"/>
          <w:szCs w:val="28"/>
        </w:rPr>
      </w:pPr>
      <w:r>
        <w:rPr>
          <w:rFonts w:hint="eastAsia" w:ascii="仿宋" w:hAnsi="仿宋" w:eastAsia="仿宋" w:cs="仿宋"/>
          <w:b/>
          <w:bCs/>
          <w:sz w:val="28"/>
          <w:szCs w:val="28"/>
        </w:rPr>
        <w:t>绿色矿山建设支持政策和管理措施</w:t>
      </w:r>
      <w:bookmarkEnd w:id="144"/>
      <w:r>
        <w:rPr>
          <w:rFonts w:hint="eastAsia" w:ascii="仿宋" w:hAnsi="仿宋" w:eastAsia="仿宋" w:cs="仿宋"/>
          <w:b/>
          <w:bCs/>
          <w:sz w:val="28"/>
          <w:szCs w:val="28"/>
          <w:lang w:eastAsia="zh-CN"/>
        </w:rPr>
        <w:t>。</w:t>
      </w:r>
      <w:r>
        <w:rPr>
          <w:rFonts w:hint="eastAsia" w:ascii="仿宋" w:hAnsi="仿宋" w:eastAsia="仿宋" w:cs="仿宋"/>
          <w:b w:val="0"/>
          <w:bCs/>
          <w:sz w:val="28"/>
          <w:szCs w:val="28"/>
        </w:rPr>
        <w:t>实行绿色矿山建设激励政策，对于按照绿色矿山标准规划和设计建设的矿山企业，优先配置资源和保障矿山用地。对达到绿色矿山标准的矿山企业，落实有利于绿色矿山建设的激励制度，建立矿山企业资源消耗和自我约束机制，逐步形成与法律制度相衔接的、向绿色矿山企业倾斜的政策体系。绿色矿山企业应主动接受社会监督，建立重大环境、健康、安全和社会风险事件申诉—回应机制，及时受理并回应所在地民众、社会团体和其他利益相关者的诉求。自治区自然资源、财政、生态环境等有关部门按照“双随机、一公开”的要求，不定期对纳入绿色矿山名录的矿山进行抽查，市自然资源局做好日常监督管理。对不符合绿色矿山建设要求和相关标准的，从名录中除名，公开曝光，不得享受矿产资源、土地、财政等各类支持政策；对未履行采矿权出让合同中绿色矿山建设任务的，市自然资源局按规定及时追究相关违约责任。</w:t>
      </w:r>
    </w:p>
    <w:bookmarkEnd w:id="128"/>
    <w:bookmarkEnd w:id="129"/>
    <w:bookmarkEnd w:id="130"/>
    <w:bookmarkEnd w:id="131"/>
    <w:p>
      <w:pPr>
        <w:pageBreakBefore w:val="0"/>
        <w:widowControl w:val="0"/>
        <w:kinsoku/>
        <w:wordWrap/>
        <w:overflowPunct/>
        <w:topLinePunct w:val="0"/>
        <w:bidi w:val="0"/>
        <w:adjustRightInd/>
        <w:snapToGrid/>
        <w:spacing w:line="500" w:lineRule="exact"/>
        <w:ind w:firstLine="562" w:firstLineChars="200"/>
        <w:jc w:val="both"/>
        <w:textAlignment w:val="auto"/>
        <w:outlineLvl w:val="1"/>
        <w:rPr>
          <w:rFonts w:hint="eastAsia" w:ascii="仿宋" w:hAnsi="仿宋" w:eastAsia="仿宋" w:cs="仿宋"/>
          <w:b w:val="0"/>
          <w:bCs w:val="0"/>
          <w:sz w:val="28"/>
          <w:szCs w:val="28"/>
          <w:lang w:val="en-US" w:eastAsia="zh-CN"/>
        </w:rPr>
      </w:pPr>
      <w:bookmarkStart w:id="145" w:name="_Toc11599"/>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lang w:eastAsia="zh-CN"/>
        </w:rPr>
        <w:t>）</w:t>
      </w:r>
      <w:bookmarkEnd w:id="132"/>
      <w:bookmarkEnd w:id="133"/>
      <w:bookmarkEnd w:id="134"/>
      <w:bookmarkEnd w:id="135"/>
      <w:bookmarkEnd w:id="136"/>
      <w:bookmarkEnd w:id="137"/>
      <w:bookmarkEnd w:id="138"/>
      <w:r>
        <w:rPr>
          <w:rFonts w:hint="eastAsia" w:ascii="仿宋" w:hAnsi="仿宋" w:eastAsia="仿宋" w:cs="仿宋"/>
          <w:b/>
          <w:bCs/>
          <w:color w:val="auto"/>
          <w:sz w:val="28"/>
          <w:szCs w:val="28"/>
          <w:lang w:val="en-US" w:eastAsia="zh-CN"/>
        </w:rPr>
        <w:t>矿区生态保护修复</w:t>
      </w:r>
      <w:bookmarkEnd w:id="145"/>
    </w:p>
    <w:p>
      <w:pPr>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严格执行相关法律法规，依据“谁开发、谁保护，谁污染、谁治理，谁破坏、谁恢复”的原则，压实矿山企业地质环境保护和土地复垦责任义务，落实“双随机、一公开”制度，完善源头管理与事中、事后过程监管，将矿区生态保护修复贯穿于矿产资源勘查、建矿、开发利用直至闭坑全过程。</w:t>
      </w:r>
    </w:p>
    <w:p>
      <w:pPr>
        <w:pageBreakBefore w:val="0"/>
        <w:widowControl w:val="0"/>
        <w:kinsoku/>
        <w:wordWrap/>
        <w:overflowPunct/>
        <w:topLinePunct w:val="0"/>
        <w:autoSpaceDE w:val="0"/>
        <w:autoSpaceDN w:val="0"/>
        <w:bidi w:val="0"/>
        <w:adjustRightInd/>
        <w:snapToGrid/>
        <w:spacing w:line="500" w:lineRule="exact"/>
        <w:ind w:firstLine="562" w:firstLineChars="200"/>
        <w:textAlignment w:val="auto"/>
        <w:outlineLvl w:val="9"/>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新建矿山生态保护准入要求。</w:t>
      </w:r>
      <w:r>
        <w:rPr>
          <w:rFonts w:hint="eastAsia" w:ascii="仿宋" w:hAnsi="仿宋" w:eastAsia="仿宋" w:cs="仿宋"/>
          <w:color w:val="000000"/>
          <w:sz w:val="28"/>
          <w:szCs w:val="28"/>
        </w:rPr>
        <w:t>严格控制矿山准入条件，禁止在各类禁采区内建设矿山。</w:t>
      </w:r>
      <w:r>
        <w:rPr>
          <w:rFonts w:hint="eastAsia" w:ascii="仿宋" w:hAnsi="仿宋" w:eastAsia="仿宋" w:cs="仿宋"/>
          <w:color w:val="333333"/>
          <w:sz w:val="28"/>
          <w:szCs w:val="28"/>
        </w:rPr>
        <w:t>新建矿山必须提交拟建矿山环境影响评价报告书和地质环境影响评价报告及保护方案，在不能采取有效的脱硫措施的情况下，禁止新建含硫大于3%的煤矿；限制改建、新建含硫大于1.5%的煤矿。采矿权人在领取采矿许可证的同时需与矿政主管部门签订矿山地质环境治理责任书，并分期缴纳不得低于治理费用的备用金</w:t>
      </w:r>
      <w:r>
        <w:rPr>
          <w:rFonts w:hint="eastAsia" w:ascii="仿宋" w:hAnsi="仿宋" w:eastAsia="仿宋" w:cs="仿宋"/>
          <w:color w:val="333333"/>
          <w:sz w:val="28"/>
          <w:szCs w:val="28"/>
          <w:lang w:val="en-US" w:eastAsia="zh-CN"/>
        </w:rPr>
        <w:t>。</w:t>
      </w:r>
      <w:r>
        <w:rPr>
          <w:rFonts w:hint="eastAsia" w:ascii="仿宋" w:hAnsi="仿宋" w:eastAsia="仿宋" w:cs="仿宋"/>
          <w:color w:val="333333"/>
          <w:sz w:val="28"/>
          <w:szCs w:val="28"/>
        </w:rPr>
        <w:t>矿山企业须有专人监测矿山环境</w:t>
      </w:r>
      <w:r>
        <w:rPr>
          <w:rFonts w:hint="eastAsia" w:ascii="仿宋" w:hAnsi="仿宋" w:eastAsia="仿宋" w:cs="仿宋"/>
          <w:color w:val="333333"/>
          <w:sz w:val="28"/>
          <w:szCs w:val="28"/>
          <w:lang w:eastAsia="zh-CN"/>
        </w:rPr>
        <w:t>。</w:t>
      </w:r>
    </w:p>
    <w:p>
      <w:pPr>
        <w:pageBreakBefore w:val="0"/>
        <w:widowControl w:val="0"/>
        <w:kinsoku/>
        <w:wordWrap/>
        <w:overflowPunct/>
        <w:topLinePunct w:val="0"/>
        <w:bidi w:val="0"/>
        <w:adjustRightInd/>
        <w:snapToGrid/>
        <w:spacing w:line="500" w:lineRule="exact"/>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生产矿山责任机制、政策支持及管理措施。</w:t>
      </w:r>
    </w:p>
    <w:p>
      <w:pPr>
        <w:pageBreakBefore w:val="0"/>
        <w:widowControl w:val="0"/>
        <w:kinsoku/>
        <w:wordWrap/>
        <w:overflowPunct/>
        <w:topLinePunct w:val="0"/>
        <w:bidi w:val="0"/>
        <w:adjustRightInd/>
        <w:snapToGrid/>
        <w:spacing w:line="500" w:lineRule="exact"/>
        <w:ind w:firstLine="562" w:firstLineChars="200"/>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lang w:val="en-US" w:eastAsia="zh-CN"/>
        </w:rPr>
        <w:t>--责任机制。</w:t>
      </w:r>
      <w:r>
        <w:rPr>
          <w:rFonts w:hint="eastAsia" w:ascii="仿宋" w:hAnsi="仿宋" w:eastAsia="仿宋" w:cs="仿宋"/>
          <w:color w:val="000000"/>
          <w:sz w:val="28"/>
          <w:szCs w:val="28"/>
        </w:rPr>
        <w:t>生产矿山企业必须坚持“在保护中开发，开发中保护”的原则，对所造成的矿山地质环境问题应加大力度逐步治理，争取实现同步恢复。生产矿山依据矿产资源开发利用与生态保护修复方案，加快改造升级，依法履行环境保护、土地复垦、地质灾害防治等义务，逐步达到绿色矿山要求。在矿山闭坑前，矿业权人需依法对所造成的地质环境问题进行治理以及破坏的</w:t>
      </w:r>
      <w:r>
        <w:rPr>
          <w:rFonts w:hint="eastAsia" w:ascii="仿宋" w:hAnsi="仿宋" w:eastAsia="仿宋" w:cs="仿宋"/>
          <w:color w:val="000000"/>
          <w:sz w:val="28"/>
          <w:szCs w:val="28"/>
          <w:lang w:val="en-US" w:eastAsia="zh-CN"/>
        </w:rPr>
        <w:t>林地、草地</w:t>
      </w:r>
      <w:r>
        <w:rPr>
          <w:rFonts w:hint="eastAsia" w:ascii="仿宋" w:hAnsi="仿宋" w:eastAsia="仿宋" w:cs="仿宋"/>
          <w:color w:val="000000"/>
          <w:sz w:val="28"/>
          <w:szCs w:val="28"/>
        </w:rPr>
        <w:t>进行复垦，经自然资源主管部门组织专家验收合格后方可批准闭坑。</w:t>
      </w:r>
    </w:p>
    <w:p>
      <w:pPr>
        <w:keepNext w:val="0"/>
        <w:keepLines w:val="0"/>
        <w:pageBreakBefore w:val="0"/>
        <w:widowControl w:val="0"/>
        <w:kinsoku/>
        <w:wordWrap/>
        <w:overflowPunct/>
        <w:topLinePunct w:val="0"/>
        <w:autoSpaceDE w:val="0"/>
        <w:autoSpaceDN w:val="0"/>
        <w:bidi w:val="0"/>
        <w:adjustRightInd/>
        <w:snapToGrid/>
        <w:spacing w:line="500" w:lineRule="exact"/>
        <w:ind w:firstLine="560" w:firstLineChars="200"/>
        <w:textAlignment w:val="auto"/>
        <w:rPr>
          <w:rFonts w:hint="eastAsia" w:ascii="仿宋" w:hAnsi="仿宋" w:eastAsia="仿宋" w:cs="仿宋"/>
          <w:sz w:val="28"/>
          <w:szCs w:val="28"/>
          <w:lang w:val="zh-CN"/>
        </w:rPr>
      </w:pPr>
      <w:r>
        <w:rPr>
          <w:rFonts w:hint="eastAsia" w:ascii="仿宋" w:hAnsi="仿宋" w:eastAsia="仿宋" w:cs="仿宋"/>
          <w:sz w:val="28"/>
          <w:szCs w:val="28"/>
          <w:lang w:val="en-US" w:eastAsia="zh-CN"/>
        </w:rPr>
        <w:t>--</w:t>
      </w:r>
      <w:r>
        <w:rPr>
          <w:rFonts w:hint="eastAsia" w:ascii="仿宋" w:hAnsi="仿宋" w:eastAsia="仿宋" w:cs="仿宋"/>
          <w:b/>
          <w:bCs/>
          <w:sz w:val="28"/>
          <w:szCs w:val="28"/>
          <w:lang w:val="en-US" w:eastAsia="zh-CN"/>
        </w:rPr>
        <w:t>政策支持。</w:t>
      </w:r>
      <w:r>
        <w:rPr>
          <w:rFonts w:hint="eastAsia" w:ascii="仿宋" w:hAnsi="仿宋" w:eastAsia="仿宋" w:cs="仿宋"/>
          <w:b w:val="0"/>
          <w:bCs w:val="0"/>
          <w:sz w:val="28"/>
          <w:szCs w:val="28"/>
          <w:lang w:val="en-US" w:eastAsia="zh-CN"/>
        </w:rPr>
        <w:t>按照</w:t>
      </w:r>
      <w:r>
        <w:rPr>
          <w:rFonts w:hint="eastAsia" w:ascii="仿宋" w:hAnsi="仿宋" w:eastAsia="仿宋" w:cs="仿宋"/>
          <w:sz w:val="28"/>
          <w:szCs w:val="28"/>
          <w:lang w:val="zh-CN"/>
        </w:rPr>
        <w:t>“矿产资源开发与生态环境保护并重”的原则，以建设生态型矿业为目标，加强矿业开发全过程的监督管理，推动区内区内绿色和谐矿山建设，严格执行环境倒逼机制，推动产业转型升级，确保沙湾市矿业和谐发展。坚持“预防为主，防治结合”的方针，严格执行污染物达标排放制度和《矿山地质环境保护规定》等法律法规，改变矿山只破坏不治理的状况，严把新疆矿山地质环境保护与治理的准入条件，以科技为先导，促进矿业开发与生态环境保护协调发展。坚持“谁开发、谁保护；谁破坏、谁治理”的原则，明确开发主体的权益和责任，强化矿山企业生态建设和环境保护意识，达到资源开发与环境保护的良性循环。</w:t>
      </w:r>
    </w:p>
    <w:p>
      <w:pPr>
        <w:pageBreakBefore w:val="0"/>
        <w:widowControl w:val="0"/>
        <w:kinsoku/>
        <w:wordWrap/>
        <w:overflowPunct/>
        <w:topLinePunct w:val="0"/>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lang w:val="en-US" w:eastAsia="zh-CN"/>
        </w:rPr>
        <w:t>--管理措施。</w:t>
      </w:r>
      <w:r>
        <w:rPr>
          <w:rFonts w:hint="eastAsia" w:ascii="仿宋" w:hAnsi="仿宋" w:eastAsia="仿宋" w:cs="仿宋"/>
          <w:sz w:val="28"/>
          <w:szCs w:val="28"/>
          <w:lang w:eastAsia="zh-CN"/>
        </w:rPr>
        <w:t>沙湾市</w:t>
      </w:r>
      <w:r>
        <w:rPr>
          <w:rFonts w:hint="eastAsia" w:ascii="仿宋" w:hAnsi="仿宋" w:eastAsia="仿宋" w:cs="仿宋"/>
          <w:sz w:val="28"/>
          <w:szCs w:val="28"/>
          <w:lang w:val="en-US" w:eastAsia="zh-CN"/>
        </w:rPr>
        <w:t>自然</w:t>
      </w:r>
      <w:r>
        <w:rPr>
          <w:rFonts w:hint="eastAsia" w:ascii="仿宋" w:hAnsi="仿宋" w:eastAsia="仿宋" w:cs="仿宋"/>
          <w:sz w:val="28"/>
          <w:szCs w:val="28"/>
        </w:rPr>
        <w:t>资源行政主管部门加强对矿山地质环境保护与治理恢复的日常监管。健全规划监督检查制度，实行专项检查与经常性巡查相结合，采用卫星遥感等技术手段，实施“</w:t>
      </w:r>
      <w:r>
        <w:rPr>
          <w:rFonts w:hint="eastAsia" w:ascii="仿宋" w:hAnsi="仿宋" w:eastAsia="仿宋" w:cs="仿宋"/>
          <w:sz w:val="28"/>
          <w:szCs w:val="28"/>
          <w:lang w:eastAsia="zh-CN"/>
        </w:rPr>
        <w:t>自然资源</w:t>
      </w:r>
      <w:r>
        <w:rPr>
          <w:rFonts w:hint="eastAsia" w:ascii="仿宋" w:hAnsi="仿宋" w:eastAsia="仿宋" w:cs="仿宋"/>
          <w:sz w:val="28"/>
          <w:szCs w:val="28"/>
        </w:rPr>
        <w:t>一张图”监管，强化对重点矿山地质环境保护与治理恢复工程的监督管理。及时纠正违反规定的行为，必要时会同有关部门开展联合督查。针对正在生产的重点矿山，每年实施专项检查至少一次。</w:t>
      </w:r>
    </w:p>
    <w:p>
      <w:pPr>
        <w:keepNext/>
        <w:keepLines/>
        <w:pageBreakBefore w:val="0"/>
        <w:widowControl w:val="0"/>
        <w:kinsoku/>
        <w:wordWrap/>
        <w:overflowPunct/>
        <w:topLinePunct w:val="0"/>
        <w:autoSpaceDE/>
        <w:autoSpaceDN/>
        <w:bidi w:val="0"/>
        <w:adjustRightInd/>
        <w:snapToGrid/>
        <w:spacing w:before="0" w:after="0" w:line="500" w:lineRule="exact"/>
        <w:ind w:firstLine="562" w:firstLineChars="200"/>
        <w:textAlignment w:val="auto"/>
        <w:outlineLvl w:val="1"/>
        <w:rPr>
          <w:rFonts w:hint="eastAsia" w:ascii="仿宋" w:hAnsi="仿宋" w:eastAsia="仿宋" w:cs="仿宋"/>
          <w:b/>
          <w:bCs w:val="0"/>
          <w:color w:val="auto"/>
          <w:sz w:val="28"/>
          <w:szCs w:val="28"/>
          <w:lang w:eastAsia="zh-CN"/>
        </w:rPr>
      </w:pPr>
      <w:bookmarkStart w:id="146" w:name="_Toc17908"/>
      <w:r>
        <w:rPr>
          <w:rFonts w:hint="eastAsia" w:ascii="仿宋" w:hAnsi="仿宋" w:eastAsia="仿宋" w:cs="仿宋"/>
          <w:b/>
          <w:bCs w:val="0"/>
          <w:snapToGrid w:val="0"/>
          <w:color w:val="auto"/>
          <w:kern w:val="0"/>
          <w:sz w:val="28"/>
          <w:szCs w:val="28"/>
          <w:lang w:eastAsia="zh-CN"/>
        </w:rPr>
        <w:t>（</w:t>
      </w:r>
      <w:r>
        <w:rPr>
          <w:rFonts w:hint="eastAsia" w:ascii="仿宋" w:hAnsi="仿宋" w:eastAsia="仿宋" w:cs="仿宋"/>
          <w:b/>
          <w:bCs w:val="0"/>
          <w:snapToGrid w:val="0"/>
          <w:color w:val="auto"/>
          <w:kern w:val="0"/>
          <w:sz w:val="28"/>
          <w:szCs w:val="28"/>
          <w:lang w:val="en-US" w:eastAsia="zh-CN"/>
        </w:rPr>
        <w:t>三</w:t>
      </w:r>
      <w:r>
        <w:rPr>
          <w:rFonts w:hint="eastAsia" w:ascii="仿宋" w:hAnsi="仿宋" w:eastAsia="仿宋" w:cs="仿宋"/>
          <w:b/>
          <w:bCs w:val="0"/>
          <w:snapToGrid w:val="0"/>
          <w:color w:val="auto"/>
          <w:kern w:val="0"/>
          <w:sz w:val="28"/>
          <w:szCs w:val="28"/>
          <w:lang w:eastAsia="zh-CN"/>
        </w:rPr>
        <w:t>）</w:t>
      </w:r>
      <w:r>
        <w:rPr>
          <w:rFonts w:hint="eastAsia" w:ascii="仿宋" w:hAnsi="仿宋" w:eastAsia="仿宋" w:cs="仿宋"/>
          <w:b/>
          <w:bCs w:val="0"/>
          <w:snapToGrid w:val="0"/>
          <w:color w:val="auto"/>
          <w:kern w:val="0"/>
          <w:sz w:val="28"/>
          <w:szCs w:val="28"/>
        </w:rPr>
        <w:t>矿山地质环境治理恢复</w:t>
      </w:r>
      <w:r>
        <w:rPr>
          <w:rFonts w:hint="eastAsia" w:ascii="仿宋" w:hAnsi="仿宋" w:eastAsia="仿宋" w:cs="仿宋"/>
          <w:b/>
          <w:bCs w:val="0"/>
          <w:snapToGrid w:val="0"/>
          <w:color w:val="auto"/>
          <w:kern w:val="0"/>
          <w:sz w:val="28"/>
          <w:szCs w:val="28"/>
          <w:lang w:val="en-US" w:eastAsia="zh-CN"/>
        </w:rPr>
        <w:t>基金制度</w:t>
      </w:r>
      <w:bookmarkEnd w:id="146"/>
    </w:p>
    <w:p>
      <w:pPr>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napToGrid w:val="0"/>
          <w:kern w:val="0"/>
          <w:sz w:val="28"/>
          <w:szCs w:val="28"/>
        </w:rPr>
      </w:pPr>
      <w:r>
        <w:rPr>
          <w:rFonts w:hint="eastAsia" w:ascii="仿宋" w:hAnsi="仿宋" w:eastAsia="仿宋" w:cs="仿宋"/>
          <w:snapToGrid w:val="0"/>
          <w:kern w:val="0"/>
          <w:sz w:val="28"/>
          <w:szCs w:val="28"/>
        </w:rPr>
        <w:t>全面实施矿山环境治理恢复基金制度。由矿山企业单设会计科目，按照销售收入的一定比例计提，计算企业成本，由企业统筹用于开展矿山环境保护和综合治理。</w:t>
      </w:r>
      <w:r>
        <w:rPr>
          <w:rFonts w:hint="eastAsia" w:ascii="仿宋" w:hAnsi="仿宋" w:eastAsia="仿宋" w:cs="仿宋"/>
          <w:snapToGrid w:val="0"/>
          <w:kern w:val="0"/>
          <w:sz w:val="28"/>
          <w:szCs w:val="28"/>
          <w:lang w:eastAsia="zh-CN"/>
        </w:rPr>
        <w:t>自然资源</w:t>
      </w:r>
      <w:r>
        <w:rPr>
          <w:rFonts w:hint="eastAsia" w:ascii="仿宋" w:hAnsi="仿宋" w:eastAsia="仿宋" w:cs="仿宋"/>
          <w:snapToGrid w:val="0"/>
          <w:kern w:val="0"/>
          <w:sz w:val="28"/>
          <w:szCs w:val="28"/>
        </w:rPr>
        <w:t>部门会同环保、水利、畜牧等部门根据各自职责，加强事中事后监管，建立动态监管机制，督促企业落实矿山环境治理恢复责任。</w:t>
      </w:r>
    </w:p>
    <w:p>
      <w:pPr>
        <w:pageBreakBefore w:val="0"/>
        <w:widowControl w:val="0"/>
        <w:kinsoku/>
        <w:wordWrap/>
        <w:overflowPunct/>
        <w:topLinePunct w:val="0"/>
        <w:bidi w:val="0"/>
        <w:adjustRightInd/>
        <w:snapToGrid/>
        <w:spacing w:line="500" w:lineRule="exact"/>
        <w:ind w:firstLine="560" w:firstLineChars="200"/>
        <w:textAlignment w:val="auto"/>
        <w:rPr>
          <w:rFonts w:hint="eastAsia" w:ascii="仿宋" w:hAnsi="仿宋" w:eastAsia="仿宋" w:cs="仿宋"/>
          <w:snapToGrid w:val="0"/>
          <w:color w:val="auto"/>
          <w:kern w:val="0"/>
          <w:sz w:val="28"/>
          <w:szCs w:val="28"/>
        </w:rPr>
      </w:pPr>
      <w:r>
        <w:rPr>
          <w:rFonts w:hint="eastAsia" w:ascii="仿宋" w:hAnsi="仿宋" w:eastAsia="仿宋" w:cs="仿宋"/>
          <w:snapToGrid w:val="0"/>
          <w:kern w:val="0"/>
          <w:sz w:val="28"/>
          <w:szCs w:val="28"/>
        </w:rPr>
        <w:t>对于目前正处于生产阶段的矿山，本着“谁破坏、谁治理”的原则，以自身投入为主，国家鼓励性投入为辅；对于计划经济时期建设、目前处于开发后期、经济效益差的国有企业，以政府补贴、企业分担的投资形式；历史形成的废弃、闭坑、无明确责任人和环境问题严重的矿区，以国家投入为主，地方政府配合，分期分批治理；对符合土地规划并可供开发利用的废弃矿区，可采取招拍挂方式出让土地使用</w:t>
      </w:r>
      <w:r>
        <w:rPr>
          <w:rFonts w:hint="eastAsia" w:ascii="仿宋" w:hAnsi="仿宋" w:eastAsia="仿宋" w:cs="仿宋"/>
          <w:snapToGrid w:val="0"/>
          <w:color w:val="auto"/>
          <w:kern w:val="0"/>
          <w:sz w:val="28"/>
          <w:szCs w:val="28"/>
        </w:rPr>
        <w:t>权，由开发者投入治理并开发建设。</w:t>
      </w:r>
    </w:p>
    <w:p>
      <w:pPr>
        <w:rPr>
          <w:rFonts w:hint="eastAsia" w:ascii="仿宋" w:hAnsi="仿宋" w:eastAsia="仿宋" w:cs="仿宋"/>
          <w:b/>
          <w:bCs/>
          <w:color w:val="000000"/>
          <w:sz w:val="32"/>
          <w:szCs w:val="32"/>
          <w:lang w:val="zh-CN"/>
        </w:rPr>
      </w:pPr>
      <w:bookmarkStart w:id="147" w:name="_Toc6654"/>
      <w:bookmarkStart w:id="148" w:name="_Toc24955"/>
      <w:bookmarkStart w:id="149" w:name="_Toc708"/>
      <w:bookmarkStart w:id="150" w:name="_Toc15716"/>
      <w:r>
        <w:rPr>
          <w:rFonts w:hint="eastAsia" w:ascii="仿宋" w:hAnsi="仿宋" w:eastAsia="仿宋" w:cs="仿宋"/>
          <w:b/>
          <w:bCs/>
          <w:color w:val="000000"/>
          <w:sz w:val="32"/>
          <w:szCs w:val="32"/>
          <w:lang w:val="zh-CN"/>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ind w:firstLine="643" w:firstLineChars="200"/>
        <w:jc w:val="both"/>
        <w:textAlignment w:val="auto"/>
        <w:outlineLvl w:val="0"/>
        <w:rPr>
          <w:rFonts w:hint="eastAsia" w:ascii="仿宋" w:hAnsi="仿宋" w:eastAsia="仿宋" w:cs="仿宋"/>
          <w:b/>
          <w:bCs/>
          <w:color w:val="000000"/>
          <w:sz w:val="32"/>
          <w:szCs w:val="32"/>
          <w:lang w:val="zh-CN"/>
        </w:rPr>
      </w:pPr>
      <w:r>
        <w:rPr>
          <w:rFonts w:hint="eastAsia" w:ascii="仿宋" w:hAnsi="仿宋" w:eastAsia="仿宋" w:cs="仿宋"/>
          <w:b/>
          <w:bCs/>
          <w:color w:val="000000"/>
          <w:sz w:val="32"/>
          <w:szCs w:val="32"/>
          <w:lang w:val="zh-CN"/>
        </w:rPr>
        <w:t>六、重点项目</w:t>
      </w:r>
      <w:bookmarkEnd w:id="147"/>
      <w:bookmarkEnd w:id="148"/>
      <w:bookmarkEnd w:id="149"/>
      <w:bookmarkEnd w:id="150"/>
    </w:p>
    <w:p>
      <w:pPr>
        <w:pageBreakBefore w:val="0"/>
        <w:widowControl w:val="0"/>
        <w:kinsoku/>
        <w:wordWrap/>
        <w:overflowPunct/>
        <w:topLinePunct w:val="0"/>
        <w:autoSpaceDE/>
        <w:autoSpaceDN/>
        <w:bidi w:val="0"/>
        <w:adjustRightInd/>
        <w:snapToGrid/>
        <w:spacing w:line="500" w:lineRule="exact"/>
        <w:ind w:firstLine="560" w:firstLineChars="200"/>
        <w:textAlignment w:val="auto"/>
        <w:rPr>
          <w:rFonts w:ascii="仿宋" w:hAnsi="仿宋" w:eastAsia="仿宋" w:cs="宋体"/>
          <w:bCs/>
          <w:sz w:val="28"/>
          <w:szCs w:val="28"/>
        </w:rPr>
      </w:pPr>
      <w:r>
        <w:rPr>
          <w:rFonts w:hint="eastAsia" w:ascii="仿宋" w:hAnsi="仿宋" w:eastAsia="仿宋" w:cs="仿宋"/>
          <w:b w:val="0"/>
          <w:bCs w:val="0"/>
          <w:sz w:val="28"/>
          <w:szCs w:val="28"/>
        </w:rPr>
        <w:t>落实上级规划的原则，</w:t>
      </w:r>
      <w:r>
        <w:rPr>
          <w:rFonts w:hint="eastAsia" w:ascii="仿宋" w:hAnsi="仿宋" w:eastAsia="仿宋" w:cs="仿宋"/>
          <w:b w:val="0"/>
          <w:bCs w:val="0"/>
          <w:sz w:val="28"/>
          <w:szCs w:val="28"/>
          <w:lang w:val="en-US" w:eastAsia="zh-CN"/>
        </w:rPr>
        <w:t>结合沙湾市矿产资源禀赋情况，</w:t>
      </w:r>
      <w:r>
        <w:rPr>
          <w:rFonts w:hint="eastAsia" w:ascii="仿宋" w:hAnsi="仿宋" w:eastAsia="仿宋" w:cs="宋体"/>
          <w:bCs/>
          <w:sz w:val="28"/>
          <w:szCs w:val="28"/>
        </w:rPr>
        <w:t>配合开展重点矿产资源调查评价、促进基础地质工作程度不断提高、拓展地质工作服务领域，为经济社会发展提供技术支撑和公益服务。</w:t>
      </w:r>
    </w:p>
    <w:p>
      <w:pPr>
        <w:pStyle w:val="3"/>
        <w:keepNext/>
        <w:keepLines/>
        <w:pageBreakBefore w:val="0"/>
        <w:widowControl w:val="0"/>
        <w:kinsoku/>
        <w:wordWrap/>
        <w:overflowPunct/>
        <w:topLinePunct w:val="0"/>
        <w:autoSpaceDE/>
        <w:autoSpaceDN/>
        <w:bidi w:val="0"/>
        <w:adjustRightInd/>
        <w:snapToGrid/>
        <w:spacing w:before="0" w:after="0" w:line="500" w:lineRule="exact"/>
        <w:ind w:firstLine="562" w:firstLineChars="200"/>
        <w:jc w:val="both"/>
        <w:textAlignment w:val="auto"/>
        <w:rPr>
          <w:rFonts w:hint="eastAsia" w:ascii="仿宋" w:hAnsi="仿宋" w:eastAsia="仿宋" w:cs="仿宋"/>
          <w:b/>
          <w:kern w:val="2"/>
          <w:sz w:val="28"/>
          <w:szCs w:val="28"/>
          <w:lang w:val="en-US" w:eastAsia="zh-CN" w:bidi="ar-SA"/>
        </w:rPr>
      </w:pPr>
      <w:bookmarkStart w:id="151" w:name="_Toc5219"/>
      <w:bookmarkStart w:id="152" w:name="_Toc7099"/>
      <w:bookmarkStart w:id="153" w:name="_Toc21152"/>
      <w:r>
        <w:rPr>
          <w:rFonts w:hint="eastAsia" w:ascii="仿宋" w:hAnsi="仿宋" w:eastAsia="仿宋" w:cs="仿宋"/>
          <w:b/>
          <w:kern w:val="2"/>
          <w:sz w:val="28"/>
          <w:szCs w:val="28"/>
          <w:lang w:val="en-US" w:eastAsia="zh-CN" w:bidi="ar-SA"/>
        </w:rPr>
        <w:t>（一）</w:t>
      </w:r>
      <w:bookmarkEnd w:id="151"/>
      <w:bookmarkEnd w:id="152"/>
      <w:bookmarkEnd w:id="153"/>
      <w:r>
        <w:rPr>
          <w:rFonts w:hint="eastAsia" w:ascii="仿宋" w:hAnsi="仿宋" w:eastAsia="仿宋" w:cs="仿宋"/>
          <w:b/>
          <w:bCs/>
          <w:szCs w:val="21"/>
        </w:rPr>
        <w:t>基础地质调查项目</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落实《</w:t>
      </w:r>
      <w:r>
        <w:rPr>
          <w:rFonts w:hint="eastAsia" w:ascii="仿宋" w:hAnsi="仿宋" w:eastAsia="仿宋" w:cs="仿宋"/>
          <w:sz w:val="28"/>
          <w:szCs w:val="28"/>
          <w:lang w:val="en-US" w:eastAsia="zh-CN"/>
        </w:rPr>
        <w:t>新疆塔城地区</w:t>
      </w:r>
      <w:r>
        <w:rPr>
          <w:rFonts w:hint="eastAsia" w:ascii="仿宋" w:hAnsi="仿宋" w:eastAsia="仿宋" w:cs="仿宋"/>
          <w:sz w:val="28"/>
          <w:szCs w:val="28"/>
        </w:rPr>
        <w:t>矿产资源总体规划（2021-2025年）</w:t>
      </w:r>
      <w:r>
        <w:rPr>
          <w:rFonts w:hint="eastAsia" w:ascii="仿宋" w:hAnsi="仿宋" w:eastAsia="仿宋" w:cs="仿宋"/>
          <w:color w:val="000000"/>
          <w:sz w:val="28"/>
          <w:szCs w:val="28"/>
        </w:rPr>
        <w:t>》，促进基础性公益性地质调查、为资源评价工作提供物化探依据及找矿靶区，进一步明确公益性定位，立足于区域性、基础性，突出工作重点，地质调查与研究扎实推进，全面提升</w:t>
      </w:r>
      <w:r>
        <w:rPr>
          <w:rFonts w:hint="eastAsia" w:ascii="仿宋" w:hAnsi="仿宋" w:eastAsia="仿宋" w:cs="仿宋"/>
          <w:color w:val="000000"/>
          <w:sz w:val="28"/>
          <w:szCs w:val="28"/>
          <w:lang w:val="en-US" w:eastAsia="zh-CN"/>
        </w:rPr>
        <w:t>沙湾市</w:t>
      </w:r>
      <w:r>
        <w:rPr>
          <w:rFonts w:hint="eastAsia" w:ascii="仿宋" w:hAnsi="仿宋" w:eastAsia="仿宋" w:cs="仿宋"/>
          <w:color w:val="000000"/>
          <w:sz w:val="28"/>
          <w:szCs w:val="28"/>
        </w:rPr>
        <w:t>基础地质研究程度。全力推进地质调查服务方向、指导理论和发展动力三大转变，着力解决对经济社会发展和生态文明建设有重要影响的重大资源环境问题和地球系统科学问题，努力实现地质找矿新的重大突破。</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2981"/>
        <w:gridCol w:w="3959"/>
        <w:gridCol w:w="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4"/>
            <w:shd w:val="clear" w:color="auto" w:fill="D9D9D9"/>
            <w:noWrap w:val="0"/>
            <w:vAlign w:val="center"/>
          </w:tcPr>
          <w:p>
            <w:pPr>
              <w:adjustRightInd w:val="0"/>
              <w:snapToGrid w:val="0"/>
              <w:jc w:val="center"/>
              <w:rPr>
                <w:rFonts w:hint="eastAsia" w:ascii="仿宋" w:hAnsi="仿宋" w:eastAsia="仿宋" w:cs="仿宋"/>
                <w:szCs w:val="21"/>
              </w:rPr>
            </w:pPr>
            <w:bookmarkStart w:id="154" w:name="_Toc16811"/>
            <w:bookmarkStart w:id="155" w:name="_Toc11782"/>
            <w:r>
              <w:rPr>
                <w:rFonts w:hint="eastAsia" w:ascii="仿宋" w:hAnsi="仿宋" w:eastAsia="仿宋" w:cs="仿宋"/>
                <w:b/>
                <w:bCs/>
                <w:szCs w:val="21"/>
              </w:rPr>
              <w:t>专栏1</w:t>
            </w:r>
            <w:r>
              <w:rPr>
                <w:rFonts w:hint="eastAsia" w:ascii="仿宋" w:hAnsi="仿宋" w:eastAsia="仿宋" w:cs="仿宋"/>
                <w:b/>
                <w:bCs/>
                <w:szCs w:val="21"/>
                <w:lang w:val="en-US" w:eastAsia="zh-CN"/>
              </w:rPr>
              <w:t>9</w:t>
            </w:r>
            <w:r>
              <w:rPr>
                <w:rFonts w:hint="eastAsia" w:ascii="仿宋" w:hAnsi="仿宋" w:eastAsia="仿宋" w:cs="仿宋"/>
                <w:b/>
                <w:bCs/>
                <w:szCs w:val="21"/>
              </w:rPr>
              <w:t xml:space="preserve">  基础地质调查项目一览表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0" w:type="dxa"/>
            <w:shd w:val="clear" w:color="auto" w:fill="auto"/>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szCs w:val="21"/>
              </w:rPr>
              <w:t>序号</w:t>
            </w:r>
          </w:p>
        </w:tc>
        <w:tc>
          <w:tcPr>
            <w:tcW w:w="2981" w:type="dxa"/>
            <w:shd w:val="clear" w:color="auto" w:fill="auto"/>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szCs w:val="21"/>
              </w:rPr>
              <w:t>项目类型</w:t>
            </w:r>
          </w:p>
        </w:tc>
        <w:tc>
          <w:tcPr>
            <w:tcW w:w="3959" w:type="dxa"/>
            <w:shd w:val="clear" w:color="auto" w:fill="auto"/>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szCs w:val="21"/>
              </w:rPr>
              <w:t>部署地区</w:t>
            </w:r>
          </w:p>
        </w:tc>
        <w:tc>
          <w:tcPr>
            <w:tcW w:w="912" w:type="dxa"/>
            <w:shd w:val="clear" w:color="auto" w:fill="auto"/>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szCs w:val="21"/>
              </w:rPr>
              <w:t>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0" w:type="dxa"/>
            <w:shd w:val="clear" w:color="auto" w:fill="auto"/>
            <w:noWrap w:val="0"/>
            <w:vAlign w:val="center"/>
          </w:tcPr>
          <w:p>
            <w:pPr>
              <w:spacing w:line="240" w:lineRule="exact"/>
              <w:jc w:val="center"/>
              <w:rPr>
                <w:rFonts w:hint="eastAsia" w:ascii="仿宋" w:hAnsi="仿宋" w:eastAsia="仿宋" w:cs="仿宋"/>
                <w:szCs w:val="21"/>
              </w:rPr>
            </w:pPr>
            <w:r>
              <w:rPr>
                <w:rFonts w:hint="eastAsia" w:ascii="仿宋" w:hAnsi="仿宋" w:eastAsia="仿宋" w:cs="仿宋"/>
                <w:szCs w:val="21"/>
              </w:rPr>
              <w:t>1</w:t>
            </w:r>
          </w:p>
        </w:tc>
        <w:tc>
          <w:tcPr>
            <w:tcW w:w="2981" w:type="dxa"/>
            <w:shd w:val="clear" w:color="auto" w:fill="auto"/>
            <w:noWrap w:val="0"/>
            <w:vAlign w:val="center"/>
          </w:tcPr>
          <w:p>
            <w:pPr>
              <w:widowControl/>
              <w:adjustRightInd w:val="0"/>
              <w:snapToGrid w:val="0"/>
              <w:spacing w:line="300" w:lineRule="exact"/>
              <w:jc w:val="center"/>
              <w:rPr>
                <w:rFonts w:hint="eastAsia" w:ascii="仿宋" w:hAnsi="仿宋" w:eastAsia="仿宋" w:cs="仿宋"/>
                <w:color w:val="auto"/>
                <w:szCs w:val="21"/>
                <w:lang w:val="zh-TW"/>
              </w:rPr>
            </w:pPr>
            <w:r>
              <w:rPr>
                <w:rFonts w:hint="eastAsia" w:ascii="仿宋" w:hAnsi="仿宋" w:eastAsia="仿宋" w:cs="仿宋"/>
                <w:color w:val="auto"/>
                <w:kern w:val="0"/>
                <w:szCs w:val="21"/>
              </w:rPr>
              <w:t>1:5-1:10万水文环境地质调查</w:t>
            </w:r>
          </w:p>
        </w:tc>
        <w:tc>
          <w:tcPr>
            <w:tcW w:w="3959" w:type="dxa"/>
            <w:shd w:val="clear" w:color="auto" w:fill="auto"/>
            <w:noWrap w:val="0"/>
            <w:vAlign w:val="center"/>
          </w:tcPr>
          <w:p>
            <w:pPr>
              <w:spacing w:line="240" w:lineRule="exact"/>
              <w:jc w:val="center"/>
              <w:rPr>
                <w:rFonts w:hint="eastAsia" w:ascii="仿宋" w:hAnsi="仿宋" w:eastAsia="仿宋" w:cs="仿宋"/>
                <w:szCs w:val="21"/>
                <w:lang w:val="en-US" w:eastAsia="zh-CN"/>
              </w:rPr>
            </w:pPr>
            <w:r>
              <w:rPr>
                <w:rFonts w:hint="eastAsia" w:ascii="仿宋" w:hAnsi="仿宋" w:eastAsia="仿宋" w:cs="仿宋"/>
                <w:szCs w:val="21"/>
                <w:lang w:val="en-US" w:eastAsia="zh-CN"/>
              </w:rPr>
              <w:t>沙湾市中北部区域</w:t>
            </w:r>
          </w:p>
        </w:tc>
        <w:tc>
          <w:tcPr>
            <w:tcW w:w="912" w:type="dxa"/>
            <w:shd w:val="clear" w:color="auto" w:fill="auto"/>
            <w:noWrap w:val="0"/>
            <w:vAlign w:val="center"/>
          </w:tcPr>
          <w:p>
            <w:pPr>
              <w:adjustRightInd w:val="0"/>
              <w:snapToGrid w:val="0"/>
              <w:jc w:val="center"/>
              <w:rPr>
                <w:rFonts w:hint="eastAsia" w:ascii="仿宋" w:hAnsi="仿宋" w:eastAsia="仿宋" w:cs="仿宋"/>
                <w:szCs w:val="21"/>
                <w:lang w:val="en-US" w:eastAsia="zh-CN"/>
              </w:rPr>
            </w:pPr>
            <w:r>
              <w:rPr>
                <w:rFonts w:hint="eastAsia" w:ascii="仿宋" w:hAnsi="仿宋" w:eastAsia="仿宋" w:cs="仿宋"/>
                <w:szCs w:val="21"/>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0" w:type="dxa"/>
            <w:shd w:val="clear" w:color="auto" w:fill="auto"/>
            <w:noWrap w:val="0"/>
            <w:vAlign w:val="center"/>
          </w:tcPr>
          <w:p>
            <w:pPr>
              <w:spacing w:line="240" w:lineRule="exact"/>
              <w:jc w:val="center"/>
              <w:rPr>
                <w:rFonts w:hint="eastAsia" w:ascii="仿宋" w:hAnsi="仿宋" w:eastAsia="仿宋" w:cs="仿宋"/>
                <w:szCs w:val="21"/>
              </w:rPr>
            </w:pPr>
            <w:r>
              <w:rPr>
                <w:rFonts w:hint="eastAsia" w:ascii="仿宋" w:hAnsi="仿宋" w:eastAsia="仿宋" w:cs="仿宋"/>
                <w:szCs w:val="21"/>
              </w:rPr>
              <w:t>2</w:t>
            </w:r>
          </w:p>
        </w:tc>
        <w:tc>
          <w:tcPr>
            <w:tcW w:w="2981" w:type="dxa"/>
            <w:shd w:val="clear" w:color="auto" w:fill="auto"/>
            <w:noWrap w:val="0"/>
            <w:vAlign w:val="center"/>
          </w:tcPr>
          <w:p>
            <w:pPr>
              <w:widowControl/>
              <w:adjustRightInd w:val="0"/>
              <w:snapToGrid w:val="0"/>
              <w:spacing w:line="300" w:lineRule="exact"/>
              <w:jc w:val="center"/>
              <w:rPr>
                <w:rFonts w:hint="eastAsia" w:ascii="仿宋" w:hAnsi="仿宋" w:eastAsia="仿宋" w:cs="仿宋"/>
                <w:color w:val="auto"/>
                <w:szCs w:val="21"/>
                <w:lang w:val="zh-TW"/>
              </w:rPr>
            </w:pPr>
            <w:r>
              <w:rPr>
                <w:rFonts w:hint="eastAsia" w:ascii="仿宋" w:hAnsi="仿宋" w:eastAsia="仿宋" w:cs="仿宋"/>
                <w:color w:val="auto"/>
                <w:kern w:val="0"/>
                <w:szCs w:val="21"/>
              </w:rPr>
              <w:t>1:5万土地质量地球化学调查</w:t>
            </w:r>
          </w:p>
        </w:tc>
        <w:tc>
          <w:tcPr>
            <w:tcW w:w="3959" w:type="dxa"/>
            <w:shd w:val="clear" w:color="auto" w:fill="auto"/>
            <w:noWrap w:val="0"/>
            <w:vAlign w:val="center"/>
          </w:tcPr>
          <w:p>
            <w:pPr>
              <w:spacing w:line="240" w:lineRule="exact"/>
              <w:jc w:val="center"/>
              <w:rPr>
                <w:rFonts w:hint="eastAsia" w:ascii="仿宋" w:hAnsi="仿宋" w:eastAsia="仿宋" w:cs="仿宋"/>
                <w:szCs w:val="21"/>
                <w:lang w:val="en-US" w:eastAsia="zh-CN"/>
              </w:rPr>
            </w:pPr>
            <w:r>
              <w:rPr>
                <w:rFonts w:hint="eastAsia" w:ascii="仿宋" w:hAnsi="仿宋" w:eastAsia="仿宋" w:cs="仿宋"/>
                <w:szCs w:val="21"/>
                <w:lang w:val="en-US" w:eastAsia="zh-CN"/>
              </w:rPr>
              <w:t>博尔通古乡及东湾镇一带</w:t>
            </w:r>
          </w:p>
        </w:tc>
        <w:tc>
          <w:tcPr>
            <w:tcW w:w="912" w:type="dxa"/>
            <w:shd w:val="clear" w:color="auto" w:fill="auto"/>
            <w:noWrap w:val="0"/>
            <w:vAlign w:val="center"/>
          </w:tcPr>
          <w:p>
            <w:pPr>
              <w:adjustRightInd w:val="0"/>
              <w:snapToGrid w:val="0"/>
              <w:jc w:val="center"/>
              <w:rPr>
                <w:rFonts w:hint="eastAsia" w:ascii="仿宋" w:hAnsi="仿宋" w:eastAsia="仿宋" w:cs="仿宋"/>
                <w:szCs w:val="21"/>
                <w:lang w:val="en-US" w:eastAsia="zh-CN"/>
              </w:rPr>
            </w:pPr>
            <w:r>
              <w:rPr>
                <w:rFonts w:hint="eastAsia" w:ascii="仿宋" w:hAnsi="仿宋" w:eastAsia="仿宋" w:cs="仿宋"/>
                <w:szCs w:val="21"/>
                <w:lang w:val="en-US" w:eastAsia="zh-CN"/>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0" w:type="dxa"/>
            <w:shd w:val="clear" w:color="auto" w:fill="auto"/>
            <w:noWrap w:val="0"/>
            <w:vAlign w:val="center"/>
          </w:tcPr>
          <w:p>
            <w:pPr>
              <w:spacing w:line="240" w:lineRule="exact"/>
              <w:jc w:val="center"/>
              <w:rPr>
                <w:rFonts w:hint="eastAsia" w:ascii="仿宋" w:hAnsi="仿宋" w:eastAsia="仿宋" w:cs="仿宋"/>
                <w:szCs w:val="21"/>
              </w:rPr>
            </w:pPr>
            <w:r>
              <w:rPr>
                <w:rFonts w:hint="eastAsia" w:ascii="仿宋" w:hAnsi="仿宋" w:eastAsia="仿宋" w:cs="仿宋"/>
                <w:szCs w:val="21"/>
              </w:rPr>
              <w:t>3</w:t>
            </w:r>
          </w:p>
        </w:tc>
        <w:tc>
          <w:tcPr>
            <w:tcW w:w="2981" w:type="dxa"/>
            <w:shd w:val="clear" w:color="auto" w:fill="auto"/>
            <w:noWrap w:val="0"/>
            <w:vAlign w:val="center"/>
          </w:tcPr>
          <w:p>
            <w:pPr>
              <w:widowControl/>
              <w:adjustRightInd w:val="0"/>
              <w:snapToGrid w:val="0"/>
              <w:spacing w:line="300" w:lineRule="exact"/>
              <w:jc w:val="center"/>
              <w:rPr>
                <w:rFonts w:hint="eastAsia" w:ascii="仿宋" w:hAnsi="仿宋" w:eastAsia="仿宋" w:cs="仿宋"/>
                <w:color w:val="auto"/>
                <w:szCs w:val="21"/>
              </w:rPr>
            </w:pPr>
            <w:r>
              <w:rPr>
                <w:rFonts w:hint="eastAsia" w:ascii="仿宋" w:hAnsi="仿宋" w:eastAsia="仿宋" w:cs="仿宋"/>
                <w:color w:val="auto"/>
                <w:kern w:val="0"/>
                <w:szCs w:val="21"/>
              </w:rPr>
              <w:t>旅游地质资源调查</w:t>
            </w:r>
          </w:p>
        </w:tc>
        <w:tc>
          <w:tcPr>
            <w:tcW w:w="3959" w:type="dxa"/>
            <w:shd w:val="clear" w:color="auto" w:fill="auto"/>
            <w:noWrap w:val="0"/>
            <w:vAlign w:val="center"/>
          </w:tcPr>
          <w:p>
            <w:pPr>
              <w:spacing w:line="240" w:lineRule="exact"/>
              <w:jc w:val="center"/>
              <w:rPr>
                <w:rFonts w:hint="eastAsia" w:ascii="仿宋" w:hAnsi="仿宋" w:eastAsia="仿宋" w:cs="仿宋"/>
                <w:szCs w:val="21"/>
                <w:lang w:val="en-US" w:eastAsia="zh-CN"/>
              </w:rPr>
            </w:pPr>
            <w:r>
              <w:rPr>
                <w:rFonts w:hint="eastAsia" w:ascii="仿宋" w:hAnsi="仿宋" w:eastAsia="仿宋" w:cs="仿宋"/>
                <w:szCs w:val="21"/>
                <w:lang w:val="en-US" w:eastAsia="zh-CN"/>
              </w:rPr>
              <w:t>沙</w:t>
            </w:r>
            <w:r>
              <w:rPr>
                <w:rFonts w:hint="eastAsia" w:ascii="仿宋" w:hAnsi="仿宋" w:eastAsia="仿宋" w:cs="仿宋"/>
                <w:color w:val="auto"/>
                <w:szCs w:val="21"/>
                <w:lang w:val="en-US" w:eastAsia="zh-CN"/>
              </w:rPr>
              <w:t>湾市温泉景区、千泉湖及沙湾市101特色旅游资源调</w:t>
            </w:r>
          </w:p>
        </w:tc>
        <w:tc>
          <w:tcPr>
            <w:tcW w:w="912" w:type="dxa"/>
            <w:shd w:val="clear" w:color="auto" w:fill="auto"/>
            <w:noWrap w:val="0"/>
            <w:vAlign w:val="center"/>
          </w:tcPr>
          <w:p>
            <w:pPr>
              <w:adjustRightInd w:val="0"/>
              <w:snapToGrid w:val="0"/>
              <w:jc w:val="center"/>
              <w:rPr>
                <w:rFonts w:hint="eastAsia" w:ascii="仿宋" w:hAnsi="仿宋" w:eastAsia="仿宋" w:cs="仿宋"/>
                <w:szCs w:val="21"/>
                <w:lang w:val="en-US" w:eastAsia="zh-CN"/>
              </w:rPr>
            </w:pPr>
            <w:r>
              <w:rPr>
                <w:rFonts w:hint="eastAsia" w:ascii="仿宋" w:hAnsi="仿宋" w:eastAsia="仿宋" w:cs="仿宋"/>
                <w:szCs w:val="21"/>
                <w:lang w:val="en-US" w:eastAsia="zh-CN"/>
              </w:rPr>
              <w:t>3处</w:t>
            </w:r>
          </w:p>
        </w:tc>
      </w:tr>
      <w:bookmarkEnd w:id="154"/>
      <w:bookmarkEnd w:id="155"/>
    </w:tbl>
    <w:p>
      <w:pPr>
        <w:pStyle w:val="3"/>
        <w:keepNext/>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jc w:val="both"/>
        <w:textAlignment w:val="auto"/>
        <w:rPr>
          <w:rFonts w:hint="eastAsia" w:ascii="仿宋" w:hAnsi="仿宋" w:eastAsia="仿宋" w:cs="仿宋"/>
          <w:b/>
          <w:kern w:val="2"/>
          <w:sz w:val="28"/>
          <w:szCs w:val="28"/>
          <w:lang w:val="en-US" w:eastAsia="zh-CN" w:bidi="ar-SA"/>
        </w:rPr>
      </w:pPr>
      <w:bookmarkStart w:id="156" w:name="_Toc11537"/>
      <w:bookmarkStart w:id="157" w:name="_Toc4183"/>
      <w:r>
        <w:rPr>
          <w:rFonts w:hint="eastAsia" w:ascii="仿宋" w:hAnsi="仿宋" w:eastAsia="仿宋" w:cs="仿宋"/>
          <w:b/>
          <w:kern w:val="2"/>
          <w:sz w:val="28"/>
          <w:szCs w:val="28"/>
          <w:lang w:val="en-US" w:eastAsia="zh-CN" w:bidi="ar-SA"/>
        </w:rPr>
        <w:t>（二）矿产资源调查评价</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落实《</w:t>
      </w:r>
      <w:r>
        <w:rPr>
          <w:rFonts w:hint="eastAsia" w:ascii="仿宋" w:hAnsi="仿宋" w:eastAsia="仿宋" w:cs="仿宋"/>
          <w:sz w:val="28"/>
          <w:szCs w:val="28"/>
          <w:lang w:val="en-US" w:eastAsia="zh-CN"/>
        </w:rPr>
        <w:t>新疆塔城地区</w:t>
      </w:r>
      <w:r>
        <w:rPr>
          <w:rFonts w:hint="eastAsia" w:ascii="仿宋" w:hAnsi="仿宋" w:eastAsia="仿宋" w:cs="仿宋"/>
          <w:sz w:val="28"/>
          <w:szCs w:val="28"/>
        </w:rPr>
        <w:t>矿产资源总体规划（2021-2025年）</w:t>
      </w:r>
      <w:r>
        <w:rPr>
          <w:rFonts w:hint="eastAsia" w:ascii="仿宋" w:hAnsi="仿宋" w:eastAsia="仿宋" w:cs="仿宋"/>
          <w:color w:val="000000"/>
          <w:sz w:val="28"/>
          <w:szCs w:val="28"/>
        </w:rPr>
        <w:t>》</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在沙湾矿区开展煤层气普查工作，优选勘查前景区1处作</w:t>
      </w:r>
      <w:r>
        <w:rPr>
          <w:rFonts w:hint="eastAsia" w:ascii="仿宋" w:hAnsi="仿宋" w:eastAsia="仿宋" w:cs="仿宋"/>
          <w:color w:val="000000"/>
          <w:sz w:val="28"/>
          <w:szCs w:val="28"/>
        </w:rPr>
        <w:t>为矿业发展</w:t>
      </w:r>
      <w:r>
        <w:rPr>
          <w:rFonts w:hint="eastAsia" w:ascii="仿宋" w:hAnsi="仿宋" w:eastAsia="仿宋" w:cs="仿宋"/>
          <w:color w:val="000000"/>
          <w:sz w:val="28"/>
          <w:szCs w:val="28"/>
          <w:lang w:val="en-US" w:eastAsia="zh-CN"/>
        </w:rPr>
        <w:t>的后</w:t>
      </w:r>
      <w:r>
        <w:rPr>
          <w:rFonts w:hint="eastAsia" w:ascii="仿宋" w:hAnsi="仿宋" w:eastAsia="仿宋" w:cs="仿宋"/>
          <w:color w:val="000000"/>
          <w:sz w:val="28"/>
          <w:szCs w:val="28"/>
        </w:rPr>
        <w:t>备基地</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为地方经济发展提供长期稳定的支持。</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2494"/>
        <w:gridCol w:w="2183"/>
        <w:gridCol w:w="3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8522" w:type="dxa"/>
            <w:gridSpan w:val="4"/>
            <w:shd w:val="clear" w:color="auto" w:fill="D9D9D9"/>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b/>
                <w:bCs/>
                <w:szCs w:val="21"/>
              </w:rPr>
              <w:t>专栏</w:t>
            </w:r>
            <w:r>
              <w:rPr>
                <w:rFonts w:hint="eastAsia" w:ascii="仿宋" w:hAnsi="仿宋" w:eastAsia="仿宋" w:cs="仿宋"/>
                <w:b/>
                <w:bCs/>
                <w:szCs w:val="21"/>
                <w:lang w:val="en-US" w:eastAsia="zh-CN"/>
              </w:rPr>
              <w:t>20</w:t>
            </w:r>
            <w:r>
              <w:rPr>
                <w:rFonts w:hint="eastAsia" w:ascii="仿宋" w:hAnsi="仿宋" w:eastAsia="仿宋" w:cs="仿宋"/>
                <w:b/>
                <w:bCs/>
                <w:szCs w:val="21"/>
              </w:rPr>
              <w:t xml:space="preserve">  矿产资源调查项目一览表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dxa"/>
            <w:shd w:val="clear" w:color="auto" w:fill="auto"/>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szCs w:val="21"/>
              </w:rPr>
              <w:t>序号</w:t>
            </w:r>
          </w:p>
        </w:tc>
        <w:tc>
          <w:tcPr>
            <w:tcW w:w="2494" w:type="dxa"/>
            <w:shd w:val="clear" w:color="auto" w:fill="auto"/>
            <w:noWrap w:val="0"/>
            <w:vAlign w:val="center"/>
          </w:tcPr>
          <w:p>
            <w:pPr>
              <w:adjustRightInd w:val="0"/>
              <w:snapToGrid w:val="0"/>
              <w:jc w:val="center"/>
              <w:rPr>
                <w:rFonts w:hint="eastAsia" w:ascii="仿宋" w:hAnsi="仿宋" w:eastAsia="仿宋" w:cs="仿宋"/>
                <w:szCs w:val="21"/>
              </w:rPr>
            </w:pPr>
            <w:r>
              <w:rPr>
                <w:rFonts w:hint="eastAsia" w:ascii="仿宋" w:hAnsi="仿宋" w:eastAsia="仿宋" w:cs="仿宋"/>
                <w:szCs w:val="21"/>
              </w:rPr>
              <w:t>区域名称</w:t>
            </w:r>
          </w:p>
        </w:tc>
        <w:tc>
          <w:tcPr>
            <w:tcW w:w="2183" w:type="dxa"/>
            <w:shd w:val="clear" w:color="auto" w:fill="auto"/>
            <w:noWrap w:val="0"/>
            <w:vAlign w:val="center"/>
          </w:tcPr>
          <w:p>
            <w:pPr>
              <w:adjustRightInd w:val="0"/>
              <w:snapToGrid w:val="0"/>
              <w:jc w:val="center"/>
              <w:rPr>
                <w:rFonts w:hint="default" w:ascii="仿宋" w:hAnsi="仿宋" w:eastAsia="仿宋" w:cs="仿宋"/>
                <w:szCs w:val="21"/>
                <w:lang w:val="en-US" w:eastAsia="zh-CN"/>
              </w:rPr>
            </w:pPr>
            <w:r>
              <w:rPr>
                <w:rFonts w:hint="eastAsia" w:ascii="仿宋" w:hAnsi="仿宋" w:eastAsia="仿宋" w:cs="仿宋"/>
                <w:szCs w:val="21"/>
                <w:lang w:val="en-US" w:eastAsia="zh-CN"/>
              </w:rPr>
              <w:t>项目名称</w:t>
            </w:r>
          </w:p>
        </w:tc>
        <w:tc>
          <w:tcPr>
            <w:tcW w:w="3180" w:type="dxa"/>
            <w:shd w:val="clear" w:color="auto" w:fill="auto"/>
            <w:noWrap w:val="0"/>
            <w:vAlign w:val="center"/>
          </w:tcPr>
          <w:p>
            <w:pPr>
              <w:adjustRightInd w:val="0"/>
              <w:snapToGrid w:val="0"/>
              <w:jc w:val="center"/>
              <w:rPr>
                <w:rFonts w:hint="default" w:ascii="仿宋" w:hAnsi="仿宋" w:eastAsia="仿宋" w:cs="仿宋"/>
                <w:szCs w:val="21"/>
                <w:lang w:val="en-US" w:eastAsia="zh-CN"/>
              </w:rPr>
            </w:pPr>
            <w:r>
              <w:rPr>
                <w:rFonts w:hint="eastAsia" w:ascii="仿宋" w:hAnsi="仿宋" w:eastAsia="仿宋" w:cs="仿宋"/>
                <w:szCs w:val="21"/>
                <w:lang w:val="en-US" w:eastAsia="zh-CN"/>
              </w:rPr>
              <w:t>预期成果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dxa"/>
            <w:shd w:val="clear" w:color="auto" w:fill="auto"/>
            <w:noWrap w:val="0"/>
            <w:vAlign w:val="center"/>
          </w:tcPr>
          <w:p>
            <w:pPr>
              <w:spacing w:line="240" w:lineRule="exact"/>
              <w:jc w:val="center"/>
              <w:rPr>
                <w:rFonts w:hint="eastAsia" w:ascii="仿宋" w:hAnsi="仿宋" w:eastAsia="仿宋" w:cs="仿宋"/>
                <w:szCs w:val="21"/>
              </w:rPr>
            </w:pPr>
            <w:r>
              <w:rPr>
                <w:rFonts w:hint="eastAsia" w:ascii="仿宋" w:hAnsi="仿宋" w:eastAsia="仿宋" w:cs="仿宋"/>
                <w:szCs w:val="21"/>
              </w:rPr>
              <w:t>1</w:t>
            </w:r>
          </w:p>
        </w:tc>
        <w:tc>
          <w:tcPr>
            <w:tcW w:w="2494" w:type="dxa"/>
            <w:shd w:val="clear" w:color="auto" w:fill="auto"/>
            <w:noWrap w:val="0"/>
            <w:vAlign w:val="center"/>
          </w:tcPr>
          <w:p>
            <w:pPr>
              <w:widowControl/>
              <w:adjustRightInd w:val="0"/>
              <w:snapToGrid w:val="0"/>
              <w:spacing w:line="300" w:lineRule="exact"/>
              <w:jc w:val="center"/>
              <w:rPr>
                <w:rFonts w:hint="default" w:ascii="仿宋" w:hAnsi="仿宋" w:eastAsia="仿宋" w:cs="仿宋"/>
                <w:color w:val="auto"/>
                <w:szCs w:val="21"/>
                <w:lang w:val="en-US" w:eastAsia="zh-CN"/>
              </w:rPr>
            </w:pPr>
            <w:r>
              <w:rPr>
                <w:rFonts w:hint="default" w:ascii="仿宋" w:hAnsi="仿宋" w:eastAsia="仿宋" w:cs="仿宋"/>
                <w:color w:val="auto"/>
                <w:szCs w:val="21"/>
                <w:lang w:val="en-US" w:eastAsia="zh-CN"/>
              </w:rPr>
              <w:t>准噶尔南缘煤层气重点开采区</w:t>
            </w:r>
          </w:p>
        </w:tc>
        <w:tc>
          <w:tcPr>
            <w:tcW w:w="2183" w:type="dxa"/>
            <w:shd w:val="clear" w:color="auto" w:fill="auto"/>
            <w:noWrap w:val="0"/>
            <w:vAlign w:val="center"/>
          </w:tcPr>
          <w:p>
            <w:pPr>
              <w:spacing w:line="240" w:lineRule="exact"/>
              <w:jc w:val="center"/>
              <w:rPr>
                <w:rFonts w:hint="eastAsia" w:ascii="仿宋" w:hAnsi="仿宋" w:eastAsia="仿宋" w:cs="仿宋"/>
                <w:szCs w:val="21"/>
                <w:lang w:val="en-US" w:eastAsia="zh-CN"/>
              </w:rPr>
            </w:pPr>
            <w:r>
              <w:rPr>
                <w:rFonts w:hint="eastAsia" w:ascii="仿宋" w:hAnsi="仿宋" w:eastAsia="仿宋" w:cs="仿宋"/>
                <w:szCs w:val="21"/>
                <w:lang w:val="en-US" w:eastAsia="zh-CN"/>
              </w:rPr>
              <w:t>新疆沙湾矿区普查</w:t>
            </w:r>
          </w:p>
        </w:tc>
        <w:tc>
          <w:tcPr>
            <w:tcW w:w="3180" w:type="dxa"/>
            <w:shd w:val="clear" w:color="auto" w:fill="auto"/>
            <w:noWrap w:val="0"/>
            <w:vAlign w:val="center"/>
          </w:tcPr>
          <w:p>
            <w:pPr>
              <w:adjustRightInd w:val="0"/>
              <w:snapToGrid w:val="0"/>
              <w:jc w:val="center"/>
              <w:rPr>
                <w:rFonts w:hint="eastAsia" w:ascii="仿宋" w:hAnsi="仿宋" w:eastAsia="仿宋" w:cs="仿宋"/>
                <w:szCs w:val="21"/>
                <w:lang w:val="en-US" w:eastAsia="zh-CN"/>
              </w:rPr>
            </w:pPr>
            <w:r>
              <w:rPr>
                <w:rFonts w:hint="eastAsia" w:ascii="仿宋" w:hAnsi="仿宋" w:eastAsia="仿宋" w:cs="仿宋"/>
                <w:szCs w:val="21"/>
                <w:lang w:val="en-US" w:eastAsia="zh-CN"/>
              </w:rPr>
              <w:t>优选勘查前景有利区1处</w:t>
            </w:r>
          </w:p>
        </w:tc>
      </w:tr>
    </w:tbl>
    <w:p>
      <w:pPr>
        <w:pStyle w:val="3"/>
        <w:keepNext/>
        <w:keepLines/>
        <w:pageBreakBefore w:val="0"/>
        <w:widowControl w:val="0"/>
        <w:kinsoku/>
        <w:wordWrap/>
        <w:overflowPunct/>
        <w:topLinePunct w:val="0"/>
        <w:autoSpaceDE/>
        <w:autoSpaceDN/>
        <w:bidi w:val="0"/>
        <w:adjustRightInd/>
        <w:snapToGrid/>
        <w:spacing w:before="0" w:after="0" w:line="500" w:lineRule="exact"/>
        <w:ind w:firstLine="562" w:firstLineChars="200"/>
        <w:jc w:val="both"/>
        <w:textAlignment w:val="auto"/>
        <w:rPr>
          <w:rFonts w:hint="eastAsia" w:ascii="仿宋" w:hAnsi="仿宋" w:eastAsia="仿宋" w:cs="仿宋"/>
          <w:b/>
          <w:kern w:val="2"/>
          <w:sz w:val="28"/>
          <w:szCs w:val="28"/>
          <w:lang w:val="en-US" w:eastAsia="zh-CN" w:bidi="ar-SA"/>
        </w:rPr>
      </w:pPr>
      <w:r>
        <w:rPr>
          <w:rFonts w:hint="eastAsia" w:ascii="仿宋" w:hAnsi="仿宋" w:eastAsia="仿宋" w:cs="仿宋"/>
          <w:b/>
          <w:kern w:val="2"/>
          <w:sz w:val="28"/>
          <w:szCs w:val="28"/>
          <w:lang w:val="en-US" w:eastAsia="zh-CN" w:bidi="ar-SA"/>
        </w:rPr>
        <w:t>（三）矿产品精深加工基地建设</w:t>
      </w:r>
      <w:bookmarkEnd w:id="156"/>
      <w:bookmarkEnd w:id="157"/>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沙湾市以沙湾市东部煤矿矿区为依托，</w:t>
      </w:r>
      <w:r>
        <w:rPr>
          <w:rFonts w:hint="eastAsia" w:ascii="仿宋" w:hAnsi="仿宋" w:eastAsia="仿宋" w:cs="仿宋"/>
          <w:color w:val="000000"/>
          <w:sz w:val="28"/>
          <w:szCs w:val="28"/>
        </w:rPr>
        <w:t>加快煤炭结构调整和产业升级。坚持以市场为导向，有序控制煤炭开采规模。严格控制新建矿井，加快推进</w:t>
      </w:r>
      <w:r>
        <w:rPr>
          <w:rFonts w:hint="eastAsia" w:ascii="仿宋" w:hAnsi="仿宋" w:eastAsia="仿宋" w:cs="仿宋"/>
          <w:color w:val="000000"/>
          <w:sz w:val="28"/>
          <w:szCs w:val="28"/>
          <w:lang w:eastAsia="zh-CN"/>
        </w:rPr>
        <w:t>准南</w:t>
      </w:r>
      <w:r>
        <w:rPr>
          <w:rFonts w:hint="eastAsia" w:ascii="仿宋" w:hAnsi="仿宋" w:eastAsia="仿宋" w:cs="仿宋"/>
          <w:color w:val="000000"/>
          <w:sz w:val="28"/>
          <w:szCs w:val="28"/>
        </w:rPr>
        <w:t>等煤田已开工的现代化大中型煤矿建设和已有中小型煤矿整合改造，充分利用国家化解煤炭过剩产能中央专项奖补政策，加大煤炭落后产能淘汰力度，逐步淘汰30万吨/年以下煤矿，推进煤炭产业结构优化和转型升级。</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提高矿产开发利用水平</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大力支持矿山企业在资源节约利用上进行科技创新，通过技术革新、设备改造，形成矿产开采与加工产业链</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推进矿产精深加工利用，提升矿产资源综合利用水平</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打造</w:t>
      </w:r>
      <w:r>
        <w:rPr>
          <w:rFonts w:hint="eastAsia" w:ascii="仿宋" w:hAnsi="仿宋" w:eastAsia="仿宋" w:cs="仿宋"/>
          <w:color w:val="000000"/>
          <w:sz w:val="28"/>
          <w:szCs w:val="28"/>
          <w:lang w:val="en-US" w:eastAsia="zh-CN"/>
        </w:rPr>
        <w:t>沙湾</w:t>
      </w:r>
      <w:r>
        <w:rPr>
          <w:rFonts w:hint="eastAsia" w:ascii="仿宋" w:hAnsi="仿宋" w:eastAsia="仿宋" w:cs="仿宋"/>
          <w:color w:val="000000"/>
          <w:sz w:val="28"/>
          <w:szCs w:val="28"/>
          <w:lang w:eastAsia="zh-CN"/>
        </w:rPr>
        <w:t>市</w:t>
      </w:r>
      <w:r>
        <w:rPr>
          <w:rFonts w:hint="eastAsia" w:ascii="仿宋" w:hAnsi="仿宋" w:eastAsia="仿宋" w:cs="仿宋"/>
          <w:color w:val="000000"/>
          <w:sz w:val="28"/>
          <w:szCs w:val="28"/>
        </w:rPr>
        <w:t>哈拉干德工矿产品加工基地</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专栏21</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rPr>
        <w:t>。</w:t>
      </w:r>
    </w:p>
    <w:tbl>
      <w:tblPr>
        <w:tblStyle w:val="16"/>
        <w:tblW w:w="84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689"/>
        <w:gridCol w:w="2963"/>
        <w:gridCol w:w="1668"/>
        <w:gridCol w:w="1444"/>
        <w:gridCol w:w="1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PrEx>
        <w:trPr>
          <w:trHeight w:val="340" w:hRule="atLeast"/>
          <w:tblHeader/>
        </w:trPr>
        <w:tc>
          <w:tcPr>
            <w:tcW w:w="8463" w:type="dxa"/>
            <w:gridSpan w:val="5"/>
            <w:shd w:val="clear" w:color="auto" w:fill="BEBEBE" w:themeFill="background1" w:themeFillShade="BF"/>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b/>
                <w:bCs/>
                <w:color w:val="auto"/>
                <w:kern w:val="0"/>
                <w:szCs w:val="21"/>
                <w:lang w:val="en-US" w:eastAsia="zh-CN"/>
              </w:rPr>
              <w:t xml:space="preserve">专栏21      </w:t>
            </w:r>
            <w:r>
              <w:rPr>
                <w:rFonts w:hint="eastAsia" w:ascii="仿宋" w:hAnsi="仿宋" w:eastAsia="仿宋" w:cs="仿宋"/>
                <w:b/>
                <w:bCs/>
                <w:color w:val="auto"/>
                <w:kern w:val="0"/>
                <w:szCs w:val="21"/>
                <w:shd w:val="clear" w:fill="BEBEBE" w:themeFill="background1" w:themeFillShade="BF"/>
                <w:lang w:val="en-US" w:eastAsia="zh-CN"/>
              </w:rPr>
              <w:t>矿产品精深加工基地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40" w:hRule="atLeast"/>
          <w:tblHeader/>
        </w:trPr>
        <w:tc>
          <w:tcPr>
            <w:tcW w:w="689"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序号</w:t>
            </w:r>
          </w:p>
        </w:tc>
        <w:tc>
          <w:tcPr>
            <w:tcW w:w="2963"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名称</w:t>
            </w:r>
          </w:p>
        </w:tc>
        <w:tc>
          <w:tcPr>
            <w:tcW w:w="1668"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所在行政区</w:t>
            </w:r>
          </w:p>
        </w:tc>
        <w:tc>
          <w:tcPr>
            <w:tcW w:w="1444"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主要矿种</w:t>
            </w:r>
          </w:p>
        </w:tc>
        <w:tc>
          <w:tcPr>
            <w:tcW w:w="1699"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主要矿区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689"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1</w:t>
            </w:r>
          </w:p>
        </w:tc>
        <w:tc>
          <w:tcPr>
            <w:tcW w:w="2963"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哈拉干德工矿产品加工基地</w:t>
            </w:r>
          </w:p>
        </w:tc>
        <w:tc>
          <w:tcPr>
            <w:tcW w:w="1668"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沙湾市</w:t>
            </w:r>
          </w:p>
        </w:tc>
        <w:tc>
          <w:tcPr>
            <w:tcW w:w="1444"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煤炭</w:t>
            </w:r>
          </w:p>
        </w:tc>
        <w:tc>
          <w:tcPr>
            <w:tcW w:w="1699" w:type="dxa"/>
            <w:shd w:val="clear" w:color="auto" w:fill="FFFFFF" w:themeFill="background1"/>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沙湾东矿区煤矿</w:t>
            </w:r>
          </w:p>
        </w:tc>
      </w:tr>
    </w:tbl>
    <w:p>
      <w:pPr>
        <w:keepNext w:val="0"/>
        <w:keepLines w:val="0"/>
        <w:pageBreakBefore w:val="0"/>
        <w:widowControl w:val="0"/>
        <w:tabs>
          <w:tab w:val="left" w:pos="0"/>
        </w:tabs>
        <w:kinsoku/>
        <w:wordWrap/>
        <w:overflowPunct/>
        <w:topLinePunct w:val="0"/>
        <w:autoSpaceDE/>
        <w:autoSpaceDN/>
        <w:bidi w:val="0"/>
        <w:adjustRightInd/>
        <w:snapToGrid/>
        <w:spacing w:line="500" w:lineRule="exact"/>
        <w:ind w:firstLine="562" w:firstLineChars="200"/>
        <w:textAlignment w:val="auto"/>
        <w:outlineLvl w:val="1"/>
        <w:rPr>
          <w:rFonts w:hint="eastAsia" w:ascii="仿宋" w:hAnsi="仿宋" w:eastAsia="仿宋" w:cs="仿宋"/>
          <w:b/>
          <w:bCs/>
          <w:sz w:val="28"/>
          <w:szCs w:val="28"/>
        </w:rPr>
      </w:pPr>
      <w:bookmarkStart w:id="158" w:name="_Toc94278171"/>
      <w:bookmarkStart w:id="159" w:name="_Toc12032"/>
      <w:bookmarkStart w:id="160" w:name="_Toc93917028"/>
      <w:bookmarkStart w:id="161" w:name="_Toc89547583"/>
      <w:r>
        <w:rPr>
          <w:rFonts w:hint="eastAsia" w:ascii="仿宋" w:hAnsi="仿宋" w:eastAsia="仿宋" w:cs="仿宋"/>
          <w:b/>
          <w:bCs/>
          <w:sz w:val="28"/>
          <w:szCs w:val="28"/>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rPr>
        <w:t>）土地恢复治理重点项目</w:t>
      </w:r>
      <w:bookmarkEnd w:id="158"/>
      <w:bookmarkEnd w:id="159"/>
      <w:bookmarkEnd w:id="160"/>
      <w:bookmarkEnd w:id="161"/>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宋体"/>
          <w:sz w:val="28"/>
          <w:szCs w:val="28"/>
        </w:rPr>
      </w:pPr>
      <w:r>
        <w:rPr>
          <w:rFonts w:hint="eastAsia" w:ascii="仿宋" w:hAnsi="仿宋" w:eastAsia="仿宋" w:cs="仿宋"/>
          <w:sz w:val="28"/>
          <w:szCs w:val="28"/>
        </w:rPr>
        <w:t>加快矿</w:t>
      </w:r>
      <w:r>
        <w:rPr>
          <w:rFonts w:hint="eastAsia" w:ascii="仿宋" w:hAnsi="仿宋" w:eastAsia="仿宋" w:cs="仿宋"/>
          <w:sz w:val="28"/>
          <w:szCs w:val="28"/>
          <w:lang w:val="en-US" w:eastAsia="zh-CN"/>
        </w:rPr>
        <w:t>山沙坑</w:t>
      </w:r>
      <w:r>
        <w:rPr>
          <w:rFonts w:hint="eastAsia" w:ascii="仿宋" w:hAnsi="仿宋" w:eastAsia="仿宋" w:cs="仿宋"/>
          <w:sz w:val="28"/>
          <w:szCs w:val="28"/>
        </w:rPr>
        <w:t>土地整治，积极申请国家和自治区财政资金有计划、分批次、有重点地进行土地整治工作，规划矿</w:t>
      </w:r>
      <w:r>
        <w:rPr>
          <w:rFonts w:hint="eastAsia" w:ascii="仿宋" w:hAnsi="仿宋" w:eastAsia="仿宋" w:cs="仿宋"/>
          <w:sz w:val="28"/>
          <w:szCs w:val="28"/>
          <w:lang w:val="en-US" w:eastAsia="zh-CN"/>
        </w:rPr>
        <w:t>山</w:t>
      </w:r>
      <w:r>
        <w:rPr>
          <w:rFonts w:hint="eastAsia" w:ascii="仿宋" w:hAnsi="仿宋" w:eastAsia="仿宋" w:cs="仿宋"/>
          <w:sz w:val="28"/>
          <w:szCs w:val="28"/>
        </w:rPr>
        <w:t>土地恢复治理重点项目</w:t>
      </w:r>
      <w:r>
        <w:rPr>
          <w:rFonts w:hint="eastAsia" w:ascii="仿宋" w:hAnsi="仿宋" w:eastAsia="仿宋" w:cs="仿宋"/>
          <w:sz w:val="28"/>
          <w:szCs w:val="28"/>
          <w:lang w:val="en-US" w:eastAsia="zh-CN"/>
        </w:rPr>
        <w:t>5</w:t>
      </w:r>
      <w:r>
        <w:rPr>
          <w:rFonts w:hint="eastAsia" w:ascii="仿宋" w:hAnsi="仿宋" w:eastAsia="仿宋" w:cs="仿宋"/>
          <w:sz w:val="28"/>
          <w:szCs w:val="28"/>
        </w:rPr>
        <w:t>个（专栏</w:t>
      </w:r>
      <w:r>
        <w:rPr>
          <w:rFonts w:hint="eastAsia" w:ascii="仿宋" w:hAnsi="仿宋" w:eastAsia="仿宋" w:cs="仿宋"/>
          <w:sz w:val="28"/>
          <w:szCs w:val="28"/>
          <w:lang w:val="en-US" w:eastAsia="zh-CN"/>
        </w:rPr>
        <w:t>22</w:t>
      </w:r>
      <w:r>
        <w:rPr>
          <w:rFonts w:hint="eastAsia" w:ascii="仿宋" w:hAnsi="仿宋" w:eastAsia="仿宋" w:cs="仿宋"/>
          <w:sz w:val="28"/>
          <w:szCs w:val="28"/>
        </w:rPr>
        <w:t>）。</w:t>
      </w:r>
    </w:p>
    <w:tbl>
      <w:tblPr>
        <w:tblStyle w:val="16"/>
        <w:tblW w:w="83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4"/>
        <w:gridCol w:w="3725"/>
        <w:gridCol w:w="1079"/>
        <w:gridCol w:w="1174"/>
        <w:gridCol w:w="1007"/>
        <w:gridCol w:w="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36" w:type="dxa"/>
            <w:gridSpan w:val="6"/>
            <w:shd w:val="clear" w:color="auto" w:fill="A4A4A4"/>
            <w:noWrap w:val="0"/>
            <w:tcMar>
              <w:top w:w="15" w:type="dxa"/>
              <w:left w:w="15" w:type="dxa"/>
              <w:right w:w="15" w:type="dxa"/>
            </w:tcMar>
            <w:vAlign w:val="center"/>
          </w:tcPr>
          <w:p>
            <w:pPr>
              <w:jc w:val="center"/>
              <w:rPr>
                <w:rFonts w:hint="eastAsia" w:ascii="仿宋" w:hAnsi="仿宋" w:eastAsia="仿宋" w:cs="仿宋"/>
                <w:b/>
                <w:bCs/>
                <w:szCs w:val="21"/>
                <w:lang w:bidi="zh-TW"/>
              </w:rPr>
            </w:pPr>
            <w:r>
              <w:rPr>
                <w:rFonts w:hint="eastAsia" w:ascii="仿宋" w:hAnsi="仿宋" w:eastAsia="仿宋" w:cs="仿宋"/>
                <w:b/>
                <w:bCs/>
                <w:szCs w:val="21"/>
                <w:lang w:bidi="zh-TW"/>
              </w:rPr>
              <w:t>专栏</w:t>
            </w:r>
            <w:r>
              <w:rPr>
                <w:rFonts w:hint="eastAsia" w:ascii="仿宋" w:hAnsi="仿宋" w:eastAsia="仿宋" w:cs="仿宋"/>
                <w:b/>
                <w:bCs/>
                <w:szCs w:val="21"/>
                <w:lang w:val="en-US" w:eastAsia="zh-CN" w:bidi="zh-TW"/>
              </w:rPr>
              <w:t>22</w:t>
            </w:r>
            <w:r>
              <w:rPr>
                <w:rFonts w:hint="eastAsia" w:ascii="仿宋" w:hAnsi="仿宋" w:eastAsia="仿宋" w:cs="仿宋"/>
                <w:b/>
                <w:bCs/>
                <w:szCs w:val="21"/>
                <w:lang w:bidi="zh-TW"/>
              </w:rPr>
              <w:t xml:space="preserve">      </w:t>
            </w:r>
            <w:r>
              <w:rPr>
                <w:rFonts w:hint="eastAsia" w:ascii="仿宋" w:hAnsi="仿宋" w:eastAsia="仿宋" w:cs="仿宋"/>
                <w:b/>
                <w:bCs/>
                <w:szCs w:val="21"/>
              </w:rPr>
              <w:t>矿</w:t>
            </w:r>
            <w:r>
              <w:rPr>
                <w:rFonts w:hint="eastAsia" w:ascii="仿宋" w:hAnsi="仿宋" w:eastAsia="仿宋" w:cs="仿宋"/>
                <w:b/>
                <w:bCs/>
                <w:szCs w:val="21"/>
                <w:lang w:val="en-US" w:eastAsia="zh-CN"/>
              </w:rPr>
              <w:t>区</w:t>
            </w:r>
            <w:r>
              <w:rPr>
                <w:rFonts w:hint="eastAsia" w:ascii="仿宋" w:hAnsi="仿宋" w:eastAsia="仿宋" w:cs="仿宋"/>
                <w:b/>
                <w:bCs/>
                <w:szCs w:val="21"/>
              </w:rPr>
              <w:t>土地恢复治理重点项目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34" w:type="dxa"/>
            <w:noWrap w:val="0"/>
            <w:tcMar>
              <w:top w:w="15" w:type="dxa"/>
              <w:left w:w="15" w:type="dxa"/>
              <w:right w:w="15" w:type="dxa"/>
            </w:tcMar>
            <w:vAlign w:val="center"/>
          </w:tcPr>
          <w:p>
            <w:pPr>
              <w:spacing w:line="100" w:lineRule="atLeast"/>
              <w:jc w:val="center"/>
              <w:textAlignment w:val="center"/>
              <w:rPr>
                <w:rFonts w:hint="eastAsia" w:ascii="仿宋" w:hAnsi="仿宋" w:eastAsia="仿宋" w:cs="仿宋"/>
                <w:bCs/>
                <w:color w:val="000000"/>
                <w:szCs w:val="21"/>
              </w:rPr>
            </w:pPr>
            <w:r>
              <w:rPr>
                <w:rFonts w:hint="eastAsia" w:ascii="仿宋" w:hAnsi="仿宋" w:eastAsia="仿宋" w:cs="仿宋"/>
                <w:bCs/>
                <w:color w:val="000000"/>
                <w:kern w:val="0"/>
                <w:szCs w:val="21"/>
                <w:lang w:bidi="ar"/>
              </w:rPr>
              <w:t>序号</w:t>
            </w:r>
          </w:p>
        </w:tc>
        <w:tc>
          <w:tcPr>
            <w:tcW w:w="3725" w:type="dxa"/>
            <w:noWrap w:val="0"/>
            <w:tcMar>
              <w:top w:w="15" w:type="dxa"/>
              <w:left w:w="15" w:type="dxa"/>
              <w:right w:w="15" w:type="dxa"/>
            </w:tcMar>
            <w:vAlign w:val="center"/>
          </w:tcPr>
          <w:p>
            <w:pPr>
              <w:spacing w:line="100" w:lineRule="atLeast"/>
              <w:jc w:val="center"/>
              <w:textAlignment w:val="center"/>
              <w:rPr>
                <w:rFonts w:hint="eastAsia" w:ascii="仿宋" w:hAnsi="仿宋" w:eastAsia="仿宋" w:cs="仿宋"/>
                <w:bCs/>
                <w:color w:val="000000"/>
                <w:szCs w:val="21"/>
              </w:rPr>
            </w:pPr>
            <w:r>
              <w:rPr>
                <w:rFonts w:hint="eastAsia" w:ascii="仿宋" w:hAnsi="仿宋" w:eastAsia="仿宋" w:cs="仿宋"/>
                <w:bCs/>
                <w:color w:val="000000"/>
                <w:kern w:val="0"/>
                <w:szCs w:val="21"/>
                <w:lang w:bidi="ar"/>
              </w:rPr>
              <w:t>治理项目名称</w:t>
            </w:r>
          </w:p>
        </w:tc>
        <w:tc>
          <w:tcPr>
            <w:tcW w:w="1079" w:type="dxa"/>
            <w:noWrap w:val="0"/>
            <w:tcMar>
              <w:top w:w="15" w:type="dxa"/>
              <w:left w:w="15" w:type="dxa"/>
              <w:right w:w="15" w:type="dxa"/>
            </w:tcMar>
            <w:vAlign w:val="center"/>
          </w:tcPr>
          <w:p>
            <w:pPr>
              <w:spacing w:line="100" w:lineRule="atLeast"/>
              <w:jc w:val="center"/>
              <w:textAlignment w:val="center"/>
              <w:rPr>
                <w:rFonts w:hint="eastAsia" w:ascii="仿宋" w:hAnsi="仿宋" w:eastAsia="仿宋" w:cs="仿宋"/>
                <w:bCs/>
                <w:color w:val="000000"/>
                <w:szCs w:val="21"/>
              </w:rPr>
            </w:pPr>
            <w:r>
              <w:rPr>
                <w:rFonts w:hint="eastAsia" w:ascii="仿宋" w:hAnsi="仿宋" w:eastAsia="仿宋" w:cs="仿宋"/>
                <w:bCs/>
                <w:color w:val="000000"/>
                <w:szCs w:val="21"/>
              </w:rPr>
              <w:t>项目进展</w:t>
            </w:r>
          </w:p>
        </w:tc>
        <w:tc>
          <w:tcPr>
            <w:tcW w:w="1174" w:type="dxa"/>
            <w:noWrap w:val="0"/>
            <w:vAlign w:val="center"/>
          </w:tcPr>
          <w:p>
            <w:pPr>
              <w:spacing w:line="100" w:lineRule="atLeast"/>
              <w:jc w:val="center"/>
              <w:textAlignment w:val="center"/>
              <w:rPr>
                <w:rFonts w:hint="eastAsia" w:ascii="仿宋" w:hAnsi="仿宋" w:eastAsia="仿宋" w:cs="仿宋"/>
                <w:bCs/>
                <w:color w:val="000000"/>
                <w:szCs w:val="21"/>
                <w:lang w:eastAsia="zh-CN"/>
              </w:rPr>
            </w:pPr>
            <w:r>
              <w:rPr>
                <w:rFonts w:hint="eastAsia" w:ascii="仿宋" w:hAnsi="仿宋" w:eastAsia="仿宋" w:cs="仿宋"/>
                <w:bCs/>
                <w:color w:val="000000"/>
                <w:szCs w:val="21"/>
              </w:rPr>
              <w:t>面积</w:t>
            </w:r>
            <w:r>
              <w:rPr>
                <w:rFonts w:hint="eastAsia" w:ascii="仿宋" w:hAnsi="仿宋" w:eastAsia="仿宋" w:cs="仿宋"/>
                <w:bCs/>
                <w:color w:val="000000"/>
                <w:szCs w:val="21"/>
                <w:lang w:eastAsia="zh-CN"/>
              </w:rPr>
              <w:t>（</w:t>
            </w:r>
            <w:r>
              <w:rPr>
                <w:rFonts w:hint="eastAsia" w:ascii="仿宋" w:hAnsi="仿宋" w:eastAsia="仿宋" w:cs="仿宋"/>
                <w:bCs/>
                <w:color w:val="000000"/>
                <w:szCs w:val="21"/>
                <w:lang w:val="en-US" w:eastAsia="zh-CN"/>
              </w:rPr>
              <w:t>公顷</w:t>
            </w:r>
            <w:r>
              <w:rPr>
                <w:rFonts w:hint="eastAsia" w:ascii="仿宋" w:hAnsi="仿宋" w:eastAsia="仿宋" w:cs="仿宋"/>
                <w:bCs/>
                <w:color w:val="000000"/>
                <w:szCs w:val="21"/>
                <w:lang w:eastAsia="zh-CN"/>
              </w:rPr>
              <w:t>）</w:t>
            </w:r>
          </w:p>
        </w:tc>
        <w:tc>
          <w:tcPr>
            <w:tcW w:w="1007" w:type="dxa"/>
            <w:noWrap w:val="0"/>
            <w:vAlign w:val="center"/>
          </w:tcPr>
          <w:p>
            <w:pPr>
              <w:spacing w:line="100" w:lineRule="atLeast"/>
              <w:jc w:val="center"/>
              <w:textAlignment w:val="center"/>
              <w:rPr>
                <w:rFonts w:hint="eastAsia" w:ascii="仿宋" w:hAnsi="仿宋" w:eastAsia="仿宋" w:cs="仿宋"/>
                <w:bCs/>
                <w:color w:val="000000"/>
                <w:szCs w:val="21"/>
              </w:rPr>
            </w:pPr>
            <w:r>
              <w:rPr>
                <w:rFonts w:hint="eastAsia" w:ascii="仿宋" w:hAnsi="仿宋" w:eastAsia="仿宋" w:cs="仿宋"/>
                <w:bCs/>
                <w:color w:val="000000"/>
                <w:szCs w:val="21"/>
              </w:rPr>
              <w:t>时序</w:t>
            </w:r>
          </w:p>
        </w:tc>
        <w:tc>
          <w:tcPr>
            <w:tcW w:w="817" w:type="dxa"/>
            <w:noWrap w:val="0"/>
            <w:vAlign w:val="center"/>
          </w:tcPr>
          <w:p>
            <w:pPr>
              <w:spacing w:line="100" w:lineRule="atLeast"/>
              <w:jc w:val="center"/>
              <w:textAlignment w:val="center"/>
              <w:rPr>
                <w:rFonts w:hint="eastAsia" w:ascii="仿宋" w:hAnsi="仿宋" w:eastAsia="仿宋" w:cs="仿宋"/>
                <w:bCs/>
                <w:color w:val="000000"/>
                <w:szCs w:val="21"/>
              </w:rPr>
            </w:pPr>
            <w:r>
              <w:rPr>
                <w:rFonts w:hint="eastAsia" w:ascii="仿宋" w:hAnsi="仿宋" w:eastAsia="仿宋" w:cs="仿宋"/>
                <w:bCs/>
                <w:color w:val="000000"/>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34"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1</w:t>
            </w:r>
          </w:p>
        </w:tc>
        <w:tc>
          <w:tcPr>
            <w:tcW w:w="3725"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新疆沙湾县安集海永红砖厂</w:t>
            </w:r>
          </w:p>
        </w:tc>
        <w:tc>
          <w:tcPr>
            <w:tcW w:w="1079"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正在治理</w:t>
            </w:r>
          </w:p>
        </w:tc>
        <w:tc>
          <w:tcPr>
            <w:tcW w:w="1174"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1.2</w:t>
            </w:r>
          </w:p>
        </w:tc>
        <w:tc>
          <w:tcPr>
            <w:tcW w:w="100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2021-2023</w:t>
            </w:r>
          </w:p>
        </w:tc>
        <w:tc>
          <w:tcPr>
            <w:tcW w:w="81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34"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w:t>
            </w:r>
          </w:p>
        </w:tc>
        <w:tc>
          <w:tcPr>
            <w:tcW w:w="3725"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新疆沙湾县乌兰乌苏宝新空心砖厂</w:t>
            </w:r>
          </w:p>
        </w:tc>
        <w:tc>
          <w:tcPr>
            <w:tcW w:w="1079"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未开展</w:t>
            </w:r>
          </w:p>
        </w:tc>
        <w:tc>
          <w:tcPr>
            <w:tcW w:w="1174"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3.8</w:t>
            </w:r>
          </w:p>
        </w:tc>
        <w:tc>
          <w:tcPr>
            <w:tcW w:w="100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2023-2025</w:t>
            </w:r>
          </w:p>
        </w:tc>
        <w:tc>
          <w:tcPr>
            <w:tcW w:w="81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34"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3</w:t>
            </w:r>
          </w:p>
        </w:tc>
        <w:tc>
          <w:tcPr>
            <w:tcW w:w="3725"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新疆沙湾县乌兰乌苏镇西树窝子砖厂</w:t>
            </w:r>
          </w:p>
        </w:tc>
        <w:tc>
          <w:tcPr>
            <w:tcW w:w="1079"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未开展</w:t>
            </w:r>
          </w:p>
        </w:tc>
        <w:tc>
          <w:tcPr>
            <w:tcW w:w="1174"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0.4</w:t>
            </w:r>
          </w:p>
        </w:tc>
        <w:tc>
          <w:tcPr>
            <w:tcW w:w="100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2023-2025</w:t>
            </w:r>
          </w:p>
        </w:tc>
        <w:tc>
          <w:tcPr>
            <w:tcW w:w="81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34" w:type="dxa"/>
            <w:noWrap w:val="0"/>
            <w:tcMar>
              <w:top w:w="15" w:type="dxa"/>
              <w:left w:w="15" w:type="dxa"/>
              <w:right w:w="15" w:type="dxa"/>
            </w:tcMar>
            <w:vAlign w:val="center"/>
          </w:tcPr>
          <w:p>
            <w:pPr>
              <w:widowControl/>
              <w:adjustRightInd w:val="0"/>
              <w:snapToGrid w:val="0"/>
              <w:spacing w:line="300" w:lineRule="exact"/>
              <w:jc w:val="center"/>
              <w:rPr>
                <w:rFonts w:hint="default"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4</w:t>
            </w:r>
          </w:p>
        </w:tc>
        <w:tc>
          <w:tcPr>
            <w:tcW w:w="3725"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修高速公路遗留废弃砂坑</w:t>
            </w:r>
          </w:p>
        </w:tc>
        <w:tc>
          <w:tcPr>
            <w:tcW w:w="1079" w:type="dxa"/>
            <w:noWrap w:val="0"/>
            <w:tcMar>
              <w:top w:w="15" w:type="dxa"/>
              <w:left w:w="15" w:type="dxa"/>
              <w:right w:w="15" w:type="dxa"/>
            </w:tcMar>
            <w:vAlign w:val="center"/>
          </w:tcPr>
          <w:p>
            <w:pPr>
              <w:widowControl/>
              <w:adjustRightInd w:val="0"/>
              <w:snapToGrid w:val="0"/>
              <w:spacing w:line="300" w:lineRule="exact"/>
              <w:jc w:val="center"/>
              <w:rPr>
                <w:rFonts w:hint="default"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完成前勘</w:t>
            </w:r>
          </w:p>
        </w:tc>
        <w:tc>
          <w:tcPr>
            <w:tcW w:w="1174"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25</w:t>
            </w:r>
          </w:p>
        </w:tc>
        <w:tc>
          <w:tcPr>
            <w:tcW w:w="1007" w:type="dxa"/>
            <w:noWrap w:val="0"/>
            <w:vAlign w:val="center"/>
          </w:tcPr>
          <w:p>
            <w:pPr>
              <w:widowControl/>
              <w:adjustRightInd w:val="0"/>
              <w:snapToGrid w:val="0"/>
              <w:spacing w:line="300" w:lineRule="exact"/>
              <w:jc w:val="center"/>
              <w:rPr>
                <w:rFonts w:hint="default"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2021-2025</w:t>
            </w:r>
          </w:p>
        </w:tc>
        <w:tc>
          <w:tcPr>
            <w:tcW w:w="81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预期性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34" w:type="dxa"/>
            <w:noWrap w:val="0"/>
            <w:tcMar>
              <w:top w:w="15" w:type="dxa"/>
              <w:left w:w="15" w:type="dxa"/>
              <w:right w:w="15" w:type="dxa"/>
            </w:tcMar>
            <w:vAlign w:val="center"/>
          </w:tcPr>
          <w:p>
            <w:pPr>
              <w:widowControl/>
              <w:adjustRightInd w:val="0"/>
              <w:snapToGrid w:val="0"/>
              <w:spacing w:line="300" w:lineRule="exact"/>
              <w:jc w:val="center"/>
              <w:rPr>
                <w:rFonts w:hint="default"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5</w:t>
            </w:r>
          </w:p>
        </w:tc>
        <w:tc>
          <w:tcPr>
            <w:tcW w:w="3725"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金沟河工业园区内废弃砂坑</w:t>
            </w:r>
          </w:p>
        </w:tc>
        <w:tc>
          <w:tcPr>
            <w:tcW w:w="1079" w:type="dxa"/>
            <w:noWrap w:val="0"/>
            <w:tcMar>
              <w:top w:w="15" w:type="dxa"/>
              <w:left w:w="15" w:type="dxa"/>
              <w:right w:w="15" w:type="dxa"/>
            </w:tcMar>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完成前勘</w:t>
            </w:r>
          </w:p>
        </w:tc>
        <w:tc>
          <w:tcPr>
            <w:tcW w:w="1174"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16</w:t>
            </w:r>
          </w:p>
        </w:tc>
        <w:tc>
          <w:tcPr>
            <w:tcW w:w="100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2021-2025</w:t>
            </w:r>
          </w:p>
        </w:tc>
        <w:tc>
          <w:tcPr>
            <w:tcW w:w="817" w:type="dxa"/>
            <w:noWrap w:val="0"/>
            <w:vAlign w:val="center"/>
          </w:tcPr>
          <w:p>
            <w:pPr>
              <w:widowControl/>
              <w:adjustRightInd w:val="0"/>
              <w:snapToGrid w:val="0"/>
              <w:spacing w:line="300" w:lineRule="exact"/>
              <w:jc w:val="center"/>
              <w:rPr>
                <w:rFonts w:hint="eastAsia" w:ascii="仿宋" w:hAnsi="仿宋" w:eastAsia="仿宋" w:cs="仿宋"/>
                <w:color w:val="auto"/>
                <w:kern w:val="0"/>
                <w:szCs w:val="21"/>
                <w:lang w:val="en-US" w:eastAsia="zh-CN"/>
              </w:rPr>
            </w:pPr>
            <w:r>
              <w:rPr>
                <w:rFonts w:hint="eastAsia" w:ascii="仿宋" w:hAnsi="仿宋" w:eastAsia="仿宋" w:cs="仿宋"/>
                <w:color w:val="auto"/>
                <w:kern w:val="0"/>
                <w:szCs w:val="21"/>
                <w:lang w:val="en-US" w:eastAsia="zh-CN"/>
              </w:rPr>
              <w:t>预期性</w:t>
            </w:r>
          </w:p>
        </w:tc>
      </w:tr>
    </w:tbl>
    <w:p>
      <w:pPr>
        <w:rPr>
          <w:rFonts w:hint="eastAsia" w:ascii="黑体" w:hAnsi="黑体" w:eastAsia="黑体" w:cs="黑体"/>
          <w:b w:val="0"/>
          <w:bCs w:val="0"/>
          <w:color w:val="000000"/>
          <w:sz w:val="32"/>
          <w:szCs w:val="32"/>
          <w:lang w:val="zh-CN" w:eastAsia="zh-CN"/>
        </w:rPr>
      </w:pPr>
      <w:bookmarkStart w:id="162" w:name="_Toc24490"/>
      <w:r>
        <w:rPr>
          <w:rFonts w:hint="eastAsia" w:ascii="黑体" w:hAnsi="黑体" w:eastAsia="黑体" w:cs="黑体"/>
          <w:b w:val="0"/>
          <w:bCs w:val="0"/>
          <w:color w:val="000000"/>
          <w:sz w:val="32"/>
          <w:szCs w:val="32"/>
          <w:lang w:val="zh-CN" w:eastAsia="zh-CN"/>
        </w:rPr>
        <w:br w:type="page"/>
      </w:r>
    </w:p>
    <w:p>
      <w:pPr>
        <w:keepNext w:val="0"/>
        <w:keepLines w:val="0"/>
        <w:pageBreakBefore w:val="0"/>
        <w:widowControl/>
        <w:kinsoku/>
        <w:wordWrap/>
        <w:overflowPunct/>
        <w:topLinePunct w:val="0"/>
        <w:autoSpaceDE/>
        <w:autoSpaceDN/>
        <w:bidi w:val="0"/>
        <w:adjustRightInd/>
        <w:snapToGrid/>
        <w:spacing w:before="157" w:beforeLines="50" w:line="360" w:lineRule="auto"/>
        <w:ind w:firstLine="640" w:firstLineChars="200"/>
        <w:jc w:val="both"/>
        <w:textAlignment w:val="auto"/>
        <w:outlineLvl w:val="0"/>
        <w:rPr>
          <w:rFonts w:hint="eastAsia" w:ascii="黑体" w:hAnsi="黑体" w:eastAsia="黑体" w:cs="黑体"/>
          <w:b w:val="0"/>
          <w:bCs w:val="0"/>
          <w:color w:val="000000"/>
          <w:sz w:val="32"/>
          <w:szCs w:val="32"/>
          <w:lang w:val="zh-CN" w:eastAsia="zh-CN"/>
        </w:rPr>
      </w:pPr>
      <w:r>
        <w:rPr>
          <w:rFonts w:hint="eastAsia" w:ascii="黑体" w:hAnsi="黑体" w:eastAsia="黑体" w:cs="黑体"/>
          <w:b w:val="0"/>
          <w:bCs w:val="0"/>
          <w:color w:val="000000"/>
          <w:sz w:val="32"/>
          <w:szCs w:val="32"/>
          <w:lang w:val="zh-CN" w:eastAsia="zh-CN"/>
        </w:rPr>
        <w:t>七、规划实施管理</w:t>
      </w:r>
      <w:bookmarkEnd w:id="162"/>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sz w:val="28"/>
          <w:szCs w:val="28"/>
        </w:rPr>
      </w:pPr>
      <w:bookmarkStart w:id="163" w:name="_Toc512426035"/>
      <w:bookmarkStart w:id="164" w:name="_Toc12653_WPSOffice_Level2"/>
      <w:bookmarkStart w:id="165" w:name="_Toc480184359"/>
      <w:bookmarkStart w:id="166" w:name="_Toc481116928"/>
      <w:bookmarkStart w:id="167" w:name="_Toc58666874"/>
      <w:bookmarkStart w:id="168" w:name="_Toc497606541"/>
      <w:r>
        <w:rPr>
          <w:rFonts w:hint="eastAsia" w:ascii="仿宋" w:hAnsi="仿宋" w:eastAsia="仿宋" w:cs="仿宋"/>
          <w:sz w:val="28"/>
          <w:szCs w:val="28"/>
        </w:rPr>
        <w:t>本《规划》一经批准，必须严格执行。由</w:t>
      </w:r>
      <w:r>
        <w:rPr>
          <w:rFonts w:hint="eastAsia" w:ascii="仿宋" w:hAnsi="仿宋" w:eastAsia="仿宋" w:cs="仿宋"/>
          <w:sz w:val="28"/>
          <w:szCs w:val="28"/>
          <w:lang w:val="en-US" w:eastAsia="zh-CN"/>
        </w:rPr>
        <w:t>沙湾</w:t>
      </w:r>
      <w:r>
        <w:rPr>
          <w:rFonts w:hint="eastAsia" w:ascii="仿宋" w:hAnsi="仿宋" w:eastAsia="仿宋" w:cs="仿宋"/>
          <w:sz w:val="28"/>
          <w:szCs w:val="28"/>
        </w:rPr>
        <w:t>市政府组织实施，按照统筹协调、分工负责的原则，加强规划实施管理，举全地市之力，共同实现未来五年的发展蓝图。</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1"/>
        <w:rPr>
          <w:rFonts w:hint="eastAsia" w:ascii="仿宋" w:hAnsi="仿宋" w:eastAsia="仿宋" w:cs="仿宋"/>
          <w:b/>
          <w:bCs/>
          <w:sz w:val="28"/>
          <w:szCs w:val="28"/>
          <w:lang w:eastAsia="zh-CN"/>
        </w:rPr>
      </w:pPr>
      <w:bookmarkStart w:id="169" w:name="_Toc6954"/>
      <w:bookmarkStart w:id="170" w:name="_Toc65143728"/>
      <w:r>
        <w:rPr>
          <w:rFonts w:hint="eastAsia" w:ascii="仿宋" w:hAnsi="仿宋" w:eastAsia="仿宋" w:cs="仿宋"/>
          <w:b/>
          <w:bCs/>
          <w:sz w:val="28"/>
          <w:szCs w:val="28"/>
          <w:lang w:val="en-US" w:eastAsia="zh-CN"/>
        </w:rPr>
        <w:t>（一）建立完善规划实施目标责任考核制度</w:t>
      </w:r>
      <w:bookmarkEnd w:id="163"/>
      <w:bookmarkEnd w:id="164"/>
      <w:bookmarkEnd w:id="165"/>
      <w:bookmarkEnd w:id="166"/>
      <w:bookmarkEnd w:id="167"/>
      <w:bookmarkEnd w:id="168"/>
      <w:bookmarkEnd w:id="169"/>
      <w:bookmarkEnd w:id="170"/>
    </w:p>
    <w:p>
      <w:pPr>
        <w:keepNext w:val="0"/>
        <w:keepLines w:val="0"/>
        <w:pageBreakBefore w:val="0"/>
        <w:tabs>
          <w:tab w:val="left" w:pos="2604"/>
          <w:tab w:val="left" w:pos="5795"/>
        </w:tabs>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sz w:val="28"/>
          <w:szCs w:val="28"/>
        </w:rPr>
      </w:pPr>
      <w:bookmarkStart w:id="171" w:name="_Toc27565_WPSOffice_Level2"/>
      <w:bookmarkStart w:id="172" w:name="_Toc58666875"/>
      <w:bookmarkStart w:id="173" w:name="_Toc512426036"/>
      <w:bookmarkStart w:id="174" w:name="_Toc481116929"/>
      <w:bookmarkStart w:id="175" w:name="_Toc497606542"/>
      <w:bookmarkStart w:id="176" w:name="_Toc65143729"/>
      <w:bookmarkStart w:id="177" w:name="_Toc480184360"/>
      <w:r>
        <w:rPr>
          <w:rFonts w:hint="eastAsia" w:ascii="仿宋" w:hAnsi="仿宋" w:eastAsia="仿宋" w:cs="仿宋"/>
          <w:sz w:val="28"/>
          <w:szCs w:val="28"/>
        </w:rPr>
        <w:t>建立规划年度实施考核机制，把矿产资源开发利用结构调整和布局优化、技术创新、综合利用、节能减排和矿山地质环境治理恢复、绿色矿山建设等内容纳入年度目标管理体系进行考核，作为主要领导业绩考核的重要依据。</w:t>
      </w:r>
    </w:p>
    <w:bookmarkEnd w:id="171"/>
    <w:bookmarkEnd w:id="172"/>
    <w:bookmarkEnd w:id="173"/>
    <w:bookmarkEnd w:id="174"/>
    <w:bookmarkEnd w:id="175"/>
    <w:bookmarkEnd w:id="176"/>
    <w:bookmarkEnd w:id="177"/>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1"/>
        <w:rPr>
          <w:rFonts w:hint="eastAsia" w:ascii="仿宋" w:hAnsi="仿宋" w:eastAsia="仿宋" w:cs="仿宋"/>
          <w:b/>
          <w:bCs/>
          <w:sz w:val="28"/>
          <w:szCs w:val="28"/>
          <w:lang w:val="en-US" w:eastAsia="zh-CN"/>
        </w:rPr>
      </w:pPr>
      <w:bookmarkStart w:id="178" w:name="_Toc26082"/>
      <w:bookmarkStart w:id="179" w:name="_Toc89547598"/>
      <w:r>
        <w:rPr>
          <w:rFonts w:hint="eastAsia" w:ascii="仿宋" w:hAnsi="仿宋" w:eastAsia="仿宋" w:cs="仿宋"/>
          <w:b/>
          <w:bCs/>
          <w:sz w:val="28"/>
          <w:szCs w:val="28"/>
          <w:lang w:val="en-US" w:eastAsia="zh-CN"/>
        </w:rPr>
        <w:t>（二）健全完善规划实施评估调整机制</w:t>
      </w:r>
      <w:bookmarkEnd w:id="178"/>
      <w:bookmarkEnd w:id="179"/>
    </w:p>
    <w:p>
      <w:pPr>
        <w:keepNext w:val="0"/>
        <w:keepLines w:val="0"/>
        <w:pageBreakBefore w:val="0"/>
        <w:tabs>
          <w:tab w:val="left" w:pos="2604"/>
          <w:tab w:val="left" w:pos="5795"/>
        </w:tabs>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建立规划实施评估机制，开展规划实施定期评估。评估报告报规划审批机关备案，并作为规划调整和完善的依据。因社会经济发展需要进行指标调整的，应进行科学论证。严格规划调整和修编的程序，应对规划调整和修编的必要性、合理性和合法性等进行评估和论证，严格按照法定程序进行审批，统筹部署全市矿产资源规划调整与上图入库的有关工作，确保调整内容的科学、合理和可行。</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1"/>
        <w:rPr>
          <w:rFonts w:hint="eastAsia" w:ascii="仿宋" w:hAnsi="仿宋" w:eastAsia="仿宋" w:cs="仿宋"/>
          <w:b/>
          <w:bCs/>
          <w:sz w:val="28"/>
          <w:szCs w:val="28"/>
          <w:lang w:val="en-US" w:eastAsia="zh-CN"/>
        </w:rPr>
      </w:pPr>
      <w:bookmarkStart w:id="180" w:name="_Toc89547599"/>
      <w:bookmarkStart w:id="181" w:name="_Toc7428"/>
      <w:r>
        <w:rPr>
          <w:rFonts w:hint="eastAsia" w:ascii="仿宋" w:hAnsi="仿宋" w:eastAsia="仿宋" w:cs="仿宋"/>
          <w:b/>
          <w:bCs/>
          <w:sz w:val="28"/>
          <w:szCs w:val="28"/>
          <w:lang w:val="en-US" w:eastAsia="zh-CN"/>
        </w:rPr>
        <w:t>（三）加强规划实施情况监督检查</w:t>
      </w:r>
      <w:bookmarkEnd w:id="180"/>
      <w:bookmarkEnd w:id="181"/>
    </w:p>
    <w:p>
      <w:pPr>
        <w:keepNext w:val="0"/>
        <w:keepLines w:val="0"/>
        <w:pageBreakBefore w:val="0"/>
        <w:tabs>
          <w:tab w:val="left" w:pos="2604"/>
          <w:tab w:val="left" w:pos="5795"/>
        </w:tabs>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建立健全矿产资源规划实施多部门联合动态监督检查管理、环境影响跟踪评价制度。加强对规划执行情况的监督检查，重点包括开采总量是否按规划得到控制、矿业权设置是否符合规划要求、布局结构是否按规划优化调整，以及地质环境恢复和土地复垦目标任务是否如期完成等。要建立信息反馈制度，及时报告规划执行情况监督检查结果，对于出现的新情况、新问题，适时提出应对措施。</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1"/>
        <w:rPr>
          <w:rFonts w:hint="eastAsia" w:ascii="仿宋" w:hAnsi="仿宋" w:eastAsia="仿宋" w:cs="仿宋"/>
          <w:b/>
          <w:bCs/>
          <w:sz w:val="28"/>
          <w:szCs w:val="28"/>
          <w:lang w:val="en-US" w:eastAsia="zh-CN"/>
        </w:rPr>
      </w:pPr>
      <w:bookmarkStart w:id="182" w:name="_Toc17645"/>
      <w:bookmarkStart w:id="183" w:name="_Toc89547600"/>
      <w:r>
        <w:rPr>
          <w:rFonts w:hint="eastAsia" w:ascii="仿宋" w:hAnsi="仿宋" w:eastAsia="仿宋" w:cs="仿宋"/>
          <w:b/>
          <w:bCs/>
          <w:sz w:val="28"/>
          <w:szCs w:val="28"/>
          <w:lang w:val="en-US" w:eastAsia="zh-CN"/>
        </w:rPr>
        <w:t>（四）强化安全管理，确保安全生产</w:t>
      </w:r>
      <w:bookmarkEnd w:id="182"/>
      <w:bookmarkEnd w:id="183"/>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生产安全管理最根本的目的是保护矿山员工的生命和健康，安全</w:t>
      </w:r>
      <w:r>
        <w:rPr>
          <w:rFonts w:hint="eastAsia" w:ascii="仿宋" w:hAnsi="仿宋" w:eastAsia="仿宋" w:cs="仿宋"/>
          <w:spacing w:val="-6"/>
          <w:sz w:val="28"/>
          <w:szCs w:val="28"/>
        </w:rPr>
        <w:t>工作是一项常抓不懈的工作，是生产的保证，也是员工利益的最大体现。</w:t>
      </w:r>
      <w:r>
        <w:rPr>
          <w:rFonts w:hint="eastAsia" w:ascii="仿宋" w:hAnsi="仿宋" w:eastAsia="仿宋" w:cs="仿宋"/>
          <w:sz w:val="28"/>
          <w:szCs w:val="28"/>
        </w:rPr>
        <w:t>注重安全生产过程管理，建立健全安生产责任制，充分发挥矿山等企业安全生产委员会作用，加强矿山企业新员工三级安全教育工作，强化员工工作现场风险辨识能力，强化源头治理。针对矿山企业，实行工艺技术管理、设备设施管理、作业环境和条件管理，强化科学管理、信息化管理。加强监督检查工作力度，及时发现、整改安全隐患，领导和监管部门指导管控安全风险，督促整治重大隐患，确保生产安全。</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1"/>
        <w:rPr>
          <w:rFonts w:hint="eastAsia" w:ascii="仿宋" w:hAnsi="仿宋" w:eastAsia="仿宋" w:cs="仿宋"/>
          <w:b/>
          <w:bCs/>
          <w:sz w:val="28"/>
          <w:szCs w:val="28"/>
          <w:lang w:val="en-US" w:eastAsia="zh-CN"/>
        </w:rPr>
      </w:pPr>
      <w:bookmarkStart w:id="184" w:name="_Toc89547601"/>
      <w:bookmarkStart w:id="185" w:name="_Toc3410"/>
      <w:r>
        <w:rPr>
          <w:rFonts w:hint="eastAsia" w:ascii="仿宋" w:hAnsi="仿宋" w:eastAsia="仿宋" w:cs="仿宋"/>
          <w:b/>
          <w:bCs/>
          <w:sz w:val="28"/>
          <w:szCs w:val="28"/>
          <w:lang w:val="en-US" w:eastAsia="zh-CN"/>
        </w:rPr>
        <w:t>（五）加强人才队伍建设，提升创新发展能力</w:t>
      </w:r>
      <w:bookmarkEnd w:id="184"/>
      <w:bookmarkEnd w:id="185"/>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000000"/>
          <w:sz w:val="28"/>
          <w:szCs w:val="28"/>
        </w:rPr>
        <w:t>加大矿产资源人才培养力度，加强与国内外著名科研院所的技术交流与合作，强化多学科融合和产学研一体化，培养高素质技术和管理人才。注重人才队伍建设，营造人才健康成长的良好环境，为</w:t>
      </w:r>
      <w:r>
        <w:rPr>
          <w:rFonts w:hint="eastAsia" w:ascii="仿宋" w:hAnsi="仿宋" w:eastAsia="仿宋" w:cs="仿宋"/>
          <w:color w:val="000000"/>
          <w:sz w:val="28"/>
          <w:szCs w:val="28"/>
          <w:lang w:val="en-US" w:eastAsia="zh-CN"/>
        </w:rPr>
        <w:t>沙湾</w:t>
      </w:r>
      <w:r>
        <w:rPr>
          <w:rFonts w:hint="eastAsia" w:ascii="仿宋" w:hAnsi="仿宋" w:eastAsia="仿宋" w:cs="仿宋"/>
          <w:color w:val="000000"/>
          <w:sz w:val="28"/>
          <w:szCs w:val="28"/>
        </w:rPr>
        <w:t>市矿矿业经济可持续发展提供人才保障。鼓励矿产资源勘查新理论、新技术、新方法的研究、推广和应用，建立以企业为主体、市场为导向、产学研深度融合的技术创新体系，</w:t>
      </w:r>
      <w:r>
        <w:rPr>
          <w:rFonts w:hint="eastAsia" w:ascii="仿宋" w:hAnsi="仿宋" w:eastAsia="仿宋" w:cs="仿宋"/>
          <w:color w:val="auto"/>
          <w:sz w:val="28"/>
          <w:szCs w:val="28"/>
        </w:rPr>
        <w:t xml:space="preserve">加强矿产资源综合利用、高效利用示范研究工作。 </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jc w:val="both"/>
        <w:textAlignment w:val="auto"/>
        <w:outlineLvl w:val="1"/>
        <w:rPr>
          <w:rFonts w:hint="eastAsia" w:ascii="仿宋" w:hAnsi="仿宋" w:eastAsia="仿宋" w:cs="仿宋"/>
          <w:b/>
          <w:bCs/>
          <w:sz w:val="28"/>
          <w:szCs w:val="28"/>
          <w:lang w:val="en-US" w:eastAsia="zh-CN"/>
        </w:rPr>
      </w:pPr>
      <w:bookmarkStart w:id="186" w:name="_Toc89547602"/>
      <w:bookmarkStart w:id="187" w:name="_Toc19075"/>
      <w:r>
        <w:rPr>
          <w:rFonts w:hint="eastAsia" w:ascii="仿宋" w:hAnsi="仿宋" w:eastAsia="仿宋" w:cs="仿宋"/>
          <w:b/>
          <w:bCs/>
          <w:sz w:val="28"/>
          <w:szCs w:val="28"/>
          <w:lang w:val="en-US" w:eastAsia="zh-CN"/>
        </w:rPr>
        <w:t>（六）提高规划实施信息化水平</w:t>
      </w:r>
      <w:bookmarkEnd w:id="186"/>
      <w:bookmarkEnd w:id="187"/>
    </w:p>
    <w:p>
      <w:pPr>
        <w:keepNext w:val="0"/>
        <w:keepLines w:val="0"/>
        <w:pageBreakBefore w:val="0"/>
        <w:tabs>
          <w:tab w:val="left" w:pos="2604"/>
          <w:tab w:val="left" w:pos="5795"/>
        </w:tabs>
        <w:kinsoku/>
        <w:wordWrap/>
        <w:overflowPunct/>
        <w:topLinePunct w:val="0"/>
        <w:autoSpaceDE/>
        <w:autoSpaceDN/>
        <w:bidi w:val="0"/>
        <w:adjustRightInd/>
        <w:snapToGrid/>
        <w:spacing w:line="50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完善矿产资源规划数据库，做好规划管理信息与相关信息的资源整合，实现与矿产资源勘查、开发利用、资源储量和矿业权等基础数据库的衔接和共享，探索建立具有信息管理、分析查询、监督评价和辅助决策功能的规划管理信息系统，及时准确的掌握矿产资源勘查与开发利用情况，矿山生态环境的变化及规划的实施情况，提高规划管理的效率和服务水平。</w:t>
      </w:r>
      <w:r>
        <w:rPr>
          <w:rFonts w:hint="eastAsia" w:ascii="仿宋" w:hAnsi="仿宋" w:eastAsia="仿宋" w:cs="仿宋"/>
          <w:color w:val="000000"/>
          <w:sz w:val="28"/>
          <w:szCs w:val="28"/>
          <w:lang w:val="en-US" w:eastAsia="zh-CN"/>
        </w:rPr>
        <w:tab/>
      </w:r>
    </w:p>
    <w:sectPr>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9"/>
      </w:rPr>
    </w:pPr>
    <w:r>
      <w:fldChar w:fldCharType="begin"/>
    </w:r>
    <w:r>
      <w:rPr>
        <w:rStyle w:val="19"/>
      </w:rPr>
      <w:instrText xml:space="preserve">PAGE  </w:instrText>
    </w:r>
    <w:r>
      <w:fldChar w:fldCharType="end"/>
    </w:r>
  </w:p>
  <w:p>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rPr>
        <w:rFonts w:hint="eastAsia" w:eastAsia="宋体"/>
        <w:lang w:val="en-US" w:eastAsia="zh-CN"/>
      </w:rPr>
    </w:pPr>
    <w:r>
      <w:rPr>
        <w:rFonts w:hint="eastAsia"/>
        <w:lang w:val="en-US" w:eastAsia="zh-CN"/>
      </w:rPr>
      <w:t>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Style w:val="19"/>
                            </w:rPr>
                          </w:pPr>
                          <w:r>
                            <w:fldChar w:fldCharType="begin"/>
                          </w:r>
                          <w:r>
                            <w:rPr>
                              <w:rStyle w:val="19"/>
                            </w:rPr>
                            <w:instrText xml:space="preserve">PAGE  </w:instrText>
                          </w:r>
                          <w:r>
                            <w:fldChar w:fldCharType="separate"/>
                          </w:r>
                          <w:r>
                            <w:rPr>
                              <w:rStyle w:val="19"/>
                            </w:rP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Style w:val="19"/>
                      </w:rPr>
                    </w:pPr>
                    <w:r>
                      <w:fldChar w:fldCharType="begin"/>
                    </w:r>
                    <w:r>
                      <w:rPr>
                        <w:rStyle w:val="19"/>
                      </w:rPr>
                      <w:instrText xml:space="preserve">PAGE  </w:instrText>
                    </w:r>
                    <w:r>
                      <w:fldChar w:fldCharType="separate"/>
                    </w:r>
                    <w:r>
                      <w:rPr>
                        <w:rStyle w:val="19"/>
                      </w:rP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firstLine="360"/>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Style w:val="19"/>
                            </w:rPr>
                          </w:pPr>
                          <w:r>
                            <w:fldChar w:fldCharType="begin"/>
                          </w:r>
                          <w:r>
                            <w:rPr>
                              <w:rStyle w:val="19"/>
                            </w:rPr>
                            <w:instrText xml:space="preserve">PAGE  </w:instrText>
                          </w:r>
                          <w:r>
                            <w:fldChar w:fldCharType="separate"/>
                          </w:r>
                          <w:r>
                            <w:rPr>
                              <w:rStyle w:val="19"/>
                            </w:rP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9"/>
                      <w:rPr>
                        <w:rStyle w:val="19"/>
                      </w:rPr>
                    </w:pPr>
                    <w:r>
                      <w:fldChar w:fldCharType="begin"/>
                    </w:r>
                    <w:r>
                      <w:rPr>
                        <w:rStyle w:val="19"/>
                      </w:rPr>
                      <w:instrText xml:space="preserve">PAGE  </w:instrText>
                    </w:r>
                    <w:r>
                      <w:fldChar w:fldCharType="separate"/>
                    </w:r>
                    <w:r>
                      <w:rPr>
                        <w:rStyle w:val="19"/>
                      </w:rP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0NWU1YjFhMTk3NGI4ODhjMGI4OTllMGRhYTk4MmIifQ=="/>
  </w:docVars>
  <w:rsids>
    <w:rsidRoot w:val="202F4A91"/>
    <w:rsid w:val="00230253"/>
    <w:rsid w:val="0023189F"/>
    <w:rsid w:val="005147B5"/>
    <w:rsid w:val="00D57DC5"/>
    <w:rsid w:val="00E418E7"/>
    <w:rsid w:val="010C40BF"/>
    <w:rsid w:val="01294B5F"/>
    <w:rsid w:val="016579FD"/>
    <w:rsid w:val="019177E7"/>
    <w:rsid w:val="01CF507A"/>
    <w:rsid w:val="01F66EA1"/>
    <w:rsid w:val="020D445B"/>
    <w:rsid w:val="02313A49"/>
    <w:rsid w:val="02371F26"/>
    <w:rsid w:val="02543866"/>
    <w:rsid w:val="029931FA"/>
    <w:rsid w:val="02C5278F"/>
    <w:rsid w:val="02DB5001"/>
    <w:rsid w:val="031715EC"/>
    <w:rsid w:val="03174F3D"/>
    <w:rsid w:val="03246DE4"/>
    <w:rsid w:val="033514A1"/>
    <w:rsid w:val="03367427"/>
    <w:rsid w:val="038E2895"/>
    <w:rsid w:val="03914C08"/>
    <w:rsid w:val="039A4981"/>
    <w:rsid w:val="03B106BD"/>
    <w:rsid w:val="03B5176E"/>
    <w:rsid w:val="03FA6B11"/>
    <w:rsid w:val="041A6D4D"/>
    <w:rsid w:val="044E7EC1"/>
    <w:rsid w:val="0456532B"/>
    <w:rsid w:val="048404BF"/>
    <w:rsid w:val="048C0D12"/>
    <w:rsid w:val="04D21C83"/>
    <w:rsid w:val="04E31057"/>
    <w:rsid w:val="04FC294D"/>
    <w:rsid w:val="0507528D"/>
    <w:rsid w:val="051C1822"/>
    <w:rsid w:val="05476310"/>
    <w:rsid w:val="055D7B21"/>
    <w:rsid w:val="05665CB3"/>
    <w:rsid w:val="05791908"/>
    <w:rsid w:val="05B164C5"/>
    <w:rsid w:val="05B26921"/>
    <w:rsid w:val="05B93876"/>
    <w:rsid w:val="05C2260C"/>
    <w:rsid w:val="05FF1591"/>
    <w:rsid w:val="0626799C"/>
    <w:rsid w:val="06274ABE"/>
    <w:rsid w:val="062B4D7C"/>
    <w:rsid w:val="063615AA"/>
    <w:rsid w:val="064C3C8E"/>
    <w:rsid w:val="068425ED"/>
    <w:rsid w:val="06C45D4B"/>
    <w:rsid w:val="06C970A9"/>
    <w:rsid w:val="06D63086"/>
    <w:rsid w:val="07574906"/>
    <w:rsid w:val="07656F7D"/>
    <w:rsid w:val="078E13FB"/>
    <w:rsid w:val="07A617CA"/>
    <w:rsid w:val="07B0298B"/>
    <w:rsid w:val="07C903A9"/>
    <w:rsid w:val="07DF6856"/>
    <w:rsid w:val="07E051DB"/>
    <w:rsid w:val="07E55026"/>
    <w:rsid w:val="07E7511D"/>
    <w:rsid w:val="07EB68A6"/>
    <w:rsid w:val="08066B13"/>
    <w:rsid w:val="08072CD0"/>
    <w:rsid w:val="080C489D"/>
    <w:rsid w:val="08174C14"/>
    <w:rsid w:val="082749E6"/>
    <w:rsid w:val="083A2BE1"/>
    <w:rsid w:val="085B4721"/>
    <w:rsid w:val="087A4000"/>
    <w:rsid w:val="08B17CE9"/>
    <w:rsid w:val="08BB1D13"/>
    <w:rsid w:val="08F924A2"/>
    <w:rsid w:val="09005DF0"/>
    <w:rsid w:val="090372BA"/>
    <w:rsid w:val="09153CCC"/>
    <w:rsid w:val="092E175D"/>
    <w:rsid w:val="09791B70"/>
    <w:rsid w:val="09A036E8"/>
    <w:rsid w:val="09AA6452"/>
    <w:rsid w:val="09B84396"/>
    <w:rsid w:val="09B84A78"/>
    <w:rsid w:val="09F82022"/>
    <w:rsid w:val="0A07033A"/>
    <w:rsid w:val="0A1D7EED"/>
    <w:rsid w:val="0A653ABA"/>
    <w:rsid w:val="0A9500CB"/>
    <w:rsid w:val="0AA44353"/>
    <w:rsid w:val="0AFF3057"/>
    <w:rsid w:val="0B065F99"/>
    <w:rsid w:val="0B59784B"/>
    <w:rsid w:val="0BFF4FF2"/>
    <w:rsid w:val="0C1E6148"/>
    <w:rsid w:val="0C2729F4"/>
    <w:rsid w:val="0C2D4074"/>
    <w:rsid w:val="0C3D0693"/>
    <w:rsid w:val="0C737A36"/>
    <w:rsid w:val="0C7A2E41"/>
    <w:rsid w:val="0C7E0345"/>
    <w:rsid w:val="0D060041"/>
    <w:rsid w:val="0D3A0B3E"/>
    <w:rsid w:val="0D5D3A38"/>
    <w:rsid w:val="0D9E4AF8"/>
    <w:rsid w:val="0DAF5F66"/>
    <w:rsid w:val="0DBE6CF4"/>
    <w:rsid w:val="0DBF3E3C"/>
    <w:rsid w:val="0DCA2441"/>
    <w:rsid w:val="0DEC5F0B"/>
    <w:rsid w:val="0DF8078E"/>
    <w:rsid w:val="0E3E4D2D"/>
    <w:rsid w:val="0E7C208A"/>
    <w:rsid w:val="0E9F4DEB"/>
    <w:rsid w:val="0EFE3755"/>
    <w:rsid w:val="0F0319B8"/>
    <w:rsid w:val="0F323540"/>
    <w:rsid w:val="0F4321E9"/>
    <w:rsid w:val="0F8758F3"/>
    <w:rsid w:val="0FC319CC"/>
    <w:rsid w:val="0FE3467B"/>
    <w:rsid w:val="10162D42"/>
    <w:rsid w:val="104B420C"/>
    <w:rsid w:val="10527447"/>
    <w:rsid w:val="105C3E57"/>
    <w:rsid w:val="107E22AE"/>
    <w:rsid w:val="10AB7985"/>
    <w:rsid w:val="10DD7D01"/>
    <w:rsid w:val="11127340"/>
    <w:rsid w:val="11313FEB"/>
    <w:rsid w:val="1136557D"/>
    <w:rsid w:val="11864744"/>
    <w:rsid w:val="11A21DCF"/>
    <w:rsid w:val="11AF55B7"/>
    <w:rsid w:val="11DC2227"/>
    <w:rsid w:val="12045D93"/>
    <w:rsid w:val="122F6801"/>
    <w:rsid w:val="128B0BC6"/>
    <w:rsid w:val="12C4700C"/>
    <w:rsid w:val="13086FCC"/>
    <w:rsid w:val="13261B18"/>
    <w:rsid w:val="13430282"/>
    <w:rsid w:val="1347669D"/>
    <w:rsid w:val="13637490"/>
    <w:rsid w:val="14371DFF"/>
    <w:rsid w:val="145A2EDB"/>
    <w:rsid w:val="14821D98"/>
    <w:rsid w:val="14A90227"/>
    <w:rsid w:val="14BE48D5"/>
    <w:rsid w:val="14E94483"/>
    <w:rsid w:val="14F02697"/>
    <w:rsid w:val="14F35680"/>
    <w:rsid w:val="150167DD"/>
    <w:rsid w:val="15743BB0"/>
    <w:rsid w:val="159221C5"/>
    <w:rsid w:val="15A26933"/>
    <w:rsid w:val="15AB4C83"/>
    <w:rsid w:val="15BC1E5B"/>
    <w:rsid w:val="15C879E9"/>
    <w:rsid w:val="15D80543"/>
    <w:rsid w:val="15F87854"/>
    <w:rsid w:val="160326D1"/>
    <w:rsid w:val="165518CE"/>
    <w:rsid w:val="1665381D"/>
    <w:rsid w:val="16710D39"/>
    <w:rsid w:val="16875502"/>
    <w:rsid w:val="16A65D79"/>
    <w:rsid w:val="16BA7276"/>
    <w:rsid w:val="17297CE3"/>
    <w:rsid w:val="1746692E"/>
    <w:rsid w:val="177F4026"/>
    <w:rsid w:val="179E3508"/>
    <w:rsid w:val="180C76E1"/>
    <w:rsid w:val="184D1121"/>
    <w:rsid w:val="18607D13"/>
    <w:rsid w:val="18AC7DCB"/>
    <w:rsid w:val="18AF46A0"/>
    <w:rsid w:val="19325404"/>
    <w:rsid w:val="193F788D"/>
    <w:rsid w:val="1966641E"/>
    <w:rsid w:val="19993077"/>
    <w:rsid w:val="19C90206"/>
    <w:rsid w:val="19D56CD4"/>
    <w:rsid w:val="19D6210B"/>
    <w:rsid w:val="1A2603C2"/>
    <w:rsid w:val="1A2D13C0"/>
    <w:rsid w:val="1AAC244D"/>
    <w:rsid w:val="1AB61C8E"/>
    <w:rsid w:val="1ABE26C7"/>
    <w:rsid w:val="1AC14E77"/>
    <w:rsid w:val="1AD11765"/>
    <w:rsid w:val="1AF86D0D"/>
    <w:rsid w:val="1B3F290B"/>
    <w:rsid w:val="1B696F1E"/>
    <w:rsid w:val="1BEB6D7B"/>
    <w:rsid w:val="1BEE7ED0"/>
    <w:rsid w:val="1BEF5FCB"/>
    <w:rsid w:val="1BFA6B78"/>
    <w:rsid w:val="1C9575AB"/>
    <w:rsid w:val="1CDF2DF4"/>
    <w:rsid w:val="1CE041BA"/>
    <w:rsid w:val="1CE641EE"/>
    <w:rsid w:val="1D24214B"/>
    <w:rsid w:val="1D254693"/>
    <w:rsid w:val="1D617445"/>
    <w:rsid w:val="1D775CC0"/>
    <w:rsid w:val="1D831973"/>
    <w:rsid w:val="1DD36DA7"/>
    <w:rsid w:val="1DD67CBA"/>
    <w:rsid w:val="1DE92A90"/>
    <w:rsid w:val="1DFC13A7"/>
    <w:rsid w:val="1DFE0C99"/>
    <w:rsid w:val="1DFF7E3E"/>
    <w:rsid w:val="1E1B645A"/>
    <w:rsid w:val="1E2C09E3"/>
    <w:rsid w:val="1E384D4F"/>
    <w:rsid w:val="1E4D3568"/>
    <w:rsid w:val="1E730CAD"/>
    <w:rsid w:val="1E8C7AB1"/>
    <w:rsid w:val="1EC83A9E"/>
    <w:rsid w:val="1ED937BC"/>
    <w:rsid w:val="1EE44A82"/>
    <w:rsid w:val="1EE72858"/>
    <w:rsid w:val="1EFB1170"/>
    <w:rsid w:val="1F4233EC"/>
    <w:rsid w:val="1F52574B"/>
    <w:rsid w:val="1F990401"/>
    <w:rsid w:val="1FB20ACB"/>
    <w:rsid w:val="1FB40C3A"/>
    <w:rsid w:val="1FDA1374"/>
    <w:rsid w:val="202B2C90"/>
    <w:rsid w:val="202F4A91"/>
    <w:rsid w:val="20412481"/>
    <w:rsid w:val="20801C5A"/>
    <w:rsid w:val="209912EC"/>
    <w:rsid w:val="20A05335"/>
    <w:rsid w:val="20B654DD"/>
    <w:rsid w:val="20CD14AA"/>
    <w:rsid w:val="211C1233"/>
    <w:rsid w:val="211F1706"/>
    <w:rsid w:val="2166610C"/>
    <w:rsid w:val="218D4B73"/>
    <w:rsid w:val="21F17E2A"/>
    <w:rsid w:val="22616028"/>
    <w:rsid w:val="22707EB4"/>
    <w:rsid w:val="22855860"/>
    <w:rsid w:val="22895EC0"/>
    <w:rsid w:val="22932654"/>
    <w:rsid w:val="22936A21"/>
    <w:rsid w:val="229B6440"/>
    <w:rsid w:val="22B727E7"/>
    <w:rsid w:val="22DE5E46"/>
    <w:rsid w:val="230D017F"/>
    <w:rsid w:val="231441C1"/>
    <w:rsid w:val="231A7198"/>
    <w:rsid w:val="234F5D40"/>
    <w:rsid w:val="23512E34"/>
    <w:rsid w:val="23696393"/>
    <w:rsid w:val="23A10944"/>
    <w:rsid w:val="23F25521"/>
    <w:rsid w:val="240418D8"/>
    <w:rsid w:val="241C2A44"/>
    <w:rsid w:val="24291937"/>
    <w:rsid w:val="244B6EF8"/>
    <w:rsid w:val="246546A8"/>
    <w:rsid w:val="246F70DA"/>
    <w:rsid w:val="24B2529A"/>
    <w:rsid w:val="24D2340D"/>
    <w:rsid w:val="24F93867"/>
    <w:rsid w:val="25036D96"/>
    <w:rsid w:val="250B210C"/>
    <w:rsid w:val="253D0A7A"/>
    <w:rsid w:val="254F6741"/>
    <w:rsid w:val="255D0FEF"/>
    <w:rsid w:val="255E3621"/>
    <w:rsid w:val="25C93F72"/>
    <w:rsid w:val="2606478C"/>
    <w:rsid w:val="260778D3"/>
    <w:rsid w:val="26360C5F"/>
    <w:rsid w:val="267400F4"/>
    <w:rsid w:val="2687214C"/>
    <w:rsid w:val="26A61AAD"/>
    <w:rsid w:val="26D64BB8"/>
    <w:rsid w:val="27012F71"/>
    <w:rsid w:val="27150E8D"/>
    <w:rsid w:val="274A7270"/>
    <w:rsid w:val="279932BB"/>
    <w:rsid w:val="27CB65A0"/>
    <w:rsid w:val="280260BB"/>
    <w:rsid w:val="28096BF1"/>
    <w:rsid w:val="28213441"/>
    <w:rsid w:val="28300EF6"/>
    <w:rsid w:val="288C16DB"/>
    <w:rsid w:val="290A203D"/>
    <w:rsid w:val="295A1B34"/>
    <w:rsid w:val="29753B06"/>
    <w:rsid w:val="2977390D"/>
    <w:rsid w:val="297F047A"/>
    <w:rsid w:val="29B01802"/>
    <w:rsid w:val="29B17AB5"/>
    <w:rsid w:val="29F01D6A"/>
    <w:rsid w:val="2A116C3B"/>
    <w:rsid w:val="2A3262E3"/>
    <w:rsid w:val="2A44687F"/>
    <w:rsid w:val="2A49771D"/>
    <w:rsid w:val="2A676E4E"/>
    <w:rsid w:val="2A7D6FF0"/>
    <w:rsid w:val="2A895334"/>
    <w:rsid w:val="2AB86EEA"/>
    <w:rsid w:val="2AE71C41"/>
    <w:rsid w:val="2B391646"/>
    <w:rsid w:val="2B3F62B9"/>
    <w:rsid w:val="2B673532"/>
    <w:rsid w:val="2B674C9E"/>
    <w:rsid w:val="2B775C90"/>
    <w:rsid w:val="2B783333"/>
    <w:rsid w:val="2B7F4CE5"/>
    <w:rsid w:val="2BA346FC"/>
    <w:rsid w:val="2BEA7900"/>
    <w:rsid w:val="2C0D105F"/>
    <w:rsid w:val="2C1C3680"/>
    <w:rsid w:val="2C3326DD"/>
    <w:rsid w:val="2C7727F3"/>
    <w:rsid w:val="2C8840BB"/>
    <w:rsid w:val="2C8F4BCB"/>
    <w:rsid w:val="2CA63C2E"/>
    <w:rsid w:val="2CB64E3D"/>
    <w:rsid w:val="2CD22E8A"/>
    <w:rsid w:val="2CEA16B9"/>
    <w:rsid w:val="2D0803FB"/>
    <w:rsid w:val="2D312AA5"/>
    <w:rsid w:val="2D47440D"/>
    <w:rsid w:val="2D681ECC"/>
    <w:rsid w:val="2D7200CF"/>
    <w:rsid w:val="2DC57C22"/>
    <w:rsid w:val="2DCA0E69"/>
    <w:rsid w:val="2DDE2D69"/>
    <w:rsid w:val="2DFB5697"/>
    <w:rsid w:val="2E1610FF"/>
    <w:rsid w:val="2E254E78"/>
    <w:rsid w:val="2E260743"/>
    <w:rsid w:val="2E316599"/>
    <w:rsid w:val="2E354D49"/>
    <w:rsid w:val="2E522272"/>
    <w:rsid w:val="2E84292A"/>
    <w:rsid w:val="2E8703E8"/>
    <w:rsid w:val="2EA30E7F"/>
    <w:rsid w:val="2EE86885"/>
    <w:rsid w:val="2F0D2C0B"/>
    <w:rsid w:val="2F1E7ACB"/>
    <w:rsid w:val="2F3D50A9"/>
    <w:rsid w:val="2F9A30FD"/>
    <w:rsid w:val="2FB565B4"/>
    <w:rsid w:val="2FCA21BE"/>
    <w:rsid w:val="2FCF1BD6"/>
    <w:rsid w:val="2FD45976"/>
    <w:rsid w:val="300950D8"/>
    <w:rsid w:val="300A1DD7"/>
    <w:rsid w:val="30187622"/>
    <w:rsid w:val="30256FB9"/>
    <w:rsid w:val="304F7585"/>
    <w:rsid w:val="308A6861"/>
    <w:rsid w:val="30A124F3"/>
    <w:rsid w:val="30F819C9"/>
    <w:rsid w:val="31532A4D"/>
    <w:rsid w:val="319E4AF8"/>
    <w:rsid w:val="320A3B2C"/>
    <w:rsid w:val="32180666"/>
    <w:rsid w:val="3228183E"/>
    <w:rsid w:val="32364054"/>
    <w:rsid w:val="323F0018"/>
    <w:rsid w:val="3276022B"/>
    <w:rsid w:val="32941BF5"/>
    <w:rsid w:val="32A55BB9"/>
    <w:rsid w:val="32A81678"/>
    <w:rsid w:val="32AC7FFC"/>
    <w:rsid w:val="32DC408E"/>
    <w:rsid w:val="32E67295"/>
    <w:rsid w:val="32EF10D0"/>
    <w:rsid w:val="32F773D4"/>
    <w:rsid w:val="332F5A9D"/>
    <w:rsid w:val="33414E40"/>
    <w:rsid w:val="33D66591"/>
    <w:rsid w:val="34484B37"/>
    <w:rsid w:val="34567F34"/>
    <w:rsid w:val="34CB50AA"/>
    <w:rsid w:val="34ED3A7D"/>
    <w:rsid w:val="352B5ED6"/>
    <w:rsid w:val="3540009F"/>
    <w:rsid w:val="357A2F85"/>
    <w:rsid w:val="357D05FA"/>
    <w:rsid w:val="35BD04A8"/>
    <w:rsid w:val="35D320E2"/>
    <w:rsid w:val="361B5C42"/>
    <w:rsid w:val="36337C50"/>
    <w:rsid w:val="365B35CB"/>
    <w:rsid w:val="368C5B00"/>
    <w:rsid w:val="36900DA9"/>
    <w:rsid w:val="37011680"/>
    <w:rsid w:val="370228F1"/>
    <w:rsid w:val="370A6462"/>
    <w:rsid w:val="3751403E"/>
    <w:rsid w:val="37937BCD"/>
    <w:rsid w:val="37C40024"/>
    <w:rsid w:val="37C93FB1"/>
    <w:rsid w:val="37D77C20"/>
    <w:rsid w:val="37EC3A4D"/>
    <w:rsid w:val="383A403E"/>
    <w:rsid w:val="38495DDB"/>
    <w:rsid w:val="385E7E89"/>
    <w:rsid w:val="38AD6676"/>
    <w:rsid w:val="38C924ED"/>
    <w:rsid w:val="38D34176"/>
    <w:rsid w:val="38D56E21"/>
    <w:rsid w:val="393113CE"/>
    <w:rsid w:val="39736D67"/>
    <w:rsid w:val="39AA3A20"/>
    <w:rsid w:val="39E02BB0"/>
    <w:rsid w:val="3A2F31AF"/>
    <w:rsid w:val="3A5F56BC"/>
    <w:rsid w:val="3A705ACA"/>
    <w:rsid w:val="3AEB63C4"/>
    <w:rsid w:val="3AF83D69"/>
    <w:rsid w:val="3B054568"/>
    <w:rsid w:val="3B217F7B"/>
    <w:rsid w:val="3B5F7560"/>
    <w:rsid w:val="3BC11663"/>
    <w:rsid w:val="3C112AFB"/>
    <w:rsid w:val="3C504DF0"/>
    <w:rsid w:val="3C616926"/>
    <w:rsid w:val="3C942C31"/>
    <w:rsid w:val="3CB839CE"/>
    <w:rsid w:val="3CFA1FB7"/>
    <w:rsid w:val="3D262DF8"/>
    <w:rsid w:val="3D9764A1"/>
    <w:rsid w:val="3DBF271E"/>
    <w:rsid w:val="3DC36A8B"/>
    <w:rsid w:val="3DF379D0"/>
    <w:rsid w:val="3E6A3D18"/>
    <w:rsid w:val="3E78089E"/>
    <w:rsid w:val="3EE275DB"/>
    <w:rsid w:val="3F2515EC"/>
    <w:rsid w:val="3FA36088"/>
    <w:rsid w:val="3FFB7F94"/>
    <w:rsid w:val="40681BFC"/>
    <w:rsid w:val="406E1EE7"/>
    <w:rsid w:val="40771C8E"/>
    <w:rsid w:val="407C473C"/>
    <w:rsid w:val="407E19E2"/>
    <w:rsid w:val="408009B5"/>
    <w:rsid w:val="40895A41"/>
    <w:rsid w:val="40B24314"/>
    <w:rsid w:val="40C16460"/>
    <w:rsid w:val="410D3E4F"/>
    <w:rsid w:val="415D77E8"/>
    <w:rsid w:val="416501D6"/>
    <w:rsid w:val="417B74CC"/>
    <w:rsid w:val="41A26D58"/>
    <w:rsid w:val="41E451AD"/>
    <w:rsid w:val="41F1637D"/>
    <w:rsid w:val="4226691A"/>
    <w:rsid w:val="423C591D"/>
    <w:rsid w:val="424701F9"/>
    <w:rsid w:val="426A1D51"/>
    <w:rsid w:val="42701F5C"/>
    <w:rsid w:val="428044C2"/>
    <w:rsid w:val="42886C68"/>
    <w:rsid w:val="42921DC1"/>
    <w:rsid w:val="42DF589C"/>
    <w:rsid w:val="42E17EC6"/>
    <w:rsid w:val="430C74EF"/>
    <w:rsid w:val="43761631"/>
    <w:rsid w:val="43A257C5"/>
    <w:rsid w:val="43B8634C"/>
    <w:rsid w:val="4444478F"/>
    <w:rsid w:val="444C2CD8"/>
    <w:rsid w:val="448325A2"/>
    <w:rsid w:val="450C6ECF"/>
    <w:rsid w:val="451168A2"/>
    <w:rsid w:val="4524392B"/>
    <w:rsid w:val="453141E7"/>
    <w:rsid w:val="454943E0"/>
    <w:rsid w:val="454968B8"/>
    <w:rsid w:val="455369A9"/>
    <w:rsid w:val="46371A3E"/>
    <w:rsid w:val="46601667"/>
    <w:rsid w:val="46720A0F"/>
    <w:rsid w:val="467464F1"/>
    <w:rsid w:val="468F504E"/>
    <w:rsid w:val="469A45A1"/>
    <w:rsid w:val="46A1508A"/>
    <w:rsid w:val="46BE4D97"/>
    <w:rsid w:val="46D20651"/>
    <w:rsid w:val="47774E22"/>
    <w:rsid w:val="47A6006A"/>
    <w:rsid w:val="47AB039D"/>
    <w:rsid w:val="47DE38C7"/>
    <w:rsid w:val="48205DED"/>
    <w:rsid w:val="482B5C44"/>
    <w:rsid w:val="484F13F1"/>
    <w:rsid w:val="4882377D"/>
    <w:rsid w:val="48E06210"/>
    <w:rsid w:val="48F77CA6"/>
    <w:rsid w:val="490F5B5D"/>
    <w:rsid w:val="49126E51"/>
    <w:rsid w:val="491E5C52"/>
    <w:rsid w:val="491F14A8"/>
    <w:rsid w:val="4987184E"/>
    <w:rsid w:val="49B54ED4"/>
    <w:rsid w:val="49F71B47"/>
    <w:rsid w:val="4A246F69"/>
    <w:rsid w:val="4A3609BC"/>
    <w:rsid w:val="4AC677EB"/>
    <w:rsid w:val="4AC94908"/>
    <w:rsid w:val="4ACD64F1"/>
    <w:rsid w:val="4B085A17"/>
    <w:rsid w:val="4BBE4ED7"/>
    <w:rsid w:val="4BCB72D4"/>
    <w:rsid w:val="4BD4316C"/>
    <w:rsid w:val="4BD95164"/>
    <w:rsid w:val="4C137F00"/>
    <w:rsid w:val="4CA71955"/>
    <w:rsid w:val="4CB61310"/>
    <w:rsid w:val="4CE9100B"/>
    <w:rsid w:val="4CF50935"/>
    <w:rsid w:val="4CFB7F25"/>
    <w:rsid w:val="4D5D1A36"/>
    <w:rsid w:val="4D7550F7"/>
    <w:rsid w:val="4D7A6AB8"/>
    <w:rsid w:val="4D943FF1"/>
    <w:rsid w:val="4DED2741"/>
    <w:rsid w:val="4E1F5180"/>
    <w:rsid w:val="4E5401B4"/>
    <w:rsid w:val="4E561A73"/>
    <w:rsid w:val="4EA354FF"/>
    <w:rsid w:val="4EE134D8"/>
    <w:rsid w:val="4F0D694D"/>
    <w:rsid w:val="4F3310BE"/>
    <w:rsid w:val="4F4E40FF"/>
    <w:rsid w:val="4F582986"/>
    <w:rsid w:val="4F5E4221"/>
    <w:rsid w:val="4F741A0B"/>
    <w:rsid w:val="4FB2577A"/>
    <w:rsid w:val="4FC95538"/>
    <w:rsid w:val="50317C85"/>
    <w:rsid w:val="50662865"/>
    <w:rsid w:val="507D77B4"/>
    <w:rsid w:val="50912FF1"/>
    <w:rsid w:val="509658E8"/>
    <w:rsid w:val="509D5D92"/>
    <w:rsid w:val="50A06BDB"/>
    <w:rsid w:val="516232F9"/>
    <w:rsid w:val="516A43F4"/>
    <w:rsid w:val="516C2878"/>
    <w:rsid w:val="51747960"/>
    <w:rsid w:val="5195050D"/>
    <w:rsid w:val="519668BC"/>
    <w:rsid w:val="51A81FDC"/>
    <w:rsid w:val="51BE1E59"/>
    <w:rsid w:val="51D879E6"/>
    <w:rsid w:val="51E8258E"/>
    <w:rsid w:val="520C20D6"/>
    <w:rsid w:val="522B762E"/>
    <w:rsid w:val="523E3058"/>
    <w:rsid w:val="52483AB2"/>
    <w:rsid w:val="5253414F"/>
    <w:rsid w:val="525A63A9"/>
    <w:rsid w:val="5273356A"/>
    <w:rsid w:val="52C64EBF"/>
    <w:rsid w:val="52DE63D6"/>
    <w:rsid w:val="52EE0EE1"/>
    <w:rsid w:val="52FF361D"/>
    <w:rsid w:val="532A5E5A"/>
    <w:rsid w:val="53331040"/>
    <w:rsid w:val="53735106"/>
    <w:rsid w:val="539D1133"/>
    <w:rsid w:val="53CE2332"/>
    <w:rsid w:val="53E73BCE"/>
    <w:rsid w:val="542C2966"/>
    <w:rsid w:val="54412113"/>
    <w:rsid w:val="54657762"/>
    <w:rsid w:val="54752A7F"/>
    <w:rsid w:val="547B002C"/>
    <w:rsid w:val="54B01832"/>
    <w:rsid w:val="54C62CB2"/>
    <w:rsid w:val="54E6486A"/>
    <w:rsid w:val="550B6B8D"/>
    <w:rsid w:val="55625DE7"/>
    <w:rsid w:val="557F6BDA"/>
    <w:rsid w:val="55845B50"/>
    <w:rsid w:val="55921C31"/>
    <w:rsid w:val="55991C3E"/>
    <w:rsid w:val="55A05181"/>
    <w:rsid w:val="55EC7395"/>
    <w:rsid w:val="55EF562C"/>
    <w:rsid w:val="56036A90"/>
    <w:rsid w:val="56447137"/>
    <w:rsid w:val="56B20E12"/>
    <w:rsid w:val="56B60B3C"/>
    <w:rsid w:val="56B83149"/>
    <w:rsid w:val="56E33139"/>
    <w:rsid w:val="56F54CA5"/>
    <w:rsid w:val="56F82D12"/>
    <w:rsid w:val="56FE6A7B"/>
    <w:rsid w:val="57002A28"/>
    <w:rsid w:val="5732273B"/>
    <w:rsid w:val="57375B30"/>
    <w:rsid w:val="573D603D"/>
    <w:rsid w:val="573E757A"/>
    <w:rsid w:val="57875899"/>
    <w:rsid w:val="578E2653"/>
    <w:rsid w:val="57CF0CF4"/>
    <w:rsid w:val="57ED7FF0"/>
    <w:rsid w:val="58342995"/>
    <w:rsid w:val="58344A4D"/>
    <w:rsid w:val="584D7786"/>
    <w:rsid w:val="585E6A21"/>
    <w:rsid w:val="58644C60"/>
    <w:rsid w:val="5865375E"/>
    <w:rsid w:val="58974F72"/>
    <w:rsid w:val="58A31058"/>
    <w:rsid w:val="58AB3AF6"/>
    <w:rsid w:val="58CF70BF"/>
    <w:rsid w:val="58E446BC"/>
    <w:rsid w:val="58EE268D"/>
    <w:rsid w:val="58FC5FB6"/>
    <w:rsid w:val="591640E8"/>
    <w:rsid w:val="592E704D"/>
    <w:rsid w:val="59596C32"/>
    <w:rsid w:val="59A33E84"/>
    <w:rsid w:val="59BD5E4E"/>
    <w:rsid w:val="59CB696D"/>
    <w:rsid w:val="59D81713"/>
    <w:rsid w:val="5A630A99"/>
    <w:rsid w:val="5A6C3E40"/>
    <w:rsid w:val="5A793BB6"/>
    <w:rsid w:val="5A857CA1"/>
    <w:rsid w:val="5AA94F0D"/>
    <w:rsid w:val="5ABB78F0"/>
    <w:rsid w:val="5ABD65F3"/>
    <w:rsid w:val="5AE2061F"/>
    <w:rsid w:val="5B063F84"/>
    <w:rsid w:val="5B1A01D1"/>
    <w:rsid w:val="5B3325CC"/>
    <w:rsid w:val="5B356122"/>
    <w:rsid w:val="5B937E02"/>
    <w:rsid w:val="5BA54009"/>
    <w:rsid w:val="5BD13B59"/>
    <w:rsid w:val="5BD242E4"/>
    <w:rsid w:val="5BE14710"/>
    <w:rsid w:val="5BE30CC0"/>
    <w:rsid w:val="5C0C1AA6"/>
    <w:rsid w:val="5C3C05C6"/>
    <w:rsid w:val="5C426FAC"/>
    <w:rsid w:val="5C442F29"/>
    <w:rsid w:val="5C572450"/>
    <w:rsid w:val="5C677569"/>
    <w:rsid w:val="5C717358"/>
    <w:rsid w:val="5CF62A4F"/>
    <w:rsid w:val="5D016B34"/>
    <w:rsid w:val="5D8808C2"/>
    <w:rsid w:val="5D9F1293"/>
    <w:rsid w:val="5E3205D0"/>
    <w:rsid w:val="5E3C66D6"/>
    <w:rsid w:val="5E517469"/>
    <w:rsid w:val="5E534F02"/>
    <w:rsid w:val="5E75473C"/>
    <w:rsid w:val="5E767A50"/>
    <w:rsid w:val="5E8D644F"/>
    <w:rsid w:val="5ED229EF"/>
    <w:rsid w:val="5EDF65EE"/>
    <w:rsid w:val="5F07112F"/>
    <w:rsid w:val="5F136D28"/>
    <w:rsid w:val="5F251FAE"/>
    <w:rsid w:val="5F571795"/>
    <w:rsid w:val="5FB313D6"/>
    <w:rsid w:val="5FBB7380"/>
    <w:rsid w:val="5FDA2FFC"/>
    <w:rsid w:val="5FF852DD"/>
    <w:rsid w:val="600241BC"/>
    <w:rsid w:val="605507AB"/>
    <w:rsid w:val="6068401F"/>
    <w:rsid w:val="60780B29"/>
    <w:rsid w:val="608161EC"/>
    <w:rsid w:val="60996CC6"/>
    <w:rsid w:val="60F9400D"/>
    <w:rsid w:val="61467DF9"/>
    <w:rsid w:val="61903853"/>
    <w:rsid w:val="61A6498F"/>
    <w:rsid w:val="61BC1B2E"/>
    <w:rsid w:val="62640BC5"/>
    <w:rsid w:val="629934D0"/>
    <w:rsid w:val="629A7691"/>
    <w:rsid w:val="62BF33C4"/>
    <w:rsid w:val="62C85661"/>
    <w:rsid w:val="631A63D9"/>
    <w:rsid w:val="631A6AD4"/>
    <w:rsid w:val="63333EB4"/>
    <w:rsid w:val="63667EA8"/>
    <w:rsid w:val="637816FF"/>
    <w:rsid w:val="63883ADC"/>
    <w:rsid w:val="63C964B4"/>
    <w:rsid w:val="64046F25"/>
    <w:rsid w:val="645B0F0A"/>
    <w:rsid w:val="64844A47"/>
    <w:rsid w:val="64947B14"/>
    <w:rsid w:val="64A33E09"/>
    <w:rsid w:val="64B919B2"/>
    <w:rsid w:val="65324408"/>
    <w:rsid w:val="656731A7"/>
    <w:rsid w:val="65980EBF"/>
    <w:rsid w:val="65BC31FD"/>
    <w:rsid w:val="65C462F8"/>
    <w:rsid w:val="65DC1308"/>
    <w:rsid w:val="65DC32B6"/>
    <w:rsid w:val="668F7EC3"/>
    <w:rsid w:val="669A4E69"/>
    <w:rsid w:val="66A6332B"/>
    <w:rsid w:val="66F00197"/>
    <w:rsid w:val="67105F0C"/>
    <w:rsid w:val="67113B73"/>
    <w:rsid w:val="671B57C4"/>
    <w:rsid w:val="67344043"/>
    <w:rsid w:val="673E554E"/>
    <w:rsid w:val="6764646D"/>
    <w:rsid w:val="67791939"/>
    <w:rsid w:val="67A1290A"/>
    <w:rsid w:val="67AC20BB"/>
    <w:rsid w:val="68134D26"/>
    <w:rsid w:val="68763550"/>
    <w:rsid w:val="68A07900"/>
    <w:rsid w:val="692D4545"/>
    <w:rsid w:val="694A1198"/>
    <w:rsid w:val="695402D2"/>
    <w:rsid w:val="695D2DA9"/>
    <w:rsid w:val="69675EEA"/>
    <w:rsid w:val="69936B6D"/>
    <w:rsid w:val="69F9581A"/>
    <w:rsid w:val="6A463FE9"/>
    <w:rsid w:val="6A47497B"/>
    <w:rsid w:val="6A4E38F8"/>
    <w:rsid w:val="6A566682"/>
    <w:rsid w:val="6A606494"/>
    <w:rsid w:val="6A73034C"/>
    <w:rsid w:val="6A821601"/>
    <w:rsid w:val="6A83706A"/>
    <w:rsid w:val="6AA71B3B"/>
    <w:rsid w:val="6ABD4FAA"/>
    <w:rsid w:val="6ADA4E26"/>
    <w:rsid w:val="6AF543BA"/>
    <w:rsid w:val="6AF91897"/>
    <w:rsid w:val="6B066865"/>
    <w:rsid w:val="6B4868DD"/>
    <w:rsid w:val="6B776BAF"/>
    <w:rsid w:val="6B8116F7"/>
    <w:rsid w:val="6B9A504E"/>
    <w:rsid w:val="6BD36F00"/>
    <w:rsid w:val="6C00548C"/>
    <w:rsid w:val="6C4667D9"/>
    <w:rsid w:val="6C581535"/>
    <w:rsid w:val="6C995C0F"/>
    <w:rsid w:val="6D0D30B8"/>
    <w:rsid w:val="6D186E99"/>
    <w:rsid w:val="6D4C00C6"/>
    <w:rsid w:val="6D58250A"/>
    <w:rsid w:val="6D8474E5"/>
    <w:rsid w:val="6DB655AD"/>
    <w:rsid w:val="6DBE249B"/>
    <w:rsid w:val="6DCE5222"/>
    <w:rsid w:val="6E3117E8"/>
    <w:rsid w:val="6E576483"/>
    <w:rsid w:val="6E676E45"/>
    <w:rsid w:val="6E715912"/>
    <w:rsid w:val="6E775D0E"/>
    <w:rsid w:val="6E8E1033"/>
    <w:rsid w:val="6E9A4E1F"/>
    <w:rsid w:val="6ECD58C7"/>
    <w:rsid w:val="6EDD1F50"/>
    <w:rsid w:val="6EEB2729"/>
    <w:rsid w:val="6F534D7D"/>
    <w:rsid w:val="6F580169"/>
    <w:rsid w:val="6FA65387"/>
    <w:rsid w:val="6FE5007B"/>
    <w:rsid w:val="6FF15C5B"/>
    <w:rsid w:val="70027D57"/>
    <w:rsid w:val="70146669"/>
    <w:rsid w:val="70422316"/>
    <w:rsid w:val="70426800"/>
    <w:rsid w:val="70824D7E"/>
    <w:rsid w:val="70B41277"/>
    <w:rsid w:val="70C74796"/>
    <w:rsid w:val="70C87877"/>
    <w:rsid w:val="70E15F00"/>
    <w:rsid w:val="70F90ABB"/>
    <w:rsid w:val="710268B6"/>
    <w:rsid w:val="71210F09"/>
    <w:rsid w:val="715617FD"/>
    <w:rsid w:val="71717054"/>
    <w:rsid w:val="71C60A21"/>
    <w:rsid w:val="71DA5C45"/>
    <w:rsid w:val="72124DB2"/>
    <w:rsid w:val="722464BD"/>
    <w:rsid w:val="724858AB"/>
    <w:rsid w:val="725C7EDA"/>
    <w:rsid w:val="726D690A"/>
    <w:rsid w:val="72833F38"/>
    <w:rsid w:val="72875B79"/>
    <w:rsid w:val="72976EE0"/>
    <w:rsid w:val="72AC65E7"/>
    <w:rsid w:val="72AE0A95"/>
    <w:rsid w:val="72BF4945"/>
    <w:rsid w:val="72C21549"/>
    <w:rsid w:val="72D47197"/>
    <w:rsid w:val="72E26835"/>
    <w:rsid w:val="72E803AE"/>
    <w:rsid w:val="72FF6E1C"/>
    <w:rsid w:val="730A01C2"/>
    <w:rsid w:val="735A7C92"/>
    <w:rsid w:val="73727A48"/>
    <w:rsid w:val="73860841"/>
    <w:rsid w:val="738E6428"/>
    <w:rsid w:val="73A875B6"/>
    <w:rsid w:val="73B54387"/>
    <w:rsid w:val="73E61C84"/>
    <w:rsid w:val="74046C17"/>
    <w:rsid w:val="740D13EC"/>
    <w:rsid w:val="742E7B73"/>
    <w:rsid w:val="74B05F91"/>
    <w:rsid w:val="74D36096"/>
    <w:rsid w:val="74E261A4"/>
    <w:rsid w:val="753B06F1"/>
    <w:rsid w:val="75663ADE"/>
    <w:rsid w:val="75AF20E8"/>
    <w:rsid w:val="75B51F05"/>
    <w:rsid w:val="75B56443"/>
    <w:rsid w:val="75E215DB"/>
    <w:rsid w:val="75E8285A"/>
    <w:rsid w:val="760C0FE7"/>
    <w:rsid w:val="76160A95"/>
    <w:rsid w:val="76774AD6"/>
    <w:rsid w:val="76A5071B"/>
    <w:rsid w:val="77883635"/>
    <w:rsid w:val="77C76C78"/>
    <w:rsid w:val="780E065B"/>
    <w:rsid w:val="785E4DD1"/>
    <w:rsid w:val="78896D49"/>
    <w:rsid w:val="78A80C0F"/>
    <w:rsid w:val="78A94A5E"/>
    <w:rsid w:val="79242CA1"/>
    <w:rsid w:val="79374509"/>
    <w:rsid w:val="793B09C7"/>
    <w:rsid w:val="794F5B83"/>
    <w:rsid w:val="798D318B"/>
    <w:rsid w:val="798E40EB"/>
    <w:rsid w:val="79EB4D2E"/>
    <w:rsid w:val="79F222CE"/>
    <w:rsid w:val="79F50579"/>
    <w:rsid w:val="7A0B2429"/>
    <w:rsid w:val="7A2F45EB"/>
    <w:rsid w:val="7A3806DA"/>
    <w:rsid w:val="7A400DC7"/>
    <w:rsid w:val="7A503CB6"/>
    <w:rsid w:val="7A7A1729"/>
    <w:rsid w:val="7AB114A0"/>
    <w:rsid w:val="7AB43BAA"/>
    <w:rsid w:val="7AE03012"/>
    <w:rsid w:val="7B3848FE"/>
    <w:rsid w:val="7BA04DF1"/>
    <w:rsid w:val="7BE33035"/>
    <w:rsid w:val="7C044BA3"/>
    <w:rsid w:val="7C2173AF"/>
    <w:rsid w:val="7C343D1B"/>
    <w:rsid w:val="7CA67F76"/>
    <w:rsid w:val="7CBB2889"/>
    <w:rsid w:val="7CCE7407"/>
    <w:rsid w:val="7CD95F31"/>
    <w:rsid w:val="7CEF7F6B"/>
    <w:rsid w:val="7CF418B7"/>
    <w:rsid w:val="7D334AF6"/>
    <w:rsid w:val="7D4274B2"/>
    <w:rsid w:val="7D5F245B"/>
    <w:rsid w:val="7DB72198"/>
    <w:rsid w:val="7DF0306F"/>
    <w:rsid w:val="7E02230D"/>
    <w:rsid w:val="7E0774AE"/>
    <w:rsid w:val="7E2E7080"/>
    <w:rsid w:val="7E5B1247"/>
    <w:rsid w:val="7EA42CA0"/>
    <w:rsid w:val="7EC47356"/>
    <w:rsid w:val="7EF731F2"/>
    <w:rsid w:val="7F045734"/>
    <w:rsid w:val="7F4166C0"/>
    <w:rsid w:val="7FDF53D3"/>
    <w:rsid w:val="7FF02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qFormat/>
    <w:uiPriority w:val="0"/>
    <w:pPr>
      <w:keepNext/>
      <w:keepLines/>
      <w:numPr>
        <w:ilvl w:val="2"/>
        <w:numId w:val="1"/>
      </w:numPr>
      <w:spacing w:before="260" w:after="260" w:line="412" w:lineRule="auto"/>
      <w:outlineLvl w:val="2"/>
    </w:pPr>
    <w:rPr>
      <w:b/>
      <w:sz w:val="32"/>
    </w:rPr>
  </w:style>
  <w:style w:type="paragraph" w:styleId="5">
    <w:name w:val="heading 4"/>
    <w:basedOn w:val="1"/>
    <w:next w:val="1"/>
    <w:qFormat/>
    <w:uiPriority w:val="9"/>
    <w:pPr>
      <w:widowControl/>
      <w:jc w:val="left"/>
      <w:outlineLvl w:val="3"/>
    </w:pPr>
    <w:rPr>
      <w:rFonts w:ascii="Tahoma" w:hAnsi="Tahoma" w:cs="Tahoma"/>
      <w:color w:val="003366"/>
      <w:kern w:val="0"/>
      <w:sz w:val="20"/>
      <w:szCs w:val="20"/>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after="100" w:afterLines="100" w:line="360" w:lineRule="auto"/>
      <w:jc w:val="center"/>
      <w:outlineLvl w:val="0"/>
    </w:pPr>
    <w:rPr>
      <w:rFonts w:ascii="Arial" w:hAnsi="Arial" w:eastAsia="仿宋_GB2312" w:cs="Arial"/>
      <w:b/>
      <w:bCs/>
      <w:sz w:val="32"/>
      <w:szCs w:val="32"/>
    </w:rPr>
  </w:style>
  <w:style w:type="paragraph" w:styleId="6">
    <w:name w:val="Body Text"/>
    <w:basedOn w:val="1"/>
    <w:next w:val="7"/>
    <w:qFormat/>
    <w:uiPriority w:val="0"/>
    <w:pPr>
      <w:spacing w:after="120"/>
    </w:pPr>
    <w:rPr>
      <w:rFonts w:eastAsia="宋体"/>
      <w:sz w:val="21"/>
    </w:rPr>
  </w:style>
  <w:style w:type="paragraph" w:styleId="7">
    <w:name w:val="Body Text First Indent"/>
    <w:basedOn w:val="6"/>
    <w:qFormat/>
    <w:uiPriority w:val="0"/>
    <w:pPr>
      <w:ind w:firstLine="420" w:firstLineChars="100"/>
    </w:pPr>
    <w:rPr>
      <w:kern w:val="0"/>
      <w:sz w:val="24"/>
    </w:rPr>
  </w:style>
  <w:style w:type="paragraph" w:styleId="8">
    <w:name w:val="Body Text Indent"/>
    <w:basedOn w:val="1"/>
    <w:next w:val="1"/>
    <w:qFormat/>
    <w:uiPriority w:val="0"/>
    <w:pPr>
      <w:spacing w:line="360" w:lineRule="auto"/>
      <w:ind w:firstLine="480" w:firstLineChars="200"/>
    </w:pPr>
    <w:rPr>
      <w:rFonts w:ascii="宋体" w:hAnsi="宋体"/>
      <w:sz w:val="24"/>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0"/>
    <w:pPr>
      <w:spacing w:before="120" w:after="120"/>
      <w:jc w:val="left"/>
    </w:pPr>
    <w:rPr>
      <w:b/>
      <w:bCs/>
      <w:caps/>
      <w:sz w:val="20"/>
    </w:rPr>
  </w:style>
  <w:style w:type="paragraph" w:styleId="12">
    <w:name w:val="toc 2"/>
    <w:basedOn w:val="1"/>
    <w:next w:val="1"/>
    <w:semiHidden/>
    <w:qFormat/>
    <w:uiPriority w:val="0"/>
    <w:pPr>
      <w:ind w:left="210"/>
      <w:jc w:val="left"/>
    </w:pPr>
    <w:rPr>
      <w:smallCaps/>
      <w:sz w:val="20"/>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15">
    <w:name w:val="Body Text First Indent 2"/>
    <w:basedOn w:val="8"/>
    <w:next w:val="1"/>
    <w:qFormat/>
    <w:uiPriority w:val="0"/>
    <w:pPr>
      <w:ind w:firstLine="42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paragraph" w:customStyle="1" w:styleId="21">
    <w:name w:val="报告正文"/>
    <w:basedOn w:val="1"/>
    <w:link w:val="27"/>
    <w:qFormat/>
    <w:uiPriority w:val="0"/>
    <w:pPr>
      <w:spacing w:line="560" w:lineRule="exact"/>
      <w:ind w:firstLine="632" w:firstLineChars="200"/>
    </w:pPr>
    <w:rPr>
      <w:rFonts w:ascii="仿宋_GB2312" w:hAnsi="宋体" w:eastAsia="仿宋_GB2312"/>
      <w:spacing w:val="-2"/>
      <w:sz w:val="32"/>
      <w:szCs w:val="32"/>
    </w:rPr>
  </w:style>
  <w:style w:type="character" w:customStyle="1" w:styleId="22">
    <w:name w:val="font11"/>
    <w:basedOn w:val="18"/>
    <w:qFormat/>
    <w:uiPriority w:val="0"/>
    <w:rPr>
      <w:rFonts w:ascii="仿宋" w:hAnsi="仿宋" w:eastAsia="仿宋" w:cs="仿宋"/>
      <w:color w:val="000000"/>
      <w:sz w:val="21"/>
      <w:szCs w:val="21"/>
      <w:u w:val="none"/>
    </w:rPr>
  </w:style>
  <w:style w:type="character" w:customStyle="1" w:styleId="23">
    <w:name w:val="font21"/>
    <w:basedOn w:val="18"/>
    <w:qFormat/>
    <w:uiPriority w:val="0"/>
    <w:rPr>
      <w:rFonts w:hint="eastAsia" w:ascii="宋体" w:hAnsi="宋体" w:eastAsia="宋体" w:cs="宋体"/>
      <w:color w:val="000000"/>
      <w:sz w:val="21"/>
      <w:szCs w:val="21"/>
      <w:u w:val="none"/>
    </w:rPr>
  </w:style>
  <w:style w:type="paragraph" w:customStyle="1" w:styleId="24">
    <w:name w:val="Default"/>
    <w:next w:val="25"/>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25">
    <w:name w:val="索引 51"/>
    <w:basedOn w:val="1"/>
    <w:next w:val="1"/>
    <w:qFormat/>
    <w:uiPriority w:val="0"/>
    <w:pPr>
      <w:ind w:left="1680" w:right="0" w:firstLine="0"/>
    </w:pPr>
  </w:style>
  <w:style w:type="paragraph" w:customStyle="1" w:styleId="26">
    <w:name w:val="标题4"/>
    <w:basedOn w:val="1"/>
    <w:qFormat/>
    <w:uiPriority w:val="0"/>
    <w:pPr>
      <w:spacing w:before="120" w:after="120" w:line="480" w:lineRule="auto"/>
      <w:ind w:firstLine="200" w:firstLineChars="200"/>
      <w:outlineLvl w:val="3"/>
    </w:pPr>
    <w:rPr>
      <w:rFonts w:ascii="宋体" w:hAnsi="宋体"/>
      <w:b/>
      <w:bCs/>
      <w:color w:val="000000"/>
      <w:sz w:val="28"/>
    </w:rPr>
  </w:style>
  <w:style w:type="character" w:customStyle="1" w:styleId="27">
    <w:name w:val="报告正文 Char"/>
    <w:link w:val="21"/>
    <w:qFormat/>
    <w:uiPriority w:val="0"/>
    <w:rPr>
      <w:rFonts w:ascii="仿宋_GB2312" w:hAnsi="宋体" w:eastAsia="仿宋_GB2312"/>
      <w:spacing w:val="-2"/>
      <w:sz w:val="32"/>
      <w:szCs w:val="32"/>
    </w:rPr>
  </w:style>
  <w:style w:type="paragraph" w:customStyle="1" w:styleId="28">
    <w:name w:val="Other|1"/>
    <w:basedOn w:val="1"/>
    <w:qFormat/>
    <w:uiPriority w:val="0"/>
    <w:pPr>
      <w:widowControl w:val="0"/>
      <w:spacing w:line="270" w:lineRule="exact"/>
    </w:pPr>
    <w:rPr>
      <w:rFonts w:ascii="MingLiU" w:hAnsi="MingLiU" w:eastAsia="MingLiU" w:cs="MingLiU"/>
      <w:sz w:val="17"/>
      <w:szCs w:val="17"/>
      <w:lang w:val="zh-TW" w:eastAsia="zh-TW" w:bidi="zh-TW"/>
    </w:rPr>
  </w:style>
  <w:style w:type="paragraph" w:customStyle="1" w:styleId="29">
    <w:name w:val="表格内容"/>
    <w:qFormat/>
    <w:uiPriority w:val="99"/>
    <w:pPr>
      <w:overflowPunct w:val="0"/>
      <w:adjustRightInd w:val="0"/>
      <w:snapToGrid w:val="0"/>
      <w:spacing w:line="288" w:lineRule="auto"/>
    </w:pPr>
    <w:rPr>
      <w:rFonts w:ascii="宋体" w:hAnsi="Arial" w:eastAsia="宋体" w:cs="Times New Roman"/>
      <w:sz w:val="24"/>
      <w:lang w:val="en-US" w:eastAsia="zh-CN" w:bidi="ar-SA"/>
    </w:rPr>
  </w:style>
  <w:style w:type="paragraph" w:customStyle="1" w:styleId="30">
    <w:name w:val="Body text|1"/>
    <w:basedOn w:val="1"/>
    <w:qFormat/>
    <w:uiPriority w:val="0"/>
    <w:pPr>
      <w:widowControl w:val="0"/>
      <w:spacing w:line="401" w:lineRule="auto"/>
      <w:ind w:firstLine="400"/>
    </w:pPr>
    <w:rPr>
      <w:rFonts w:ascii="宋体" w:hAnsi="宋体" w:eastAsia="宋体" w:cs="宋体"/>
      <w:sz w:val="18"/>
      <w:szCs w:val="18"/>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22821</Words>
  <Characters>24140</Characters>
  <Lines>0</Lines>
  <Paragraphs>0</Paragraphs>
  <TotalTime>12</TotalTime>
  <ScaleCrop>false</ScaleCrop>
  <LinksUpToDate>false</LinksUpToDate>
  <CharactersWithSpaces>24331</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2022-01-04T02:35:00Z</dcterms:created>
  <dc:creator>dell</dc:creator>
  <cp:lastModifiedBy>Administrator</cp:lastModifiedBy>
  <dcterms:modified xsi:type="dcterms:W3CDTF">2026-08-20T03:43:09Z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E32C3F85CE2F4600BA149A2484022D06</vt:lpwstr>
  </property>
</Properties>
</file>