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沙湾市安集海镇202</w:t>
      </w:r>
      <w:r>
        <w:rPr>
          <w:rFonts w:ascii="方正小标宋简体" w:hAnsi="方正小标宋简体" w:eastAsia="方正小标宋简体" w:cs="方正小标宋简体"/>
          <w:sz w:val="44"/>
          <w:szCs w:val="44"/>
        </w:rPr>
        <w:t>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年政府信息公开</w:t>
      </w:r>
    </w:p>
    <w:p>
      <w:pPr>
        <w:spacing w:line="60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工作年度报告</w:t>
      </w:r>
    </w:p>
    <w:p>
      <w:pPr>
        <w:spacing w:line="560" w:lineRule="exact"/>
        <w:ind w:firstLine="640" w:firstLineChars="200"/>
        <w:rPr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ascii="仿宋_GB2312" w:hAnsi="仿宋_GB2312" w:eastAsia="仿宋_GB2312" w:cs="仿宋_GB2312"/>
          <w:sz w:val="32"/>
          <w:szCs w:val="32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年，安集海镇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坚持</w:t>
      </w:r>
      <w:r>
        <w:rPr>
          <w:rFonts w:hint="eastAsia" w:ascii="仿宋_GB2312" w:hAnsi="仿宋_GB2312" w:eastAsia="仿宋_GB2312" w:cs="仿宋_GB2312"/>
          <w:sz w:val="32"/>
          <w:szCs w:val="32"/>
        </w:rPr>
        <w:t>以习近平新时代中国特色社会主义思想为指导，严格贯彻落实《中华人民共和国政府信息公开条例》和市政府统一安排部署，围绕全镇中心工作和群众关切，扎实做好政务信息公开工作，切实保障人民群众的知情权、参与权、监督权和表达权，较好地完成了年度工作任务。</w:t>
      </w:r>
    </w:p>
    <w:p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一、总体情况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（一）主动公开情况。安集海镇认真落实《中华人民共和国政府信息公开条例》，聚焦</w:t>
      </w:r>
      <w:r>
        <w:rPr>
          <w:rFonts w:ascii="仿宋_GB2312" w:hAnsi="仿宋_GB2312" w:eastAsia="仿宋_GB2312" w:cs="仿宋_GB2312"/>
          <w:sz w:val="32"/>
          <w:szCs w:val="32"/>
        </w:rPr>
        <w:t>重点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项目建设、惠民政策落实、</w:t>
      </w:r>
      <w:r>
        <w:rPr>
          <w:rFonts w:ascii="仿宋_GB2312" w:hAnsi="仿宋_GB2312" w:eastAsia="仿宋_GB2312" w:cs="仿宋_GB2312"/>
          <w:sz w:val="32"/>
          <w:szCs w:val="32"/>
        </w:rPr>
        <w:t>乡村</w:t>
      </w:r>
      <w:r>
        <w:rPr>
          <w:rFonts w:hint="eastAsia" w:ascii="仿宋_GB2312" w:hAnsi="仿宋_GB2312" w:eastAsia="仿宋_GB2312" w:cs="仿宋_GB2312"/>
          <w:sz w:val="32"/>
          <w:szCs w:val="32"/>
        </w:rPr>
        <w:t>振兴、安全生产等领域，由办公室牵头负责公开信息的编辑、审核与发布，通过政府门户网站、公示栏、宣传栏等方式主动公开政府信息。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（二）依申请公开情况。完善依申请公开接收、</w:t>
      </w:r>
      <w:r>
        <w:rPr>
          <w:rFonts w:ascii="仿宋_GB2312" w:hAnsi="仿宋_GB2312" w:eastAsia="仿宋_GB2312" w:cs="仿宋_GB2312"/>
          <w:sz w:val="32"/>
          <w:szCs w:val="32"/>
        </w:rPr>
        <w:t>登记</w:t>
      </w:r>
      <w:r>
        <w:rPr>
          <w:rFonts w:hint="eastAsia" w:ascii="仿宋_GB2312" w:hAnsi="仿宋_GB2312" w:eastAsia="仿宋_GB2312" w:cs="仿宋_GB2312"/>
          <w:sz w:val="32"/>
          <w:szCs w:val="32"/>
        </w:rPr>
        <w:t>、</w:t>
      </w:r>
      <w:r>
        <w:rPr>
          <w:rFonts w:ascii="仿宋_GB2312" w:hAnsi="仿宋_GB2312" w:eastAsia="仿宋_GB2312" w:cs="仿宋_GB2312"/>
          <w:sz w:val="32"/>
          <w:szCs w:val="32"/>
        </w:rPr>
        <w:t>审核</w:t>
      </w:r>
      <w:r>
        <w:rPr>
          <w:rFonts w:hint="eastAsia" w:ascii="仿宋_GB2312" w:hAnsi="仿宋_GB2312" w:eastAsia="仿宋_GB2312" w:cs="仿宋_GB2312"/>
          <w:sz w:val="32"/>
          <w:szCs w:val="32"/>
        </w:rPr>
        <w:t>、办理、答复、</w:t>
      </w:r>
      <w:r>
        <w:rPr>
          <w:rFonts w:ascii="仿宋_GB2312" w:hAnsi="仿宋_GB2312" w:eastAsia="仿宋_GB2312" w:cs="仿宋_GB2312"/>
          <w:sz w:val="32"/>
          <w:szCs w:val="32"/>
        </w:rPr>
        <w:t>归档</w:t>
      </w:r>
      <w:r>
        <w:rPr>
          <w:rFonts w:hint="eastAsia" w:ascii="仿宋_GB2312" w:hAnsi="仿宋_GB2312" w:eastAsia="仿宋_GB2312" w:cs="仿宋_GB2312"/>
          <w:sz w:val="32"/>
          <w:szCs w:val="32"/>
        </w:rPr>
        <w:t>工作机制，</w:t>
      </w:r>
      <w:r>
        <w:rPr>
          <w:rFonts w:ascii="仿宋_GB2312" w:hAnsi="仿宋_GB2312" w:eastAsia="仿宋_GB2312" w:cs="仿宋_GB2312"/>
          <w:sz w:val="32"/>
          <w:szCs w:val="32"/>
        </w:rPr>
        <w:t>明确</w:t>
      </w:r>
      <w:r>
        <w:rPr>
          <w:rFonts w:hint="eastAsia" w:ascii="仿宋_GB2312" w:hAnsi="仿宋_GB2312" w:eastAsia="仿宋_GB2312" w:cs="仿宋_GB2312"/>
          <w:sz w:val="32"/>
          <w:szCs w:val="32"/>
        </w:rPr>
        <w:t>办理时限和责任分工。2024年度无结转政府信息公开申请，2</w:t>
      </w:r>
      <w:r>
        <w:rPr>
          <w:rFonts w:ascii="仿宋_GB2312" w:hAnsi="仿宋_GB2312" w:eastAsia="仿宋_GB2312" w:cs="仿宋_GB2312"/>
          <w:sz w:val="32"/>
          <w:szCs w:val="32"/>
        </w:rPr>
        <w:t>025</w:t>
      </w:r>
      <w:r>
        <w:rPr>
          <w:rFonts w:hint="eastAsia" w:ascii="仿宋_GB2312" w:hAnsi="仿宋_GB2312" w:eastAsia="仿宋_GB2312" w:cs="仿宋_GB2312"/>
          <w:sz w:val="32"/>
          <w:szCs w:val="32"/>
        </w:rPr>
        <w:t>年受理1件，</w:t>
      </w:r>
      <w:r>
        <w:rPr>
          <w:rFonts w:ascii="仿宋_GB2312" w:hAnsi="仿宋_GB2312" w:eastAsia="仿宋_GB2312" w:cs="仿宋_GB2312"/>
          <w:sz w:val="32"/>
          <w:szCs w:val="32"/>
        </w:rPr>
        <w:t>在</w:t>
      </w:r>
      <w:r>
        <w:rPr>
          <w:rFonts w:hint="eastAsia" w:ascii="仿宋_GB2312" w:hAnsi="仿宋_GB2312" w:eastAsia="仿宋_GB2312" w:cs="仿宋_GB2312"/>
          <w:sz w:val="32"/>
          <w:szCs w:val="32"/>
        </w:rPr>
        <w:t>法定期限内完成审查答复，</w:t>
      </w:r>
      <w:r>
        <w:rPr>
          <w:rFonts w:ascii="仿宋_GB2312" w:hAnsi="仿宋_GB2312" w:eastAsia="仿宋_GB2312" w:cs="仿宋_GB2312"/>
          <w:sz w:val="32"/>
          <w:szCs w:val="32"/>
        </w:rPr>
        <w:t>办理</w:t>
      </w:r>
      <w:r>
        <w:rPr>
          <w:rFonts w:hint="eastAsia" w:ascii="仿宋_GB2312" w:hAnsi="仿宋_GB2312" w:eastAsia="仿宋_GB2312" w:cs="仿宋_GB2312"/>
          <w:sz w:val="32"/>
          <w:szCs w:val="32"/>
        </w:rPr>
        <w:t>结果为依法向信息产生单位进行申请公示。年度内，未发生由于政府信息公开申请引发的行政诉讼等情况。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（三）政府信息管理情况。建立健全信息公开审核制度，</w:t>
      </w:r>
      <w:r>
        <w:rPr>
          <w:rFonts w:ascii="仿宋_GB2312" w:hAnsi="仿宋_GB2312" w:eastAsia="仿宋_GB2312" w:cs="仿宋_GB2312"/>
          <w:sz w:val="32"/>
          <w:szCs w:val="32"/>
        </w:rPr>
        <w:t>严格</w:t>
      </w:r>
      <w:r>
        <w:rPr>
          <w:rFonts w:hint="eastAsia" w:ascii="仿宋_GB2312" w:hAnsi="仿宋_GB2312" w:eastAsia="仿宋_GB2312" w:cs="仿宋_GB2312"/>
          <w:sz w:val="32"/>
          <w:szCs w:val="32"/>
        </w:rPr>
        <w:t>遵循“三审三校”流程，</w:t>
      </w:r>
      <w:r>
        <w:rPr>
          <w:rFonts w:ascii="仿宋_GB2312" w:hAnsi="仿宋_GB2312" w:eastAsia="仿宋_GB2312" w:cs="仿宋_GB2312"/>
          <w:sz w:val="32"/>
          <w:szCs w:val="32"/>
        </w:rPr>
        <w:t>严把</w:t>
      </w:r>
      <w:r>
        <w:rPr>
          <w:rFonts w:hint="eastAsia" w:ascii="仿宋_GB2312" w:hAnsi="仿宋_GB2312" w:eastAsia="仿宋_GB2312" w:cs="仿宋_GB2312"/>
          <w:sz w:val="32"/>
          <w:szCs w:val="32"/>
        </w:rPr>
        <w:t>政治关、</w:t>
      </w:r>
      <w:r>
        <w:rPr>
          <w:rFonts w:ascii="仿宋_GB2312" w:hAnsi="仿宋_GB2312" w:eastAsia="仿宋_GB2312" w:cs="仿宋_GB2312"/>
          <w:sz w:val="32"/>
          <w:szCs w:val="32"/>
        </w:rPr>
        <w:t>法律</w:t>
      </w:r>
      <w:r>
        <w:rPr>
          <w:rFonts w:hint="eastAsia" w:ascii="仿宋_GB2312" w:hAnsi="仿宋_GB2312" w:eastAsia="仿宋_GB2312" w:cs="仿宋_GB2312"/>
          <w:sz w:val="32"/>
          <w:szCs w:val="32"/>
        </w:rPr>
        <w:t>关、</w:t>
      </w:r>
      <w:r>
        <w:rPr>
          <w:rFonts w:ascii="仿宋_GB2312" w:hAnsi="仿宋_GB2312" w:eastAsia="仿宋_GB2312" w:cs="仿宋_GB2312"/>
          <w:sz w:val="32"/>
          <w:szCs w:val="32"/>
        </w:rPr>
        <w:t>政策</w:t>
      </w:r>
      <w:r>
        <w:rPr>
          <w:rFonts w:hint="eastAsia" w:ascii="仿宋_GB2312" w:hAnsi="仿宋_GB2312" w:eastAsia="仿宋_GB2312" w:cs="仿宋_GB2312"/>
          <w:sz w:val="32"/>
          <w:szCs w:val="32"/>
        </w:rPr>
        <w:t>关、</w:t>
      </w:r>
      <w:r>
        <w:rPr>
          <w:rFonts w:ascii="仿宋_GB2312" w:hAnsi="仿宋_GB2312" w:eastAsia="仿宋_GB2312" w:cs="仿宋_GB2312"/>
          <w:sz w:val="32"/>
          <w:szCs w:val="32"/>
        </w:rPr>
        <w:t>保密</w:t>
      </w:r>
      <w:r>
        <w:rPr>
          <w:rFonts w:hint="eastAsia" w:ascii="仿宋_GB2312" w:hAnsi="仿宋_GB2312" w:eastAsia="仿宋_GB2312" w:cs="仿宋_GB2312"/>
          <w:sz w:val="32"/>
          <w:szCs w:val="32"/>
        </w:rPr>
        <w:t>关、文字关，</w:t>
      </w:r>
      <w:r>
        <w:rPr>
          <w:rFonts w:ascii="仿宋_GB2312" w:hAnsi="仿宋_GB2312" w:eastAsia="仿宋_GB2312" w:cs="仿宋_GB2312"/>
          <w:sz w:val="32"/>
          <w:szCs w:val="32"/>
        </w:rPr>
        <w:t>确保</w:t>
      </w:r>
      <w:r>
        <w:rPr>
          <w:rFonts w:hint="eastAsia" w:ascii="仿宋_GB2312" w:hAnsi="仿宋_GB2312" w:eastAsia="仿宋_GB2312" w:cs="仿宋_GB2312"/>
          <w:sz w:val="32"/>
          <w:szCs w:val="32"/>
        </w:rPr>
        <w:t>公开信息准确规范，全年未发生因信息公开不当引发的安全事件。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（四）政府信息公开平台建设情况。加强对市政府信息公开专栏各版块内容更新和信息上传。在镇便民服务中心、</w:t>
      </w:r>
      <w:r>
        <w:rPr>
          <w:rFonts w:ascii="仿宋_GB2312" w:hAnsi="仿宋_GB2312" w:eastAsia="仿宋_GB2312" w:cs="仿宋_GB2312"/>
          <w:sz w:val="32"/>
          <w:szCs w:val="32"/>
        </w:rPr>
        <w:t>村级</w:t>
      </w:r>
      <w:r>
        <w:rPr>
          <w:rFonts w:hint="eastAsia" w:ascii="仿宋_GB2312" w:hAnsi="仿宋_GB2312" w:eastAsia="仿宋_GB2312" w:cs="仿宋_GB2312"/>
          <w:sz w:val="32"/>
          <w:szCs w:val="32"/>
        </w:rPr>
        <w:t>党群服务中心设立政务公开栏12个，</w:t>
      </w:r>
      <w:r>
        <w:rPr>
          <w:rFonts w:ascii="仿宋_GB2312" w:hAnsi="仿宋_GB2312" w:eastAsia="仿宋_GB2312" w:cs="仿宋_GB2312"/>
          <w:sz w:val="32"/>
          <w:szCs w:val="32"/>
        </w:rPr>
        <w:t>并</w:t>
      </w:r>
      <w:r>
        <w:rPr>
          <w:rFonts w:hint="eastAsia" w:ascii="仿宋_GB2312" w:hAnsi="仿宋_GB2312" w:eastAsia="仿宋_GB2312" w:cs="仿宋_GB2312"/>
          <w:sz w:val="32"/>
          <w:szCs w:val="32"/>
        </w:rPr>
        <w:t>借助村级微信群推送便民资讯，</w:t>
      </w:r>
      <w:r>
        <w:rPr>
          <w:rFonts w:ascii="仿宋_GB2312" w:hAnsi="仿宋_GB2312" w:eastAsia="仿宋_GB2312" w:cs="仿宋_GB2312"/>
          <w:sz w:val="32"/>
          <w:szCs w:val="32"/>
        </w:rPr>
        <w:t>构建</w:t>
      </w:r>
      <w:r>
        <w:rPr>
          <w:rFonts w:hint="eastAsia" w:ascii="仿宋_GB2312" w:hAnsi="仿宋_GB2312" w:eastAsia="仿宋_GB2312" w:cs="仿宋_GB2312"/>
          <w:sz w:val="32"/>
          <w:szCs w:val="32"/>
        </w:rPr>
        <w:t>“</w:t>
      </w:r>
      <w:r>
        <w:rPr>
          <w:rFonts w:ascii="仿宋_GB2312" w:hAnsi="仿宋_GB2312" w:eastAsia="仿宋_GB2312" w:cs="仿宋_GB2312"/>
          <w:sz w:val="32"/>
          <w:szCs w:val="32"/>
        </w:rPr>
        <w:t>线上</w:t>
      </w:r>
      <w:r>
        <w:rPr>
          <w:rFonts w:hint="eastAsia" w:ascii="仿宋_GB2312" w:hAnsi="仿宋_GB2312" w:eastAsia="仿宋_GB2312" w:cs="仿宋_GB2312"/>
          <w:sz w:val="32"/>
          <w:szCs w:val="32"/>
        </w:rPr>
        <w:t>+</w:t>
      </w:r>
      <w:r>
        <w:rPr>
          <w:rFonts w:ascii="仿宋_GB2312" w:hAnsi="仿宋_GB2312" w:eastAsia="仿宋_GB2312" w:cs="仿宋_GB2312"/>
          <w:sz w:val="32"/>
          <w:szCs w:val="32"/>
        </w:rPr>
        <w:t>线下</w:t>
      </w:r>
      <w:r>
        <w:rPr>
          <w:rFonts w:hint="eastAsia" w:ascii="仿宋_GB2312" w:hAnsi="仿宋_GB2312" w:eastAsia="仿宋_GB2312" w:cs="仿宋_GB2312"/>
          <w:sz w:val="32"/>
          <w:szCs w:val="32"/>
        </w:rPr>
        <w:t>”</w:t>
      </w:r>
      <w:r>
        <w:rPr>
          <w:rFonts w:ascii="仿宋_GB2312" w:hAnsi="仿宋_GB2312" w:eastAsia="仿宋_GB2312" w:cs="仿宋_GB2312"/>
          <w:sz w:val="32"/>
          <w:szCs w:val="32"/>
        </w:rPr>
        <w:t>全方位</w:t>
      </w:r>
      <w:r>
        <w:rPr>
          <w:rFonts w:hint="eastAsia" w:ascii="仿宋_GB2312" w:hAnsi="仿宋_GB2312" w:eastAsia="仿宋_GB2312" w:cs="仿宋_GB2312"/>
          <w:sz w:val="32"/>
          <w:szCs w:val="32"/>
        </w:rPr>
        <w:t>公开网络，</w:t>
      </w:r>
      <w:r>
        <w:rPr>
          <w:rFonts w:ascii="仿宋_GB2312" w:hAnsi="仿宋_GB2312" w:eastAsia="仿宋_GB2312" w:cs="仿宋_GB2312"/>
          <w:sz w:val="32"/>
          <w:szCs w:val="32"/>
        </w:rPr>
        <w:t>提升</w:t>
      </w:r>
      <w:r>
        <w:rPr>
          <w:rFonts w:hint="eastAsia" w:ascii="仿宋_GB2312" w:hAnsi="仿宋_GB2312" w:eastAsia="仿宋_GB2312" w:cs="仿宋_GB2312"/>
          <w:sz w:val="32"/>
          <w:szCs w:val="32"/>
        </w:rPr>
        <w:t>群众信息知晓率。以“</w:t>
      </w:r>
      <w:r>
        <w:rPr>
          <w:rFonts w:ascii="仿宋_GB2312" w:hAnsi="仿宋_GB2312" w:eastAsia="仿宋_GB2312" w:cs="仿宋_GB2312"/>
          <w:sz w:val="32"/>
          <w:szCs w:val="32"/>
        </w:rPr>
        <w:t>辣椒</w:t>
      </w:r>
      <w:r>
        <w:rPr>
          <w:rFonts w:hint="eastAsia" w:ascii="仿宋_GB2312" w:hAnsi="仿宋_GB2312" w:eastAsia="仿宋_GB2312" w:cs="仿宋_GB2312"/>
          <w:sz w:val="32"/>
          <w:szCs w:val="32"/>
        </w:rPr>
        <w:t>小镇-</w:t>
      </w:r>
      <w:r>
        <w:rPr>
          <w:rFonts w:ascii="仿宋_GB2312" w:hAnsi="仿宋_GB2312" w:eastAsia="仿宋_GB2312" w:cs="仿宋_GB2312"/>
          <w:sz w:val="32"/>
          <w:szCs w:val="32"/>
        </w:rPr>
        <w:t>安集海</w:t>
      </w:r>
      <w:r>
        <w:rPr>
          <w:rFonts w:hint="eastAsia" w:ascii="仿宋_GB2312" w:hAnsi="仿宋_GB2312" w:eastAsia="仿宋_GB2312" w:cs="仿宋_GB2312"/>
          <w:sz w:val="32"/>
          <w:szCs w:val="32"/>
        </w:rPr>
        <w:t>”</w:t>
      </w:r>
      <w:r>
        <w:rPr>
          <w:rFonts w:ascii="仿宋_GB2312" w:hAnsi="仿宋_GB2312" w:eastAsia="仿宋_GB2312" w:cs="仿宋_GB2312"/>
          <w:sz w:val="32"/>
          <w:szCs w:val="32"/>
        </w:rPr>
        <w:t>微信</w:t>
      </w:r>
      <w:r>
        <w:rPr>
          <w:rFonts w:hint="eastAsia" w:ascii="仿宋_GB2312" w:hAnsi="仿宋_GB2312" w:eastAsia="仿宋_GB2312" w:cs="仿宋_GB2312"/>
          <w:sz w:val="32"/>
          <w:szCs w:val="32"/>
        </w:rPr>
        <w:t>视频号为主要渠道，</w:t>
      </w:r>
      <w:r>
        <w:rPr>
          <w:rFonts w:ascii="仿宋_GB2312" w:hAnsi="仿宋_GB2312" w:eastAsia="仿宋_GB2312" w:cs="仿宋_GB2312"/>
          <w:sz w:val="32"/>
          <w:szCs w:val="32"/>
        </w:rPr>
        <w:t>发挥</w:t>
      </w:r>
      <w:r>
        <w:rPr>
          <w:rFonts w:hint="eastAsia" w:ascii="仿宋_GB2312" w:hAnsi="仿宋_GB2312" w:eastAsia="仿宋_GB2312" w:cs="仿宋_GB2312"/>
          <w:sz w:val="32"/>
          <w:szCs w:val="32"/>
        </w:rPr>
        <w:t>主流媒体引导作用和宣传优势。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五）监督保障情况。将政府信息公开工作纳入常态化监管，第一时间完善信息内容和堵塞漏洞；信息发布之后定期开展自查自纠，自觉主动接受工作考评和社会评议，未发现违反有关法律法规规定，造成不良影响的情况。</w:t>
      </w:r>
    </w:p>
    <w:p>
      <w:pPr>
        <w:spacing w:line="520" w:lineRule="exact"/>
        <w:ind w:firstLine="640" w:firstLineChars="200"/>
        <w:rPr>
          <w:rFonts w:ascii="Times New Roman" w:hAnsi="Times New Roman" w:eastAsia="黑体" w:cs="宋体"/>
          <w:sz w:val="32"/>
          <w:szCs w:val="32"/>
        </w:rPr>
      </w:pPr>
      <w:r>
        <w:rPr>
          <w:rFonts w:hint="eastAsia" w:ascii="Times New Roman" w:hAnsi="Times New Roman" w:eastAsia="黑体" w:cs="宋体"/>
          <w:sz w:val="32"/>
          <w:szCs w:val="32"/>
        </w:rPr>
        <w:t>二、主动公开政府信息情况</w:t>
      </w:r>
    </w:p>
    <w:p>
      <w:pPr>
        <w:pStyle w:val="7"/>
        <w:widowControl/>
        <w:spacing w:before="0" w:beforeAutospacing="0" w:after="0" w:afterAutospacing="0" w:line="520" w:lineRule="exact"/>
        <w:ind w:firstLine="640" w:firstLineChars="200"/>
        <w:jc w:val="both"/>
        <w:rPr>
          <w:rFonts w:ascii="Times New Roman" w:hAnsi="Times New Roman" w:eastAsia="仿宋_GB2312" w:cs="宋体"/>
          <w:sz w:val="32"/>
          <w:szCs w:val="32"/>
        </w:rPr>
      </w:pPr>
      <w:r>
        <w:rPr>
          <w:rFonts w:hint="eastAsia" w:ascii="Times New Roman" w:hAnsi="Times New Roman" w:eastAsia="仿宋_GB2312" w:cs="宋体"/>
          <w:sz w:val="32"/>
          <w:szCs w:val="32"/>
        </w:rPr>
        <w:t>该部分以表格形式报告。表格如下：</w:t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7"/>
        <w:gridCol w:w="2289"/>
        <w:gridCol w:w="2126"/>
        <w:gridCol w:w="19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  <w:jc w:val="center"/>
        </w:trPr>
        <w:tc>
          <w:tcPr>
            <w:tcW w:w="8476" w:type="dxa"/>
            <w:gridSpan w:val="4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第二十条第（一）项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2137" w:type="dxa"/>
            <w:noWrap/>
            <w:vAlign w:val="center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信息内容</w:t>
            </w:r>
          </w:p>
        </w:tc>
        <w:tc>
          <w:tcPr>
            <w:tcW w:w="2289" w:type="dxa"/>
            <w:noWrap/>
            <w:vAlign w:val="center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本年制发件数</w:t>
            </w:r>
          </w:p>
        </w:tc>
        <w:tc>
          <w:tcPr>
            <w:tcW w:w="2126" w:type="dxa"/>
            <w:noWrap w:val="0"/>
            <w:vAlign w:val="center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本年废止件数</w:t>
            </w:r>
          </w:p>
        </w:tc>
        <w:tc>
          <w:tcPr>
            <w:tcW w:w="1924" w:type="dxa"/>
            <w:noWrap/>
            <w:vAlign w:val="center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现行有效件数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widowControl/>
              <w:spacing w:after="144" w:line="300" w:lineRule="exact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规章</w:t>
            </w:r>
          </w:p>
        </w:tc>
        <w:tc>
          <w:tcPr>
            <w:tcW w:w="2289" w:type="dxa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2126" w:type="dxa"/>
            <w:noWrap w:val="0"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1924" w:type="dxa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widowControl/>
              <w:spacing w:after="144" w:line="300" w:lineRule="exact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规范性文件</w:t>
            </w:r>
          </w:p>
        </w:tc>
        <w:tc>
          <w:tcPr>
            <w:tcW w:w="2289" w:type="dxa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default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2126" w:type="dxa"/>
            <w:noWrap w:val="0"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lang w:val="en-US" w:eastAsia="zh-CN"/>
              </w:rPr>
              <w:t>0</w:t>
            </w:r>
          </w:p>
        </w:tc>
        <w:tc>
          <w:tcPr>
            <w:tcW w:w="1924" w:type="dxa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default" w:ascii="Times New Roman" w:hAnsi="Times New Roman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8476" w:type="dxa"/>
            <w:gridSpan w:val="4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第二十条第（五）项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信息内容</w:t>
            </w:r>
          </w:p>
        </w:tc>
        <w:tc>
          <w:tcPr>
            <w:tcW w:w="6339" w:type="dxa"/>
            <w:gridSpan w:val="3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本年处理决定数量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widowControl/>
              <w:spacing w:after="144" w:line="300" w:lineRule="exact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行政许可</w:t>
            </w:r>
          </w:p>
        </w:tc>
        <w:tc>
          <w:tcPr>
            <w:tcW w:w="6339" w:type="dxa"/>
            <w:gridSpan w:val="3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  <w:jc w:val="center"/>
        </w:trPr>
        <w:tc>
          <w:tcPr>
            <w:tcW w:w="8476" w:type="dxa"/>
            <w:gridSpan w:val="4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第二十条第（六）项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信息内容</w:t>
            </w:r>
          </w:p>
        </w:tc>
        <w:tc>
          <w:tcPr>
            <w:tcW w:w="6339" w:type="dxa"/>
            <w:gridSpan w:val="3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本年处理决定数量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widowControl/>
              <w:spacing w:after="144" w:line="300" w:lineRule="exact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行政处罚</w:t>
            </w:r>
          </w:p>
        </w:tc>
        <w:tc>
          <w:tcPr>
            <w:tcW w:w="6339" w:type="dxa"/>
            <w:gridSpan w:val="3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widowControl/>
              <w:spacing w:after="144" w:line="300" w:lineRule="exact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行政强制</w:t>
            </w:r>
          </w:p>
        </w:tc>
        <w:tc>
          <w:tcPr>
            <w:tcW w:w="6339" w:type="dxa"/>
            <w:gridSpan w:val="3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8476" w:type="dxa"/>
            <w:gridSpan w:val="4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第二十条第（八）项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信息内容</w:t>
            </w:r>
          </w:p>
        </w:tc>
        <w:tc>
          <w:tcPr>
            <w:tcW w:w="6339" w:type="dxa"/>
            <w:gridSpan w:val="3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</w:rPr>
              <w:t>本年收费金额（单位：万元）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widowControl/>
              <w:spacing w:after="144" w:line="300" w:lineRule="exact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行政事业性收费</w:t>
            </w:r>
          </w:p>
        </w:tc>
        <w:tc>
          <w:tcPr>
            <w:tcW w:w="6339" w:type="dxa"/>
            <w:gridSpan w:val="3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</w:tr>
    </w:tbl>
    <w:p>
      <w:pPr>
        <w:pStyle w:val="7"/>
        <w:widowControl/>
        <w:spacing w:before="0" w:beforeAutospacing="0" w:after="0" w:afterAutospacing="0" w:line="520" w:lineRule="exact"/>
        <w:ind w:firstLine="640" w:firstLineChars="200"/>
        <w:jc w:val="both"/>
        <w:rPr>
          <w:rFonts w:ascii="Times New Roman" w:hAnsi="Times New Roman" w:eastAsia="黑体" w:cs="宋体"/>
          <w:sz w:val="32"/>
          <w:szCs w:val="30"/>
        </w:rPr>
      </w:pPr>
      <w:r>
        <w:rPr>
          <w:rFonts w:hint="eastAsia" w:ascii="Times New Roman" w:hAnsi="Times New Roman" w:eastAsia="黑体" w:cs="宋体"/>
          <w:sz w:val="32"/>
          <w:szCs w:val="30"/>
        </w:rPr>
        <w:t>三、收到和处理政府信息公开申请情况</w:t>
      </w:r>
    </w:p>
    <w:p>
      <w:pPr>
        <w:pStyle w:val="7"/>
        <w:widowControl/>
        <w:spacing w:before="0" w:beforeAutospacing="0" w:after="0" w:afterAutospacing="0" w:line="520" w:lineRule="exact"/>
        <w:ind w:firstLine="640" w:firstLineChars="200"/>
        <w:jc w:val="both"/>
        <w:rPr>
          <w:rFonts w:ascii="Times New Roman" w:hAnsi="Times New Roman" w:eastAsia="仿宋_GB2312" w:cs="宋体"/>
          <w:sz w:val="32"/>
          <w:szCs w:val="32"/>
        </w:rPr>
      </w:pPr>
      <w:r>
        <w:rPr>
          <w:rFonts w:hint="eastAsia" w:ascii="Times New Roman" w:hAnsi="Times New Roman" w:eastAsia="仿宋_GB2312" w:cs="宋体"/>
          <w:sz w:val="32"/>
          <w:szCs w:val="32"/>
        </w:rPr>
        <w:t>该部分以表格形式报告。表格如下：</w:t>
      </w:r>
    </w:p>
    <w:tbl>
      <w:tblPr>
        <w:tblStyle w:val="8"/>
        <w:tblW w:w="92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7"/>
        <w:gridCol w:w="906"/>
        <w:gridCol w:w="30"/>
        <w:gridCol w:w="3377"/>
        <w:gridCol w:w="456"/>
        <w:gridCol w:w="707"/>
        <w:gridCol w:w="707"/>
        <w:gridCol w:w="706"/>
        <w:gridCol w:w="707"/>
        <w:gridCol w:w="465"/>
        <w:gridCol w:w="4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 w:hRule="atLeast"/>
          <w:jc w:val="center"/>
        </w:trPr>
        <w:tc>
          <w:tcPr>
            <w:tcW w:w="5010" w:type="dxa"/>
            <w:gridSpan w:val="4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（本列数据的勾稽关系为：第一项加第二项之和，等于第三项加第四项之和）</w:t>
            </w:r>
          </w:p>
        </w:tc>
        <w:tc>
          <w:tcPr>
            <w:tcW w:w="4204" w:type="dxa"/>
            <w:gridSpan w:val="7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申请人情况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010" w:type="dxa"/>
            <w:gridSpan w:val="4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456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自然人</w:t>
            </w:r>
          </w:p>
        </w:tc>
        <w:tc>
          <w:tcPr>
            <w:tcW w:w="3292" w:type="dxa"/>
            <w:gridSpan w:val="5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法人或其他组织</w:t>
            </w:r>
          </w:p>
        </w:tc>
        <w:tc>
          <w:tcPr>
            <w:tcW w:w="456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总计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5010" w:type="dxa"/>
            <w:gridSpan w:val="4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45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商业企业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科研机构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社会公益组织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法律服务机构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其他</w:t>
            </w:r>
          </w:p>
        </w:tc>
        <w:tc>
          <w:tcPr>
            <w:tcW w:w="45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2" w:hRule="atLeast"/>
          <w:jc w:val="center"/>
        </w:trPr>
        <w:tc>
          <w:tcPr>
            <w:tcW w:w="5010" w:type="dxa"/>
            <w:gridSpan w:val="4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一、本年新收政府信息公开申请数量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1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1</w:t>
            </w: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010" w:type="dxa"/>
            <w:gridSpan w:val="4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二、上年结转政府信息公开申请数量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  <w:jc w:val="center"/>
        </w:trPr>
        <w:tc>
          <w:tcPr>
            <w:tcW w:w="697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三、本年度办理结果</w:t>
            </w:r>
          </w:p>
        </w:tc>
        <w:tc>
          <w:tcPr>
            <w:tcW w:w="4313" w:type="dxa"/>
            <w:gridSpan w:val="3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eastAsia="楷体" w:cs="楷体"/>
                <w:kern w:val="0"/>
                <w:sz w:val="24"/>
              </w:rPr>
              <w:t>（一）予以公开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4313" w:type="dxa"/>
            <w:gridSpan w:val="3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eastAsia="楷体" w:cs="楷体"/>
                <w:kern w:val="0"/>
                <w:sz w:val="24"/>
              </w:rPr>
              <w:t>（二）部分公开（区分处理的，只计这一情形，不计其他情形）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（三）不予公开</w:t>
            </w: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1.属于国家秘密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2.其他法律行政法规禁止公开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3.危及“三安全一稳定”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4.保护第三方合法权益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5.属于三类内部事务信息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6.属于四类过程性信息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7.属于行政执法案卷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" w:hRule="atLeast"/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8.属于行政查询事项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（四）无法提供</w:t>
            </w: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1.本机关不掌握相关政府信息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2.没有现成信息需要另行制作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3.补正后申请内容仍不明确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（五）不予处理</w:t>
            </w: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1.信访举报投诉类申请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both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2.重复申请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3.要求提供公开出版物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4.无正当理由大量反复申请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5.要求行政机关确认或重新出具已获取信息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06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（六）其他处理</w:t>
            </w:r>
          </w:p>
        </w:tc>
        <w:tc>
          <w:tcPr>
            <w:tcW w:w="3407" w:type="dxa"/>
            <w:gridSpan w:val="2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40" w:lineRule="exac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/>
                <w:sz w:val="24"/>
              </w:rPr>
              <w:t>1.申请人无正当理由逾期不补正、行政机关不再处理其政府信息公开申请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0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hint="eastAsia" w:ascii="楷体_GB2312" w:hAnsi="Times New Roman" w:eastAsia="楷体_GB2312" w:cs="楷体"/>
                <w:kern w:val="0"/>
                <w:sz w:val="24"/>
              </w:rPr>
            </w:pPr>
          </w:p>
        </w:tc>
        <w:tc>
          <w:tcPr>
            <w:tcW w:w="3407" w:type="dxa"/>
            <w:gridSpan w:val="2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40" w:lineRule="exact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/>
                <w:sz w:val="24"/>
              </w:rPr>
              <w:t>2.申请人逾期未按收费通知要求缴纳费用、行政机关不再处理其政府信息公开申请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0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hint="eastAsia" w:ascii="楷体_GB2312" w:hAnsi="Times New Roman" w:eastAsia="楷体_GB2312" w:cs="楷体"/>
                <w:kern w:val="0"/>
                <w:sz w:val="24"/>
              </w:rPr>
            </w:pPr>
          </w:p>
        </w:tc>
        <w:tc>
          <w:tcPr>
            <w:tcW w:w="3407" w:type="dxa"/>
            <w:gridSpan w:val="2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/>
                <w:sz w:val="24"/>
              </w:rPr>
              <w:t>3.其他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" w:hRule="atLeast"/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4313" w:type="dxa"/>
            <w:gridSpan w:val="3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（七）总计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lang w:val="en-US" w:eastAsia="zh-CN"/>
              </w:rPr>
              <w:t>1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010" w:type="dxa"/>
            <w:gridSpan w:val="4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四、结转下年度继续办理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spacing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</w:tr>
    </w:tbl>
    <w:p>
      <w:pPr>
        <w:spacing w:line="520" w:lineRule="exact"/>
        <w:ind w:firstLine="636" w:firstLineChars="199"/>
        <w:rPr>
          <w:rFonts w:ascii="Times New Roman" w:hAnsi="Times New Roman" w:eastAsia="黑体" w:cs="宋体"/>
          <w:sz w:val="32"/>
          <w:szCs w:val="32"/>
        </w:rPr>
      </w:pPr>
      <w:r>
        <w:rPr>
          <w:rFonts w:hint="eastAsia" w:ascii="Times New Roman" w:hAnsi="Times New Roman" w:eastAsia="黑体" w:cs="宋体"/>
          <w:sz w:val="32"/>
          <w:szCs w:val="32"/>
        </w:rPr>
        <w:t>四、政府信息公开行政复议、行政诉讼情况</w:t>
      </w:r>
    </w:p>
    <w:p>
      <w:pPr>
        <w:pStyle w:val="7"/>
        <w:widowControl/>
        <w:spacing w:before="0" w:beforeAutospacing="0" w:after="0" w:afterAutospacing="0" w:line="520" w:lineRule="exact"/>
        <w:ind w:firstLine="640" w:firstLineChars="200"/>
        <w:jc w:val="both"/>
        <w:rPr>
          <w:rFonts w:ascii="Times New Roman" w:hAnsi="Times New Roman" w:eastAsia="仿宋_GB2312" w:cs="宋体"/>
          <w:sz w:val="32"/>
          <w:szCs w:val="32"/>
        </w:rPr>
      </w:pPr>
      <w:r>
        <w:rPr>
          <w:rFonts w:hint="eastAsia" w:ascii="Times New Roman" w:hAnsi="Times New Roman" w:eastAsia="仿宋_GB2312" w:cs="宋体"/>
          <w:sz w:val="32"/>
          <w:szCs w:val="32"/>
        </w:rPr>
        <w:t>该部分以表格形式报告。表格如下：</w:t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6"/>
        <w:gridCol w:w="851"/>
        <w:gridCol w:w="836"/>
        <w:gridCol w:w="706"/>
        <w:gridCol w:w="456"/>
        <w:gridCol w:w="706"/>
        <w:gridCol w:w="706"/>
        <w:gridCol w:w="711"/>
        <w:gridCol w:w="789"/>
        <w:gridCol w:w="456"/>
        <w:gridCol w:w="456"/>
        <w:gridCol w:w="527"/>
        <w:gridCol w:w="456"/>
        <w:gridCol w:w="469"/>
        <w:gridCol w:w="4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  <w:jc w:val="center"/>
        </w:trPr>
        <w:tc>
          <w:tcPr>
            <w:tcW w:w="3695" w:type="dxa"/>
            <w:gridSpan w:val="5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行政复议</w:t>
            </w:r>
          </w:p>
        </w:tc>
        <w:tc>
          <w:tcPr>
            <w:tcW w:w="5732" w:type="dxa"/>
            <w:gridSpan w:val="10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行政诉讼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46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结果维持</w:t>
            </w:r>
          </w:p>
        </w:tc>
        <w:tc>
          <w:tcPr>
            <w:tcW w:w="851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结果纠正</w:t>
            </w:r>
          </w:p>
        </w:tc>
        <w:tc>
          <w:tcPr>
            <w:tcW w:w="836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其他结果</w:t>
            </w:r>
          </w:p>
        </w:tc>
        <w:tc>
          <w:tcPr>
            <w:tcW w:w="706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尚未审结</w:t>
            </w:r>
          </w:p>
        </w:tc>
        <w:tc>
          <w:tcPr>
            <w:tcW w:w="456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总计</w:t>
            </w:r>
          </w:p>
        </w:tc>
        <w:tc>
          <w:tcPr>
            <w:tcW w:w="3368" w:type="dxa"/>
            <w:gridSpan w:val="5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未经复议直接起诉</w:t>
            </w:r>
          </w:p>
        </w:tc>
        <w:tc>
          <w:tcPr>
            <w:tcW w:w="2364" w:type="dxa"/>
            <w:gridSpan w:val="5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复议后起诉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46" w:type="dxa"/>
            <w:vMerge w:val="continue"/>
            <w:tcBorders>
              <w:top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</w:p>
        </w:tc>
        <w:tc>
          <w:tcPr>
            <w:tcW w:w="851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</w:p>
        </w:tc>
        <w:tc>
          <w:tcPr>
            <w:tcW w:w="83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</w:p>
        </w:tc>
        <w:tc>
          <w:tcPr>
            <w:tcW w:w="70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</w:p>
        </w:tc>
        <w:tc>
          <w:tcPr>
            <w:tcW w:w="45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结果维持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结果纠正</w:t>
            </w:r>
          </w:p>
        </w:tc>
        <w:tc>
          <w:tcPr>
            <w:tcW w:w="711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其他结果</w:t>
            </w:r>
          </w:p>
        </w:tc>
        <w:tc>
          <w:tcPr>
            <w:tcW w:w="789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尚未审结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总计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结果维持</w:t>
            </w:r>
          </w:p>
        </w:tc>
        <w:tc>
          <w:tcPr>
            <w:tcW w:w="52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结果纠正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其他结果</w:t>
            </w:r>
          </w:p>
        </w:tc>
        <w:tc>
          <w:tcPr>
            <w:tcW w:w="469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尚未审结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总计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4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851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83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11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89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52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9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spacing w:line="260" w:lineRule="exact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</w:tr>
    </w:tbl>
    <w:p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五、存在的主要问题及改进情况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一年来，我镇政府信息公开工作取得了一些成绩，但同时也存在一些问题，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一是</w:t>
      </w:r>
      <w:r>
        <w:rPr>
          <w:rFonts w:hint="eastAsia" w:ascii="仿宋_GB2312" w:hAnsi="仿宋_GB2312" w:eastAsia="仿宋_GB2312" w:cs="仿宋_GB2312"/>
          <w:sz w:val="32"/>
          <w:szCs w:val="32"/>
        </w:rPr>
        <w:t>干部对政务公开专业知识储备不足，</w:t>
      </w:r>
      <w:r>
        <w:rPr>
          <w:rFonts w:ascii="仿宋_GB2312" w:hAnsi="仿宋_GB2312" w:eastAsia="仿宋_GB2312" w:cs="仿宋_GB2312"/>
          <w:sz w:val="32"/>
          <w:szCs w:val="32"/>
        </w:rPr>
        <w:t>对</w:t>
      </w:r>
      <w:r>
        <w:rPr>
          <w:rFonts w:hint="eastAsia" w:ascii="仿宋_GB2312" w:hAnsi="仿宋_GB2312" w:eastAsia="仿宋_GB2312" w:cs="仿宋_GB2312"/>
          <w:sz w:val="32"/>
          <w:szCs w:val="32"/>
        </w:rPr>
        <w:t>条例理解需进一步提高，</w:t>
      </w:r>
      <w:r>
        <w:rPr>
          <w:rFonts w:ascii="仿宋_GB2312" w:hAnsi="仿宋_GB2312" w:eastAsia="仿宋_GB2312" w:cs="仿宋_GB2312"/>
          <w:sz w:val="32"/>
          <w:szCs w:val="32"/>
        </w:rPr>
        <w:t>在</w:t>
      </w:r>
      <w:r>
        <w:rPr>
          <w:rFonts w:hint="eastAsia" w:ascii="仿宋_GB2312" w:hAnsi="仿宋_GB2312" w:eastAsia="仿宋_GB2312" w:cs="仿宋_GB2312"/>
          <w:sz w:val="32"/>
          <w:szCs w:val="32"/>
        </w:rPr>
        <w:t>主动公开过程中对公民个人隐私信息保护意识需加强；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二是</w:t>
      </w:r>
      <w:r>
        <w:rPr>
          <w:rFonts w:hint="eastAsia" w:ascii="仿宋_GB2312" w:hAnsi="仿宋_GB2312" w:eastAsia="仿宋_GB2312" w:cs="仿宋_GB2312"/>
          <w:sz w:val="32"/>
          <w:szCs w:val="32"/>
        </w:rPr>
        <w:t>信息公开的内容不够充实，部分领域信息公开不够细化。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下一步，我镇将按照政府信息公开的相关要求，继续大力推进政府信息公开工作，主要是做好以下几方面工作：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一是</w:t>
      </w:r>
      <w:r>
        <w:rPr>
          <w:rFonts w:hint="eastAsia" w:ascii="仿宋_GB2312" w:hAnsi="仿宋_GB2312" w:eastAsia="仿宋_GB2312" w:cs="仿宋_GB2312"/>
          <w:sz w:val="32"/>
          <w:szCs w:val="32"/>
        </w:rPr>
        <w:t>强化政务公开工作队伍建设，加强对人员培训教育。继续深化乡村振兴、</w:t>
      </w:r>
      <w:r>
        <w:rPr>
          <w:rFonts w:ascii="仿宋_GB2312" w:hAnsi="仿宋_GB2312" w:eastAsia="仿宋_GB2312" w:cs="仿宋_GB2312"/>
          <w:sz w:val="32"/>
          <w:szCs w:val="32"/>
        </w:rPr>
        <w:t>民生</w:t>
      </w:r>
      <w:r>
        <w:rPr>
          <w:rFonts w:hint="eastAsia" w:ascii="仿宋_GB2312" w:hAnsi="仿宋_GB2312" w:eastAsia="仿宋_GB2312" w:cs="仿宋_GB2312"/>
          <w:sz w:val="32"/>
          <w:szCs w:val="32"/>
        </w:rPr>
        <w:t>保障等重点领域信息公开，主动、及时、准确公开政府信息，提升基层政务公开水平。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二是</w:t>
      </w:r>
      <w:r>
        <w:rPr>
          <w:rFonts w:hint="eastAsia" w:ascii="仿宋_GB2312" w:hAnsi="仿宋_GB2312" w:eastAsia="仿宋_GB2312" w:cs="仿宋_GB2312"/>
          <w:sz w:val="32"/>
          <w:szCs w:val="32"/>
        </w:rPr>
        <w:t>继续完善全镇政务公开工作制度，把增强信息安全，保护公民个人隐私信息作为常态化工作来抓，定期对公示栏信息公开情况进行检查，杜绝违规公示个人信息现象发生。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三是</w:t>
      </w:r>
      <w:r>
        <w:rPr>
          <w:rFonts w:hint="eastAsia" w:ascii="仿宋_GB2312" w:hAnsi="仿宋_GB2312" w:eastAsia="仿宋_GB2312" w:cs="仿宋_GB2312"/>
          <w:sz w:val="32"/>
          <w:szCs w:val="32"/>
        </w:rPr>
        <w:t>建立健全公开审查制度，落实“三审三校”工作要求，严格抓好信息发布审核工作，确保公示内容符合规范要求。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六、其他需要报告的事项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2025年，按照&lt;&lt;国务院办公厅关于印发&lt;政府信息公开信息处理费管理办法&gt;的通知&gt;&gt;(国办函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〔2020〕109号)规定的按件、按量收费标准，本年度没有产生信息公开处理费。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QyNjc3NTQ5NjdhNjA3NmFhYzEzZGVlNTdlMTAwZTYifQ=="/>
  </w:docVars>
  <w:rsids>
    <w:rsidRoot w:val="33826971"/>
    <w:rsid w:val="000C7F46"/>
    <w:rsid w:val="002440EB"/>
    <w:rsid w:val="003900B2"/>
    <w:rsid w:val="00401205"/>
    <w:rsid w:val="0045106D"/>
    <w:rsid w:val="004B7A1A"/>
    <w:rsid w:val="005605D3"/>
    <w:rsid w:val="006C4D13"/>
    <w:rsid w:val="00703E7B"/>
    <w:rsid w:val="00751DCA"/>
    <w:rsid w:val="00982738"/>
    <w:rsid w:val="009A1E3B"/>
    <w:rsid w:val="009E2678"/>
    <w:rsid w:val="00D35B85"/>
    <w:rsid w:val="00F21F6A"/>
    <w:rsid w:val="00F521F1"/>
    <w:rsid w:val="00FC0422"/>
    <w:rsid w:val="04A67C96"/>
    <w:rsid w:val="06E171E5"/>
    <w:rsid w:val="13826B5F"/>
    <w:rsid w:val="21AE06E7"/>
    <w:rsid w:val="252F0A8F"/>
    <w:rsid w:val="33826971"/>
    <w:rsid w:val="34B712D1"/>
    <w:rsid w:val="3ACF6000"/>
    <w:rsid w:val="4187704E"/>
    <w:rsid w:val="44555E2E"/>
    <w:rsid w:val="451B6D7A"/>
    <w:rsid w:val="47570F7F"/>
    <w:rsid w:val="48041D31"/>
    <w:rsid w:val="53BA0F73"/>
    <w:rsid w:val="568E72D5"/>
    <w:rsid w:val="58B9661C"/>
    <w:rsid w:val="593E6247"/>
    <w:rsid w:val="5ACD5B68"/>
    <w:rsid w:val="601D5957"/>
    <w:rsid w:val="67E24644"/>
    <w:rsid w:val="78225835"/>
    <w:rsid w:val="7BF52014"/>
    <w:rsid w:val="7ED45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qFormat/>
    <w:uiPriority w:val="0"/>
    <w:pPr>
      <w:ind w:firstLine="420" w:firstLineChars="100"/>
    </w:pPr>
    <w:rPr>
      <w:rFonts w:ascii="Times New Roman" w:hAnsi="Times New Roman"/>
      <w:szCs w:val="21"/>
    </w:rPr>
  </w:style>
  <w:style w:type="paragraph" w:styleId="3">
    <w:name w:val="Body Text"/>
    <w:basedOn w:val="1"/>
    <w:next w:val="4"/>
    <w:qFormat/>
    <w:uiPriority w:val="0"/>
    <w:pPr>
      <w:spacing w:after="120"/>
    </w:pPr>
  </w:style>
  <w:style w:type="paragraph" w:styleId="4">
    <w:name w:val="Body Text Indent"/>
    <w:basedOn w:val="1"/>
    <w:next w:val="1"/>
    <w:unhideWhenUsed/>
    <w:qFormat/>
    <w:uiPriority w:val="99"/>
    <w:pPr>
      <w:spacing w:after="120"/>
      <w:ind w:left="420" w:leftChars="200"/>
    </w:pPr>
  </w:style>
  <w:style w:type="paragraph" w:styleId="5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页眉 Char"/>
    <w:basedOn w:val="10"/>
    <w:link w:val="6"/>
    <w:qFormat/>
    <w:uiPriority w:val="0"/>
    <w:rPr>
      <w:kern w:val="2"/>
      <w:sz w:val="18"/>
      <w:szCs w:val="18"/>
    </w:rPr>
  </w:style>
  <w:style w:type="character" w:customStyle="1" w:styleId="12">
    <w:name w:val="页脚 Char"/>
    <w:basedOn w:val="10"/>
    <w:link w:val="5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xt256.com</Company>
  <Pages>5</Pages>
  <Words>387</Words>
  <Characters>2209</Characters>
  <Lines>18</Lines>
  <Paragraphs>5</Paragraphs>
  <TotalTime>132</TotalTime>
  <ScaleCrop>false</ScaleCrop>
  <LinksUpToDate>false</LinksUpToDate>
  <CharactersWithSpaces>2591</CharactersWithSpaces>
  <Application>WPS Office_11.8.2.12118_F1E327BC-269C-435d-A152-05C5408002CA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2024-01-30T07:39:00Z</dcterms:created>
  <dc:creator>Administrator</dc:creator>
  <cp:lastModifiedBy>Administrator</cp:lastModifiedBy>
  <cp:lastPrinted>2025-01-24T03:41:00Z</cp:lastPrinted>
  <dcterms:modified xsi:type="dcterms:W3CDTF">2026-08-10T05:21:34Z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2052-11.8.2.12118</vt:lpwstr>
  </property>
  <property fmtid="{D5CDD505-2E9C-101B-9397-08002B2CF9AE}" pid="3" name="ICV">
    <vt:lpwstr>F3AEFA438AF94542A9BDA6C9D5FA51E5</vt:lpwstr>
  </property>
</Properties>
</file>