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沙湾市团结街道办事处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2025年度政府信息公开工作年度报告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本报告根据《中华人民共和国政府信息公开条例》及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自治区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地区、</w:t>
      </w:r>
      <w:r>
        <w:rPr>
          <w:rFonts w:hint="eastAsia" w:ascii="仿宋_GB2312" w:hAnsi="仿宋_GB2312" w:eastAsia="仿宋_GB2312" w:cs="仿宋_GB2312"/>
          <w:sz w:val="32"/>
          <w:szCs w:val="32"/>
        </w:rPr>
        <w:t>市相关文件要求编制。报告涵盖总体情况、主动公开政府信息情况、收到和处理政府信息公开申请情况、行政复议及行政诉讼情况、存在的主要问题及改进情况、其他需要报告的事项六个部分，数据统计期限为2025年1月1日至2025年12月31日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团结街道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市委、市政府</w:t>
      </w:r>
      <w:r>
        <w:rPr>
          <w:rFonts w:hint="eastAsia" w:ascii="仿宋_GB2312" w:hAnsi="仿宋_GB2312" w:eastAsia="仿宋_GB2312" w:cs="仿宋_GB2312"/>
          <w:sz w:val="32"/>
          <w:szCs w:val="32"/>
        </w:rPr>
        <w:t>的正确领导下，以习近平新时代中国特色社会主义思想为指导，深入贯彻落实国家、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自治区、地区</w:t>
      </w:r>
      <w:r>
        <w:rPr>
          <w:rFonts w:hint="eastAsia" w:ascii="仿宋_GB2312" w:hAnsi="仿宋_GB2312" w:eastAsia="仿宋_GB2312" w:cs="仿宋_GB2312"/>
          <w:sz w:val="32"/>
          <w:szCs w:val="32"/>
        </w:rPr>
        <w:t>、市关于政务公开工作的决策部署，坚持“以公开为常态、不公开为例外”原则，聚焦群众需求，强化组织保障，健全工作机制，全面提升政府信息公开工作质效，切实保障人民群众的知情权、参与权、表达权和监督权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textAlignment w:val="auto"/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  <w:t>（一）主动公开推进情况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全年主动公开政府信息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条，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含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工作动态、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单位简介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、领导成员、机构设置各1条</w:t>
      </w:r>
      <w:r>
        <w:rPr>
          <w:rFonts w:hint="eastAsia" w:ascii="仿宋_GB2312" w:hAnsi="仿宋_GB2312" w:eastAsia="仿宋_GB2312" w:cs="仿宋_GB2312"/>
          <w:sz w:val="32"/>
          <w:szCs w:val="32"/>
        </w:rPr>
        <w:t>。通过分类梳理公开事项，优化公开流程，确保信息发布及时、准确、全面。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textAlignment w:val="auto"/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  <w:t>（二）依申请公开办理情况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建立健全政府信息公开申请接收、登记、审核、办理、答复、归档全流程工作机制，明确专人负责申请处理。全年共收到政府信息公开申请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宗。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textAlignment w:val="auto"/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  <w:t>（三）政府信息管理情况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严格落实信息发布“三审三校”制度，明确各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办（中心）</w:t>
      </w:r>
      <w:r>
        <w:rPr>
          <w:rFonts w:hint="eastAsia" w:ascii="仿宋_GB2312" w:hAnsi="仿宋_GB2312" w:eastAsia="仿宋_GB2312" w:cs="仿宋_GB2312"/>
          <w:sz w:val="32"/>
          <w:szCs w:val="32"/>
        </w:rPr>
        <w:t>信息公开责任分工，规范信息采集、编辑、审核、发布等环节管理。建立政府信息公开目录动态调整机制，根据法律法规修订和街道工作职能变化，及时更新公开事项，确保公开内容与工作实际同步。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textAlignment w:val="auto"/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  <w:t>（四）公开平台建设情况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依托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市政府</w:t>
      </w:r>
      <w:r>
        <w:rPr>
          <w:rFonts w:hint="eastAsia" w:ascii="仿宋_GB2312" w:hAnsi="仿宋_GB2312" w:eastAsia="仿宋_GB2312" w:cs="仿宋_GB2312"/>
          <w:sz w:val="32"/>
          <w:szCs w:val="32"/>
        </w:rPr>
        <w:t>门户网站集约化平台，优化街道政府信息公开专栏设置，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依据人员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调整情况，及时更新领导成员、机构设置等</w:t>
      </w:r>
      <w:r>
        <w:rPr>
          <w:rFonts w:hint="eastAsia" w:ascii="仿宋_GB2312" w:hAnsi="仿宋_GB2312" w:eastAsia="仿宋_GB2312" w:cs="仿宋_GB2312"/>
          <w:sz w:val="32"/>
          <w:szCs w:val="32"/>
        </w:rPr>
        <w:t>栏目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内容</w:t>
      </w:r>
      <w:r>
        <w:rPr>
          <w:rFonts w:hint="eastAsia" w:ascii="仿宋_GB2312" w:hAnsi="仿宋_GB2312" w:eastAsia="仿宋_GB2312" w:cs="仿宋_GB2312"/>
          <w:sz w:val="32"/>
          <w:szCs w:val="32"/>
        </w:rPr>
        <w:t>，提升信息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时效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textAlignment w:val="auto"/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  <w:t>（五）监督保障情况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将政府信息公开工作纳入街道年度绩效考核体系。畅通监督投诉渠道，公开咨询电话、邮箱及信访地址，主动接受社会公众监督，全年未收到相关投诉举报。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二、主动公开政府信息情况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7"/>
        <w:gridCol w:w="2289"/>
        <w:gridCol w:w="2126"/>
        <w:gridCol w:w="19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第二十条第（一）项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2137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2289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本年制发件数</w:t>
            </w:r>
          </w:p>
        </w:tc>
        <w:tc>
          <w:tcPr>
            <w:tcW w:w="2126" w:type="dxa"/>
            <w:noWrap w:val="0"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本年废止件数</w:t>
            </w:r>
          </w:p>
        </w:tc>
        <w:tc>
          <w:tcPr>
            <w:tcW w:w="1924" w:type="dxa"/>
            <w:noWrap/>
            <w:vAlign w:val="center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现行有效件数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规章</w:t>
            </w:r>
          </w:p>
        </w:tc>
        <w:tc>
          <w:tcPr>
            <w:tcW w:w="2289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规范性文件</w:t>
            </w:r>
          </w:p>
        </w:tc>
        <w:tc>
          <w:tcPr>
            <w:tcW w:w="2289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2126" w:type="dxa"/>
            <w:noWrap w:val="0"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1924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第二十条第（五）项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行政许可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第二十条第（六）项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本年处理决定数量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行政处罚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行政强制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8476" w:type="dxa"/>
            <w:gridSpan w:val="4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第二十条第（八）项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信息内容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本年收费金额（单位：万元）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" w:hRule="atLeast"/>
          <w:jc w:val="center"/>
        </w:trPr>
        <w:tc>
          <w:tcPr>
            <w:tcW w:w="2137" w:type="dxa"/>
            <w:noWrap/>
            <w:vAlign w:val="top"/>
          </w:tcPr>
          <w:p>
            <w:pPr>
              <w:widowControl/>
              <w:spacing w:after="144" w:line="30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行政事业性收费</w:t>
            </w:r>
          </w:p>
        </w:tc>
        <w:tc>
          <w:tcPr>
            <w:tcW w:w="6339" w:type="dxa"/>
            <w:gridSpan w:val="3"/>
            <w:noWrap/>
            <w:vAlign w:val="top"/>
          </w:tcPr>
          <w:p>
            <w:pPr>
              <w:widowControl/>
              <w:spacing w:after="144" w:line="30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auto"/>
        <w:rPr>
          <w:rFonts w:hint="eastAsia" w:ascii="Times New Roman" w:hAnsi="Times New Roman" w:eastAsia="黑体" w:cs="宋体"/>
          <w:sz w:val="32"/>
          <w:szCs w:val="30"/>
        </w:rPr>
      </w:pPr>
      <w:r>
        <w:rPr>
          <w:rFonts w:hint="eastAsia" w:ascii="Times New Roman" w:hAnsi="Times New Roman" w:eastAsia="黑体" w:cs="宋体"/>
          <w:sz w:val="32"/>
          <w:szCs w:val="30"/>
        </w:rPr>
        <w:t>收到和处理政府信息公开申请情况</w:t>
      </w:r>
    </w:p>
    <w:tbl>
      <w:tblPr>
        <w:tblStyle w:val="7"/>
        <w:tblW w:w="92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7"/>
        <w:gridCol w:w="906"/>
        <w:gridCol w:w="30"/>
        <w:gridCol w:w="3377"/>
        <w:gridCol w:w="456"/>
        <w:gridCol w:w="707"/>
        <w:gridCol w:w="707"/>
        <w:gridCol w:w="706"/>
        <w:gridCol w:w="707"/>
        <w:gridCol w:w="465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  <w:jc w:val="center"/>
        </w:trPr>
        <w:tc>
          <w:tcPr>
            <w:tcW w:w="5010" w:type="dxa"/>
            <w:gridSpan w:val="4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（本列数据的勾稽关系为：第一项加第二项之和，等于第三项加第四项之和）</w:t>
            </w:r>
          </w:p>
        </w:tc>
        <w:tc>
          <w:tcPr>
            <w:tcW w:w="4204" w:type="dxa"/>
            <w:gridSpan w:val="7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申请人情况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自然人</w:t>
            </w:r>
          </w:p>
        </w:tc>
        <w:tc>
          <w:tcPr>
            <w:tcW w:w="3292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法人或其他组织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5010" w:type="dxa"/>
            <w:gridSpan w:val="4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商业企业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科研机构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社会公益组织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法律服务机构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</w:t>
            </w: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 w:hRule="atLeast"/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一、本年新收政府信息公开申请数量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二、上年结转政府信息公开申请数量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  <w:jc w:val="center"/>
        </w:trPr>
        <w:tc>
          <w:tcPr>
            <w:tcW w:w="697" w:type="dxa"/>
            <w:vMerge w:val="restart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三、本年度办理结果</w:t>
            </w: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（一）予以公开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spacing w:line="26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eastAsia="楷体" w:cs="楷体"/>
                <w:kern w:val="0"/>
                <w:sz w:val="24"/>
              </w:rPr>
              <w:t>（二）部分公开（区分处理的，只计这一情形，不计其他情形）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（三）不予公开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1.属于国家秘密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2.其他法律行政法规禁止公开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3.危及“三安全一稳定”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4.保护第三方合法权益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5.属于三类内部事务信息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6.属于四类过程性信息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7.属于行政执法案卷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8.属于行政查询事项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（四）无法提供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1.本机关不掌握相关政府信息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both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2.没有现成信息需要另行制作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3.补正后申请内容仍不明确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（五）不予处理</w:t>
            </w: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1.信访举报投诉类申请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2.重复申请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3.要求提供公开出版物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4.无正当理由大量反复申请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36" w:type="dxa"/>
            <w:gridSpan w:val="2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hint="eastAsia" w:ascii="楷体_GB2312" w:hAnsi="Times New Roman" w:eastAsia="楷体_GB2312"/>
                <w:sz w:val="24"/>
              </w:rPr>
            </w:pPr>
          </w:p>
        </w:tc>
        <w:tc>
          <w:tcPr>
            <w:tcW w:w="337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5.要求行政机关确认或重新出具已获取信息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（六）其他处理</w:t>
            </w: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exac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1.申请人无正当理由逾期不补正、行政机关不再处理其政府信息公开申请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4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2.申请人逾期未按收费通知要求缴纳费用、行政机关不再处理其政府信息公开申请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9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 w:cs="楷体"/>
                <w:kern w:val="0"/>
                <w:sz w:val="24"/>
              </w:rPr>
            </w:pPr>
          </w:p>
        </w:tc>
        <w:tc>
          <w:tcPr>
            <w:tcW w:w="3407" w:type="dxa"/>
            <w:gridSpan w:val="2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/>
                <w:sz w:val="24"/>
              </w:rPr>
              <w:t>3.其他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Calibri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Calibri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Calibri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Calibri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Calibri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Calibri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Calibri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" w:hRule="atLeast"/>
          <w:jc w:val="center"/>
        </w:trPr>
        <w:tc>
          <w:tcPr>
            <w:tcW w:w="697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60" w:lineRule="exact"/>
              <w:rPr>
                <w:rFonts w:ascii="Times New Roman" w:hAnsi="Times New Roman"/>
                <w:sz w:val="24"/>
              </w:rPr>
            </w:pPr>
          </w:p>
        </w:tc>
        <w:tc>
          <w:tcPr>
            <w:tcW w:w="4313" w:type="dxa"/>
            <w:gridSpan w:val="3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hint="eastAsia" w:ascii="楷体_GB2312" w:hAnsi="Times New Roman" w:eastAsia="楷体_GB2312"/>
                <w:sz w:val="24"/>
              </w:rPr>
            </w:pPr>
            <w:r>
              <w:rPr>
                <w:rFonts w:hint="eastAsia" w:ascii="楷体_GB2312" w:hAnsi="Times New Roman" w:eastAsia="楷体_GB2312" w:cs="楷体"/>
                <w:kern w:val="0"/>
                <w:sz w:val="24"/>
              </w:rPr>
              <w:t>（七）总计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10" w:type="dxa"/>
            <w:gridSpan w:val="4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四、结转下年度继续办理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7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5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Calibri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line="260" w:lineRule="exact"/>
              <w:jc w:val="center"/>
              <w:rPr>
                <w:rFonts w:hint="eastAsia" w:ascii="Times New Roman" w:hAnsi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199"/>
        <w:textAlignment w:val="auto"/>
        <w:rPr>
          <w:rFonts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四、政府信息公开行政复议、行政诉讼情况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6"/>
        <w:gridCol w:w="851"/>
        <w:gridCol w:w="836"/>
        <w:gridCol w:w="706"/>
        <w:gridCol w:w="456"/>
        <w:gridCol w:w="706"/>
        <w:gridCol w:w="706"/>
        <w:gridCol w:w="711"/>
        <w:gridCol w:w="789"/>
        <w:gridCol w:w="456"/>
        <w:gridCol w:w="456"/>
        <w:gridCol w:w="527"/>
        <w:gridCol w:w="456"/>
        <w:gridCol w:w="469"/>
        <w:gridCol w:w="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2" w:hRule="atLeast"/>
          <w:jc w:val="center"/>
        </w:trPr>
        <w:tc>
          <w:tcPr>
            <w:tcW w:w="3695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行政复议</w:t>
            </w:r>
          </w:p>
        </w:tc>
        <w:tc>
          <w:tcPr>
            <w:tcW w:w="5732" w:type="dxa"/>
            <w:gridSpan w:val="10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行政诉讼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851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83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0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vMerge w:val="restart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3368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未经复议直接起诉</w:t>
            </w:r>
          </w:p>
        </w:tc>
        <w:tc>
          <w:tcPr>
            <w:tcW w:w="2364" w:type="dxa"/>
            <w:gridSpan w:val="5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复议后起诉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vMerge w:val="continue"/>
            <w:tcBorders>
              <w:top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851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83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456" w:type="dxa"/>
            <w:vMerge w:val="continue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结果维持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结果纠正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其他结果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尚未审结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44" w:line="260" w:lineRule="exact"/>
              <w:jc w:val="center"/>
              <w:rPr>
                <w:rFonts w:ascii="Times New Roman" w:hAnsi="Times New Roman" w:cs="宋体"/>
                <w:kern w:val="0"/>
                <w:sz w:val="24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总计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46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51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836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06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11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789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527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69" w:type="dxa"/>
            <w:noWrap w:val="0"/>
            <w:tcMar>
              <w:left w:w="108" w:type="dxa"/>
              <w:right w:w="108" w:type="dxa"/>
            </w:tcMar>
            <w:vAlign w:val="bottom"/>
          </w:tcPr>
          <w:p>
            <w:pPr>
              <w:widowControl/>
              <w:spacing w:after="144"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456" w:type="dxa"/>
            <w:noWrap w:val="0"/>
            <w:tcMar>
              <w:left w:w="108" w:type="dxa"/>
              <w:right w:w="108" w:type="dxa"/>
            </w:tcMar>
            <w:vAlign w:val="top"/>
          </w:tcPr>
          <w:p>
            <w:pPr>
              <w:spacing w:line="260" w:lineRule="exact"/>
              <w:jc w:val="center"/>
              <w:rPr>
                <w:rFonts w:hint="eastAsia" w:ascii="Times New Roman" w:hAnsi="Times New Roman" w:cs="宋体" w:eastAsiaTheme="minorEastAsia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199"/>
        <w:textAlignment w:val="auto"/>
        <w:rPr>
          <w:rFonts w:hint="eastAsia"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五、存在的主要问题及改进情况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3" w:firstLineChars="200"/>
        <w:jc w:val="left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（一）存在的主要问题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部分信息更新不及时，部分栏目长期处于未更新状态，影响信息公开的时效性与实用性。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公开内容不够具体，存在“模板化”现象，领导成员分管工作、机构职能信息表述笼统空泛，缺乏具体要素支撑，难以满足公众对信息深度和细节的需求。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对信息公开工作的宣传引导不足，未通过多种方式向居民普及“政府信息公开”的权利、申请流程及渠道，群众存在不知晓可通过申请获取未公开信息。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改进情况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目录更新问题，由专人每季度对照目录逐项核查更新情况；开展长期不更新栏目“清零行动”，通过删除、合并、规范等方式优化目录结构；明确“谁产生、谁公开、谁负责”的责任机制，压实责任科室职责，杜绝推诿扯皮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聚焦内容质量提升，对发布的领导成员分管工作、机构职能等相关信息提炼核心要素后公开，便于群众查找相关信息。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加强信息公开宣传引导，通过社区公告栏、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便民服务中心窗口等线上线下渠道，常态化发布政府信息公开指南，规范申请方式、流程、所需材料及咨询途径，方便群众申请。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36" w:firstLineChars="199"/>
        <w:textAlignment w:val="auto"/>
        <w:rPr>
          <w:rFonts w:hint="eastAsia" w:ascii="Times New Roman" w:hAnsi="Times New Roman" w:eastAsia="黑体" w:cs="宋体"/>
          <w:sz w:val="32"/>
          <w:szCs w:val="32"/>
        </w:rPr>
      </w:pPr>
      <w:r>
        <w:rPr>
          <w:rFonts w:hint="eastAsia" w:ascii="Times New Roman" w:hAnsi="Times New Roman" w:eastAsia="黑体" w:cs="宋体"/>
          <w:sz w:val="32"/>
          <w:szCs w:val="32"/>
        </w:rPr>
        <w:t>六、其他需要报告的事项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按照《国务院办公厅关于印发〈政府信息公开信息处理费管理办法〉的通知》（国办函〔2020〕109号〕）规定的按件、按量收费标准，本年度没有产生信息公开处理费。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2098" w:right="1531" w:bottom="1984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DCF4C2"/>
    <w:multiLevelType w:val="singleLevel"/>
    <w:tmpl w:val="BEDCF4C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314E488"/>
    <w:multiLevelType w:val="singleLevel"/>
    <w:tmpl w:val="2314E48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1D7E2E"/>
    <w:rsid w:val="10CD2377"/>
    <w:rsid w:val="161E39F4"/>
    <w:rsid w:val="206F6C18"/>
    <w:rsid w:val="23A61150"/>
    <w:rsid w:val="3A955A4F"/>
    <w:rsid w:val="403329BE"/>
    <w:rsid w:val="4DB4214C"/>
    <w:rsid w:val="593C2B05"/>
    <w:rsid w:val="5B400EE0"/>
    <w:rsid w:val="6BAC1FA3"/>
    <w:rsid w:val="6C924A92"/>
    <w:rsid w:val="72FE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iPriority w:val="0"/>
    <w:pPr>
      <w:ind w:firstLine="420" w:firstLineChars="100"/>
    </w:pPr>
    <w:rPr>
      <w:rFonts w:ascii="Times New Roman" w:hAnsi="Times New Roman"/>
      <w:szCs w:val="21"/>
    </w:rPr>
  </w:style>
  <w:style w:type="paragraph" w:styleId="3">
    <w:name w:val="Body Text"/>
    <w:basedOn w:val="1"/>
    <w:next w:val="4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4">
    <w:name w:val="Body Text Indent"/>
    <w:basedOn w:val="1"/>
    <w:next w:val="1"/>
    <w:unhideWhenUsed/>
    <w:qFormat/>
    <w:uiPriority w:val="0"/>
    <w:pPr>
      <w:spacing w:after="120"/>
      <w:ind w:left="420" w:leftChars="200"/>
    </w:pPr>
  </w:style>
  <w:style w:type="paragraph" w:styleId="5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page number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2026-01-16T10:46:00Z</dcterms:created>
  <dc:creator>Administrator</dc:creator>
  <cp:lastModifiedBy>Administrator</cp:lastModifiedBy>
  <cp:lastPrinted>2026-01-20T02:29:00Z</cp:lastPrinted>
  <dcterms:modified xsi:type="dcterms:W3CDTF">2026-07-28T05:07:47Z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F23267D10D5E4E6296C33D9E4F28E833</vt:lpwstr>
  </property>
</Properties>
</file>