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hint="eastAsia" w:ascii="方正小标宋简体" w:hAnsi="Times New Roman" w:eastAsia="方正小标宋简体" w:cs="仿宋_GB2312"/>
          <w:sz w:val="44"/>
          <w:szCs w:val="44"/>
        </w:rPr>
      </w:pPr>
      <w:r>
        <w:rPr>
          <w:rFonts w:hint="eastAsia" w:ascii="方正小标宋简体" w:hAnsi="Times New Roman" w:eastAsia="方正小标宋简体" w:cs="仿宋_GB2312"/>
          <w:sz w:val="44"/>
          <w:szCs w:val="44"/>
        </w:rPr>
        <w:t>沙湾市</w:t>
      </w:r>
      <w:r>
        <w:rPr>
          <w:rFonts w:hint="eastAsia" w:ascii="方正小标宋简体" w:hAnsi="Times New Roman" w:eastAsia="方正小标宋简体" w:cs="仿宋_GB2312"/>
          <w:sz w:val="44"/>
          <w:szCs w:val="44"/>
          <w:lang w:val="en-US" w:eastAsia="zh-CN"/>
        </w:rPr>
        <w:t>民政局</w:t>
      </w:r>
      <w:r>
        <w:rPr>
          <w:rFonts w:hint="eastAsia" w:ascii="方正小标宋简体" w:hAnsi="Times New Roman" w:eastAsia="方正小标宋简体" w:cs="仿宋_GB2312"/>
          <w:sz w:val="44"/>
          <w:szCs w:val="44"/>
        </w:rPr>
        <w:t>202</w:t>
      </w:r>
      <w:r>
        <w:rPr>
          <w:rFonts w:hint="eastAsia" w:ascii="方正小标宋简体" w:hAnsi="Times New Roman" w:eastAsia="方正小标宋简体" w:cs="仿宋_GB2312"/>
          <w:sz w:val="44"/>
          <w:szCs w:val="44"/>
          <w:lang w:val="en-US" w:eastAsia="zh-CN"/>
        </w:rPr>
        <w:t>5</w:t>
      </w:r>
      <w:r>
        <w:rPr>
          <w:rFonts w:hint="eastAsia" w:ascii="方正小标宋简体" w:hAnsi="Times New Roman" w:eastAsia="方正小标宋简体" w:cs="仿宋_GB2312"/>
          <w:sz w:val="44"/>
          <w:szCs w:val="44"/>
        </w:rPr>
        <w:t>年政府信息公开</w:t>
      </w:r>
    </w:p>
    <w:p>
      <w:pPr>
        <w:spacing w:line="640" w:lineRule="exact"/>
        <w:jc w:val="center"/>
        <w:rPr>
          <w:rFonts w:hint="eastAsia" w:ascii="方正小标宋简体" w:hAnsi="Times New Roman" w:eastAsia="方正小标宋简体" w:cs="仿宋_GB2312"/>
          <w:sz w:val="44"/>
          <w:szCs w:val="44"/>
        </w:rPr>
      </w:pPr>
      <w:r>
        <w:rPr>
          <w:rFonts w:hint="eastAsia" w:ascii="方正小标宋简体" w:hAnsi="Times New Roman" w:eastAsia="方正小标宋简体" w:cs="仿宋_GB2312"/>
          <w:sz w:val="44"/>
          <w:szCs w:val="44"/>
        </w:rPr>
        <w:t>工作年度报告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ascii="Times New Roman" w:hAnsi="Times New Roman" w:eastAsia="方正小标宋_GBK" w:cs="仿宋_GB2312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本年度报告由市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民政</w:t>
      </w:r>
      <w:r>
        <w:rPr>
          <w:rFonts w:hint="eastAsia" w:ascii="仿宋_GB2312" w:hAnsi="仿宋_GB2312" w:eastAsia="仿宋_GB2312" w:cs="仿宋_GB2312"/>
          <w:sz w:val="32"/>
          <w:szCs w:val="32"/>
        </w:rPr>
        <w:t>局根据《中华人民共和国政府信息公开条例》要求编制，全文包括总体情况、主动公开政府信息情况、收到和处理政府信息公开申请情况、政府信息公开行政复议和诉讼情况、存在的主要问题及改进情况、其他需报告事项等六项内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一、总体情况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(一）主动公开政府信息。</w:t>
      </w:r>
      <w:r>
        <w:rPr>
          <w:rFonts w:hint="eastAsia" w:ascii="仿宋_GB2312" w:hAnsi="仿宋_GB2312" w:eastAsia="仿宋_GB2312" w:cs="仿宋_GB2312"/>
          <w:sz w:val="32"/>
          <w:szCs w:val="32"/>
        </w:rPr>
        <w:t>2025年，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沙湾</w:t>
      </w:r>
      <w:r>
        <w:rPr>
          <w:rFonts w:hint="eastAsia" w:ascii="仿宋_GB2312" w:hAnsi="仿宋_GB2312" w:eastAsia="仿宋_GB2312" w:cs="仿宋_GB2312"/>
          <w:sz w:val="32"/>
          <w:szCs w:val="32"/>
        </w:rPr>
        <w:t>市民政局坚持以习近平新时代中国特色社会主义思想为指导，深入贯彻落实政府信息公开工作的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要求</w:t>
      </w:r>
      <w:r>
        <w:rPr>
          <w:rFonts w:hint="eastAsia" w:ascii="仿宋_GB2312" w:hAnsi="仿宋_GB2312" w:eastAsia="仿宋_GB2312" w:cs="仿宋_GB2312"/>
          <w:sz w:val="32"/>
          <w:szCs w:val="32"/>
        </w:rPr>
        <w:t>，立足“民政为民、民政爱民”核心宗旨，将政府信息公开与民政业务深度融合，以公开促规范、以公开促服务、以公开促效能，全面提升政务公开工作制度化、规范化、常态化水平。</w:t>
      </w:r>
      <w:r>
        <w:rPr>
          <w:rFonts w:hint="default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default" w:ascii="仿宋_GB2312" w:hAnsi="仿宋_GB2312" w:eastAsia="仿宋_GB2312" w:cs="仿宋_GB2312"/>
          <w:sz w:val="32"/>
          <w:szCs w:val="32"/>
        </w:rPr>
        <w:t>年度，在沙湾市政府网进行信息公开，全年主动公开信息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118</w:t>
      </w:r>
      <w:r>
        <w:rPr>
          <w:rFonts w:hint="default" w:ascii="仿宋_GB2312" w:hAnsi="仿宋_GB2312" w:eastAsia="仿宋_GB2312" w:cs="仿宋_GB2312"/>
          <w:sz w:val="32"/>
          <w:szCs w:val="32"/>
        </w:rPr>
        <w:t>条，其中包括政策文件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default" w:ascii="仿宋_GB2312" w:hAnsi="仿宋_GB2312" w:eastAsia="仿宋_GB2312" w:cs="仿宋_GB2312"/>
          <w:sz w:val="32"/>
          <w:szCs w:val="32"/>
        </w:rPr>
        <w:t>条，重点领域信息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109</w:t>
      </w:r>
      <w:r>
        <w:rPr>
          <w:rFonts w:hint="default" w:ascii="仿宋_GB2312" w:hAnsi="仿宋_GB2312" w:eastAsia="仿宋_GB2312" w:cs="仿宋_GB2312"/>
          <w:sz w:val="32"/>
          <w:szCs w:val="32"/>
        </w:rPr>
        <w:t>条，做到了主动、及时、规范的要求。对属于主动公开的政府信息，我们及时整理，予以发布，丰富了全市民政共享资源，保障了广大群众的知情权。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（二）依申请公开。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2025年，我局未收到依申请公开信息件。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42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（三）政府信息管理。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严格执行政府信息公开制度准确、及时、规范，真正形成“机制、人员、职责、维护”良性运行机制，全年未制发行政规范性文件。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42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（四）平台建设。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严格按照工作要求，及时更新，按照“谁报送、谁负责”的原则，严格执行内容发布审核制度，坚持分级分类审核，先审后发，严把政治关、法律关、政策关、保密关、文字关等，及时完善政府信息公开专栏，确保各栏目内容完备、分类清晰，突出民政业务特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42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（五）监督保障。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建立监督机制，定期对政务公开信息发布情况进行统计通报，对公开不及时、公开不准确的问题进行及时纠正，保证了政务公开的严肃性，严格按照网上监测通报整改完善，积极主动公开可以公开的政府信息，接受社会监督，保障政府信息公开渠道畅通，切实保障公众的知情权和监督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二、主动公开政府信息情况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640" w:firstLineChars="200"/>
        <w:jc w:val="both"/>
        <w:textAlignment w:val="auto"/>
        <w:rPr>
          <w:rFonts w:ascii="Times New Roman" w:hAnsi="Times New Roman" w:eastAsia="仿宋_GB2312" w:cs="宋体"/>
          <w:sz w:val="32"/>
          <w:szCs w:val="32"/>
        </w:rPr>
      </w:pPr>
      <w:r>
        <w:rPr>
          <w:rFonts w:hint="eastAsia" w:ascii="Times New Roman" w:hAnsi="Times New Roman" w:eastAsia="仿宋_GB2312" w:cs="宋体"/>
          <w:sz w:val="32"/>
          <w:szCs w:val="32"/>
        </w:rPr>
        <w:t>该部分以表格形式报告。表格如下：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7"/>
        <w:gridCol w:w="2289"/>
        <w:gridCol w:w="2126"/>
        <w:gridCol w:w="19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第二十条第（一）项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2137" w:type="dxa"/>
            <w:noWrap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2289" w:type="dxa"/>
            <w:noWrap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本年制发件数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本年废止件数</w:t>
            </w:r>
          </w:p>
        </w:tc>
        <w:tc>
          <w:tcPr>
            <w:tcW w:w="1924" w:type="dxa"/>
            <w:noWrap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现行有效件数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规章</w:t>
            </w:r>
          </w:p>
        </w:tc>
        <w:tc>
          <w:tcPr>
            <w:tcW w:w="2289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2126" w:type="dxa"/>
            <w:noWrap w:val="0"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1924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规范性文件</w:t>
            </w:r>
          </w:p>
        </w:tc>
        <w:tc>
          <w:tcPr>
            <w:tcW w:w="2289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9</w:t>
            </w:r>
          </w:p>
        </w:tc>
        <w:tc>
          <w:tcPr>
            <w:tcW w:w="2126" w:type="dxa"/>
            <w:noWrap w:val="0"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  <w:tc>
          <w:tcPr>
            <w:tcW w:w="1924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第二十条第（五）项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本年处理决定数量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行政许可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第二十条第（六）项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本年处理决定数量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行政处罚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行政强制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第二十条第（八）项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本年收费金额（单位：万元）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  <w:highlight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highlight w:val="none"/>
              </w:rPr>
              <w:t>行政事业性收费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default" w:ascii="Times New Roman" w:hAnsi="Times New Roman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highlight w:val="none"/>
                <w:lang w:val="en-US" w:eastAsia="zh-CN"/>
              </w:rPr>
              <w:t>81.0792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640" w:firstLineChars="200"/>
        <w:jc w:val="both"/>
        <w:textAlignment w:val="auto"/>
        <w:rPr>
          <w:rFonts w:ascii="Times New Roman" w:hAnsi="Times New Roman" w:eastAsia="黑体" w:cs="宋体"/>
          <w:sz w:val="32"/>
          <w:szCs w:val="30"/>
        </w:rPr>
      </w:pPr>
      <w:r>
        <w:rPr>
          <w:rFonts w:hint="eastAsia" w:ascii="Times New Roman" w:hAnsi="Times New Roman" w:eastAsia="黑体" w:cs="宋体"/>
          <w:sz w:val="32"/>
          <w:szCs w:val="30"/>
        </w:rPr>
        <w:t>三、收到和处理政府信息公开申请情况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640" w:firstLineChars="200"/>
        <w:jc w:val="both"/>
        <w:textAlignment w:val="auto"/>
        <w:rPr>
          <w:rFonts w:ascii="Times New Roman" w:hAnsi="Times New Roman" w:eastAsia="仿宋_GB2312" w:cs="宋体"/>
          <w:sz w:val="32"/>
          <w:szCs w:val="32"/>
        </w:rPr>
      </w:pPr>
      <w:r>
        <w:rPr>
          <w:rFonts w:hint="eastAsia" w:ascii="Times New Roman" w:hAnsi="Times New Roman" w:eastAsia="仿宋_GB2312" w:cs="宋体"/>
          <w:sz w:val="32"/>
          <w:szCs w:val="32"/>
        </w:rPr>
        <w:t>该部分以表格形式报告。表格如下：</w:t>
      </w:r>
    </w:p>
    <w:tbl>
      <w:tblPr>
        <w:tblStyle w:val="4"/>
        <w:tblW w:w="92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7"/>
        <w:gridCol w:w="906"/>
        <w:gridCol w:w="30"/>
        <w:gridCol w:w="3377"/>
        <w:gridCol w:w="456"/>
        <w:gridCol w:w="707"/>
        <w:gridCol w:w="707"/>
        <w:gridCol w:w="706"/>
        <w:gridCol w:w="707"/>
        <w:gridCol w:w="465"/>
        <w:gridCol w:w="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 w:hRule="atLeast"/>
          <w:jc w:val="center"/>
        </w:trPr>
        <w:tc>
          <w:tcPr>
            <w:tcW w:w="5010" w:type="dxa"/>
            <w:gridSpan w:val="4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（本列数据的勾稽关系为：第一项加第二项之和，等于第三项加第四项之和）</w:t>
            </w:r>
          </w:p>
        </w:tc>
        <w:tc>
          <w:tcPr>
            <w:tcW w:w="4204" w:type="dxa"/>
            <w:gridSpan w:val="7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申请人情况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4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自然人</w:t>
            </w:r>
          </w:p>
        </w:tc>
        <w:tc>
          <w:tcPr>
            <w:tcW w:w="3292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法人或其他组织</w:t>
            </w: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5010" w:type="dxa"/>
            <w:gridSpan w:val="4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商业企业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科研机构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社会公益组织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法律服务机构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</w:t>
            </w: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" w:hRule="atLeast"/>
          <w:jc w:val="center"/>
        </w:trPr>
        <w:tc>
          <w:tcPr>
            <w:tcW w:w="5010" w:type="dxa"/>
            <w:gridSpan w:val="4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一、本年新收政府信息公开申请数量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4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二、上年结转政府信息公开申请数量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  <w:jc w:val="center"/>
        </w:trPr>
        <w:tc>
          <w:tcPr>
            <w:tcW w:w="697" w:type="dxa"/>
            <w:vMerge w:val="restart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三、本年度办理结果</w:t>
            </w:r>
          </w:p>
        </w:tc>
        <w:tc>
          <w:tcPr>
            <w:tcW w:w="4313" w:type="dxa"/>
            <w:gridSpan w:val="3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楷体" w:cs="楷体"/>
                <w:kern w:val="0"/>
                <w:sz w:val="24"/>
              </w:rPr>
              <w:t>（一）予以公开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spacing w:line="26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13" w:type="dxa"/>
            <w:gridSpan w:val="3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楷体" w:cs="楷体"/>
                <w:kern w:val="0"/>
                <w:sz w:val="24"/>
              </w:rPr>
              <w:t>（二）部分公开（区分处理的，只计这一情形，不计其他情形）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（三）不予公开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1.属于国家秘密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2.其他法律行政法规禁止公开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3.危及“三安全一稳定”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4.保护第三方合法权益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5.属于三类内部事务信息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6.属于四类过程性信息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7.属于行政执法案卷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8.属于行政查询事项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（四）无法提供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1.本机关不掌握相关政府信息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2.没有现成信息需要另行制作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3.补正后申请内容仍不明确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（五）不予处理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1.信访举报投诉类申请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2.重复申请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3.要求提供公开出版物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4.无正当理由大量反复申请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5.要求行政机关确认或重新出具已获取信息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（六）其他处理</w:t>
            </w:r>
          </w:p>
        </w:tc>
        <w:tc>
          <w:tcPr>
            <w:tcW w:w="3407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/>
                <w:sz w:val="24"/>
              </w:rPr>
              <w:t>1.申请人无正当理由逾期不补正、行政机关不再处理其政府信息公开申请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 w:cs="楷体"/>
                <w:kern w:val="0"/>
                <w:sz w:val="24"/>
              </w:rPr>
            </w:pPr>
          </w:p>
        </w:tc>
        <w:tc>
          <w:tcPr>
            <w:tcW w:w="3407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/>
                <w:sz w:val="24"/>
              </w:rPr>
              <w:t>2.申请人逾期未按收费通知要求缴纳费用、行政机关不再处理其政府信息公开申请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 w:cs="楷体"/>
                <w:kern w:val="0"/>
                <w:sz w:val="24"/>
              </w:rPr>
            </w:pPr>
          </w:p>
        </w:tc>
        <w:tc>
          <w:tcPr>
            <w:tcW w:w="3407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/>
                <w:sz w:val="24"/>
              </w:rPr>
              <w:t>3.其他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313" w:type="dxa"/>
            <w:gridSpan w:val="3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（七）总计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四、结转下年度继续办理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Calibri"/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36" w:firstLineChars="199"/>
        <w:textAlignment w:val="auto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四、政府信息公开行政复议、行政诉讼情况</w:t>
      </w:r>
    </w:p>
    <w:p>
      <w:pPr>
        <w:pStyle w:val="3"/>
        <w:widowControl/>
        <w:spacing w:before="0" w:beforeAutospacing="0" w:after="0" w:afterAutospacing="0" w:line="520" w:lineRule="exact"/>
        <w:ind w:firstLine="640" w:firstLineChars="200"/>
        <w:jc w:val="both"/>
        <w:rPr>
          <w:rFonts w:ascii="Times New Roman" w:hAnsi="Times New Roman" w:eastAsia="仿宋_GB2312" w:cs="宋体"/>
          <w:sz w:val="32"/>
          <w:szCs w:val="32"/>
        </w:rPr>
      </w:pPr>
      <w:r>
        <w:rPr>
          <w:rFonts w:hint="eastAsia" w:ascii="Times New Roman" w:hAnsi="Times New Roman" w:eastAsia="仿宋_GB2312" w:cs="宋体"/>
          <w:sz w:val="32"/>
          <w:szCs w:val="32"/>
        </w:rPr>
        <w:t>该部分以表格形式报告。表格如下：</w:t>
      </w:r>
    </w:p>
    <w:tbl>
      <w:tblPr>
        <w:tblStyle w:val="4"/>
        <w:tblW w:w="94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6"/>
        <w:gridCol w:w="851"/>
        <w:gridCol w:w="836"/>
        <w:gridCol w:w="706"/>
        <w:gridCol w:w="456"/>
        <w:gridCol w:w="706"/>
        <w:gridCol w:w="706"/>
        <w:gridCol w:w="711"/>
        <w:gridCol w:w="789"/>
        <w:gridCol w:w="456"/>
        <w:gridCol w:w="456"/>
        <w:gridCol w:w="527"/>
        <w:gridCol w:w="456"/>
        <w:gridCol w:w="469"/>
        <w:gridCol w:w="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  <w:jc w:val="center"/>
        </w:trPr>
        <w:tc>
          <w:tcPr>
            <w:tcW w:w="3695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行政复议</w:t>
            </w:r>
          </w:p>
        </w:tc>
        <w:tc>
          <w:tcPr>
            <w:tcW w:w="5732" w:type="dxa"/>
            <w:gridSpan w:val="10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行政诉讼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851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83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70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  <w:tc>
          <w:tcPr>
            <w:tcW w:w="3368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未经复议直接起诉</w:t>
            </w:r>
          </w:p>
        </w:tc>
        <w:tc>
          <w:tcPr>
            <w:tcW w:w="2364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复议后起诉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vMerge w:val="continue"/>
            <w:tcBorders>
              <w:top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851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8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7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711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78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52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46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851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83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11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8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52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36" w:firstLineChars="199"/>
        <w:textAlignment w:val="auto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五、存在的主要问题及改进情况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（一）存在的主要问题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公开内容深度不足：部分民生领域政策解读较为笼统，多以文字说明为主，图文、视频等生动直观的解读形式占比不高，群众理解难度较大；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 队伍专业能力有待加强：科室信息公开联络员业务培训频次不足，对《条例》具体条款及复杂申请办理规范掌握不够熟练。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（二）改进措施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深化公开内容建设：聚焦社会救助、养老服务、婚俗改革等核心业务，增加政策解读的可视化呈现，提升政策知晓率；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 强化队伍能力建设：建立常态化培训机制，覆盖全部科室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及下属单位，通过案例分析、现场实操等方式提升工作人员业务水平；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 健全考核督导机制：细化信息公开考核指标，将公开及时性、内容准确性、群众满意度等纳入考核重点，每季度开展一次专项督查，发现问题及时整改，推动工作提质增效。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36" w:firstLineChars="199"/>
        <w:textAlignment w:val="auto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六、其他需要报告的事项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2025年，民政局按照《国务院办公厅关于印发&lt;政府信息公开信息处理费管理办法&gt;的通知》（国办函〔2020〕109号）规定的按件、按量收费标准，本年度未产生信息公开处理费。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VlOGM3Yzk5ZjI4NmI0Mzc3Yjg1MjVkM2E4N2FiMjMifQ=="/>
  </w:docVars>
  <w:rsids>
    <w:rsidRoot w:val="63FC2F64"/>
    <w:rsid w:val="4AD124CC"/>
    <w:rsid w:val="5AED340F"/>
    <w:rsid w:val="63FC2F64"/>
    <w:rsid w:val="676C190C"/>
    <w:rsid w:val="74430D0C"/>
    <w:rsid w:val="76D65537"/>
    <w:rsid w:val="7D0C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2026-01-26T08:52:00Z</dcterms:created>
  <dc:creator>可乐</dc:creator>
  <cp:lastModifiedBy>Administrator</cp:lastModifiedBy>
  <cp:lastPrinted>2026-01-26T09:16:00Z</cp:lastPrinted>
  <dcterms:modified xsi:type="dcterms:W3CDTF">2026-07-28T04:46:23Z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D5B8756C3A14438BA1985A95DD8256AC_13</vt:lpwstr>
  </property>
</Properties>
</file>