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沙湾市发展和改革委员2025年政府信息公开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工作年度报告</w:t>
      </w:r>
    </w:p>
    <w:p>
      <w:pPr>
        <w:pStyle w:val="5"/>
        <w:spacing w:line="540" w:lineRule="exact"/>
        <w:rPr>
          <w:rFonts w:hint="eastAsia"/>
        </w:rPr>
      </w:pP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2025年，沙湾市发展和改革委员会深入贯彻落实《中华人民共和国政府信息公开条例》，坚持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以公开为常态、不公开为例外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，围绕发展和改革委员会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sz w:val="32"/>
          <w:szCs w:val="32"/>
        </w:rPr>
        <w:t>中心工作，持续推进政府信息公开规范化、标准化建设，切实保障人民群众的知情权、参与权和监督权。现将我委2025年政府信息公开工作年度报告予以公布，所列数据统计期限为2025年1月1日至2025年12月31日。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一、总体情况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2025年，</w:t>
      </w:r>
      <w:r>
        <w:rPr>
          <w:rFonts w:hint="eastAsia" w:ascii="仿宋_GB2312" w:hAnsi="仿宋_GB2312" w:eastAsia="仿宋_GB2312" w:cs="仿宋_GB2312"/>
          <w:sz w:val="32"/>
          <w:szCs w:val="32"/>
        </w:rPr>
        <w:t>在市委、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政府的正确领导下，沙湾市发改委严格按照相关工作要求和安排部署，深入推进政府信息公开工作，进一步提高了政务公开实效。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3" w:firstLineChars="200"/>
        <w:jc w:val="left"/>
        <w:rPr>
          <w:rStyle w:val="11"/>
          <w:rFonts w:hint="eastAsia" w:ascii="楷体_GB2312" w:hAnsi="楷体_GB2312" w:eastAsia="楷体_GB2312" w:cs="楷体_GB2312"/>
          <w:b w:val="0"/>
          <w:color w:val="070707"/>
          <w:sz w:val="32"/>
          <w:szCs w:val="32"/>
        </w:rPr>
      </w:pPr>
      <w:r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  <w:t>（一）主动公开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聚焦重大政策发布、项目审批核准、价格监管等重点领域，主动发布各类政策文件、工作动态、通知公告等信息，全年通过政府网站发布信息32条，公开内容涵盖产业发展、项目推进、民生保障等方面，确保信息及时、准确、全面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3" w:firstLineChars="200"/>
        <w:jc w:val="left"/>
        <w:rPr>
          <w:rStyle w:val="11"/>
          <w:rFonts w:hint="eastAsia" w:ascii="楷体_GB2312" w:hAnsi="楷体_GB2312" w:eastAsia="楷体_GB2312" w:cs="楷体_GB2312"/>
          <w:b w:val="0"/>
          <w:color w:val="070707"/>
          <w:sz w:val="32"/>
          <w:szCs w:val="32"/>
        </w:rPr>
      </w:pPr>
      <w:r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  <w:t>（二）</w:t>
      </w:r>
      <w:r>
        <w:rPr>
          <w:rStyle w:val="11"/>
          <w:rFonts w:ascii="楷体_GB2312" w:hAnsi="楷体_GB2312" w:eastAsia="楷体_GB2312" w:cs="楷体_GB2312"/>
          <w:bCs/>
          <w:color w:val="070707"/>
          <w:sz w:val="32"/>
          <w:szCs w:val="32"/>
        </w:rPr>
        <w:t>依申请公开政府信息情况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我委收到依申请公开信息1条：我委已严格按照《中华人民共和国政府信息公开条例》等相关规定完成办理，并将办理结果正式反馈申请人。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3" w:firstLineChars="200"/>
        <w:jc w:val="left"/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</w:pPr>
      <w:r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  <w:t>（三）</w:t>
      </w:r>
      <w:r>
        <w:rPr>
          <w:rStyle w:val="11"/>
          <w:rFonts w:ascii="楷体_GB2312" w:hAnsi="楷体_GB2312" w:eastAsia="楷体_GB2312" w:cs="楷体_GB2312"/>
          <w:bCs/>
          <w:color w:val="070707"/>
          <w:sz w:val="32"/>
          <w:szCs w:val="32"/>
        </w:rPr>
        <w:t>政府信息管理情况。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进一步严格管理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公开</w:t>
      </w:r>
      <w:r>
        <w:rPr>
          <w:rFonts w:ascii="仿宋_GB2312" w:hAnsi="仿宋_GB2312" w:eastAsia="仿宋_GB2312" w:cs="仿宋_GB2312"/>
          <w:sz w:val="32"/>
          <w:szCs w:val="32"/>
        </w:rPr>
        <w:t>信息，规范信息采集、审核、发布等流程，按照“三审三校”原则，严格审核上报信息内容，持续开展敏感词汇、错别字、无效链接、涉及个人隐私等信息排查工作，对发现的错误敏感信息及时进行删改。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3" w:firstLineChars="200"/>
        <w:jc w:val="left"/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</w:pPr>
      <w:r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  <w:t>（四）做好平台建设工作。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依托沙湾市政府门户网站作为信息公开主阵地，把信息公开工作摆上重要议事日程，由主要领导亲自负责，根据工作情况设立专人负责收集整理公开信息。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3" w:firstLineChars="200"/>
        <w:jc w:val="left"/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</w:pPr>
      <w:r>
        <w:rPr>
          <w:rStyle w:val="11"/>
          <w:rFonts w:hint="eastAsia" w:ascii="楷体_GB2312" w:hAnsi="楷体_GB2312" w:eastAsia="楷体_GB2312" w:cs="楷体_GB2312"/>
          <w:bCs/>
          <w:color w:val="070707"/>
          <w:sz w:val="32"/>
          <w:szCs w:val="32"/>
        </w:rPr>
        <w:t>（五）加强监督保障。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将政府信息公开工作纳入年度绩效考核，定期开展自查自纠，对公开内容、公开时限、公开渠道等进行监督检查，及时发现并整改存在的问题。同时，主动接受社会评议，广泛听取群众意见建议，不断提升信息公开工作质量和水平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二、主动公开政府信息情况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3"/>
        <w:gridCol w:w="2220"/>
        <w:gridCol w:w="2160"/>
        <w:gridCol w:w="2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0" w:type="dxa"/>
            <w:gridSpan w:val="4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第二十条第（一）项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信息内容</w:t>
            </w:r>
          </w:p>
        </w:tc>
        <w:tc>
          <w:tcPr>
            <w:tcW w:w="2220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本年制发件数</w:t>
            </w:r>
          </w:p>
        </w:tc>
        <w:tc>
          <w:tcPr>
            <w:tcW w:w="2160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本年废止件数</w:t>
            </w:r>
          </w:p>
        </w:tc>
        <w:tc>
          <w:tcPr>
            <w:tcW w:w="2167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现行有效件数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规章</w:t>
            </w:r>
          </w:p>
        </w:tc>
        <w:tc>
          <w:tcPr>
            <w:tcW w:w="2220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  <w:tc>
          <w:tcPr>
            <w:tcW w:w="2160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  <w:tc>
          <w:tcPr>
            <w:tcW w:w="2167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规范性文件</w:t>
            </w:r>
          </w:p>
        </w:tc>
        <w:tc>
          <w:tcPr>
            <w:tcW w:w="2220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  <w:tc>
          <w:tcPr>
            <w:tcW w:w="2160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  <w:tc>
          <w:tcPr>
            <w:tcW w:w="2167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0" w:type="dxa"/>
            <w:gridSpan w:val="4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第二十条第（五）项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信息内容</w:t>
            </w:r>
          </w:p>
        </w:tc>
        <w:tc>
          <w:tcPr>
            <w:tcW w:w="6547" w:type="dxa"/>
            <w:gridSpan w:val="3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行政许可</w:t>
            </w:r>
          </w:p>
        </w:tc>
        <w:tc>
          <w:tcPr>
            <w:tcW w:w="6547" w:type="dxa"/>
            <w:gridSpan w:val="3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0" w:type="dxa"/>
            <w:gridSpan w:val="4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第二十条第（六）项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信息内容</w:t>
            </w:r>
          </w:p>
        </w:tc>
        <w:tc>
          <w:tcPr>
            <w:tcW w:w="6547" w:type="dxa"/>
            <w:gridSpan w:val="3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行政处罚</w:t>
            </w:r>
          </w:p>
        </w:tc>
        <w:tc>
          <w:tcPr>
            <w:tcW w:w="6547" w:type="dxa"/>
            <w:gridSpan w:val="3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行政强制</w:t>
            </w:r>
          </w:p>
        </w:tc>
        <w:tc>
          <w:tcPr>
            <w:tcW w:w="6547" w:type="dxa"/>
            <w:gridSpan w:val="3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0" w:type="dxa"/>
            <w:gridSpan w:val="4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第二十条第（八）项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信息内容</w:t>
            </w:r>
          </w:p>
        </w:tc>
        <w:tc>
          <w:tcPr>
            <w:tcW w:w="6547" w:type="dxa"/>
            <w:gridSpan w:val="3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本年收费金额（单位：万元）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3" w:type="dxa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行政事业性收费</w:t>
            </w:r>
          </w:p>
        </w:tc>
        <w:tc>
          <w:tcPr>
            <w:tcW w:w="6547" w:type="dxa"/>
            <w:gridSpan w:val="3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0</w:t>
            </w:r>
          </w:p>
        </w:tc>
      </w:tr>
    </w:tbl>
    <w:p>
      <w:pPr>
        <w:pBdr>
          <w:bottom w:val="single" w:color="FFFFFF" w:sz="4" w:space="31"/>
        </w:pBdr>
        <w:adjustRightInd w:val="0"/>
        <w:snapToGrid w:val="0"/>
        <w:spacing w:line="400" w:lineRule="exact"/>
        <w:jc w:val="lef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三、收到和处理政府信息公开申请情况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945"/>
        <w:gridCol w:w="3180"/>
        <w:gridCol w:w="390"/>
        <w:gridCol w:w="705"/>
        <w:gridCol w:w="735"/>
        <w:gridCol w:w="765"/>
        <w:gridCol w:w="735"/>
        <w:gridCol w:w="495"/>
        <w:gridCol w:w="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  <w:vMerge w:val="restart"/>
            <w:vAlign w:val="center"/>
          </w:tcPr>
          <w:p>
            <w:pPr>
              <w:pStyle w:val="5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（本列数据的勾稽关系为：第一项加第二项之和，等于第三项加第四项之和）</w:t>
            </w:r>
          </w:p>
        </w:tc>
        <w:tc>
          <w:tcPr>
            <w:tcW w:w="4207" w:type="dxa"/>
            <w:gridSpan w:val="7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90" w:type="dxa"/>
            <w:vMerge w:val="restart"/>
          </w:tcPr>
          <w:p>
            <w:pPr>
              <w:pStyle w:val="5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自然人</w:t>
            </w:r>
          </w:p>
        </w:tc>
        <w:tc>
          <w:tcPr>
            <w:tcW w:w="3435" w:type="dxa"/>
            <w:gridSpan w:val="5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法人或其他组织</w:t>
            </w:r>
          </w:p>
        </w:tc>
        <w:tc>
          <w:tcPr>
            <w:tcW w:w="382" w:type="dxa"/>
            <w:vMerge w:val="restart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90" w:type="dxa"/>
            <w:vMerge w:val="continue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705" w:type="dxa"/>
          </w:tcPr>
          <w:p>
            <w:pPr>
              <w:pStyle w:val="5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商业企业</w:t>
            </w:r>
          </w:p>
        </w:tc>
        <w:tc>
          <w:tcPr>
            <w:tcW w:w="735" w:type="dxa"/>
          </w:tcPr>
          <w:p>
            <w:pPr>
              <w:pStyle w:val="5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科研机构</w:t>
            </w:r>
          </w:p>
        </w:tc>
        <w:tc>
          <w:tcPr>
            <w:tcW w:w="765" w:type="dxa"/>
          </w:tcPr>
          <w:p>
            <w:pPr>
              <w:pStyle w:val="5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社会公益组织</w:t>
            </w:r>
          </w:p>
        </w:tc>
        <w:tc>
          <w:tcPr>
            <w:tcW w:w="735" w:type="dxa"/>
          </w:tcPr>
          <w:p>
            <w:pPr>
              <w:pStyle w:val="5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法律服务机构</w:t>
            </w:r>
          </w:p>
        </w:tc>
        <w:tc>
          <w:tcPr>
            <w:tcW w:w="495" w:type="dxa"/>
          </w:tcPr>
          <w:p>
            <w:pPr>
              <w:pStyle w:val="5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其他</w:t>
            </w:r>
          </w:p>
        </w:tc>
        <w:tc>
          <w:tcPr>
            <w:tcW w:w="382" w:type="dxa"/>
            <w:vMerge w:val="continue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一、本年新收政府信息公开申请数量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二、上年结转政府信息公开申请数量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restart"/>
            <w:vAlign w:val="center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三、本年度办理结果</w:t>
            </w:r>
          </w:p>
        </w:tc>
        <w:tc>
          <w:tcPr>
            <w:tcW w:w="4125" w:type="dxa"/>
            <w:gridSpan w:val="2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（一）予以公开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4125" w:type="dxa"/>
            <w:gridSpan w:val="2"/>
          </w:tcPr>
          <w:p>
            <w:pPr>
              <w:pStyle w:val="5"/>
              <w:spacing w:line="40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（二）部分公开（区分处理的，只计这一情形，不计其他情形）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restart"/>
            <w:vAlign w:val="center"/>
          </w:tcPr>
          <w:p>
            <w:pPr>
              <w:pStyle w:val="5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  <w:p>
            <w:pPr>
              <w:pStyle w:val="5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  <w:p>
            <w:pPr>
              <w:pStyle w:val="5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  <w:p>
            <w:pPr>
              <w:pStyle w:val="5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  <w:p>
            <w:pPr>
              <w:pStyle w:val="5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（三）不予公开</w:t>
            </w: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1.属于国家秘密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30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2.其他法律行政法规禁止公开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3.危及“三安全一稳定”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4.保护第三方合法权益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5.属于三类内部事务信息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6.属于四类过程性信息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7.属于行政执法案件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8.属于行政查询事项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restart"/>
          </w:tcPr>
          <w:p>
            <w:pPr>
              <w:pStyle w:val="5"/>
              <w:spacing w:line="40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（四）无法提供</w:t>
            </w: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1.本机关不掌握相关政府信息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2.没有现成信息需要另行制作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1"/>
                <w:szCs w:val="21"/>
              </w:rPr>
              <w:t>3.补正后申请内容仍不明确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restart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（五）不予处理</w:t>
            </w: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1.信访举报投诉类渠道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2.重复申请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3.要求提供公开出版物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4.无正当理由大量反复申请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40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5.要求行政机关确认或重新出具已获取信息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restart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（六）其他处理</w:t>
            </w:r>
          </w:p>
        </w:tc>
        <w:tc>
          <w:tcPr>
            <w:tcW w:w="3180" w:type="dxa"/>
          </w:tcPr>
          <w:p>
            <w:pPr>
              <w:pStyle w:val="5"/>
              <w:spacing w:line="40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1.申请人无正当理由逾期不补正、行政机关不再处理其政府信息公开申请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40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2.申请人逾期未按收费通知要求缴纳费用、行政机关不再处理其政府信息公开申请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945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3180" w:type="dxa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3.其他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  <w:vMerge w:val="continue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</w:p>
        </w:tc>
        <w:tc>
          <w:tcPr>
            <w:tcW w:w="4125" w:type="dxa"/>
            <w:gridSpan w:val="2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（七）总计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3" w:type="dxa"/>
            <w:gridSpan w:val="3"/>
          </w:tcPr>
          <w:p>
            <w:pPr>
              <w:pStyle w:val="5"/>
              <w:spacing w:line="560" w:lineRule="exact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四、结转下年度继续办理</w:t>
            </w:r>
          </w:p>
        </w:tc>
        <w:tc>
          <w:tcPr>
            <w:tcW w:w="390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0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6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73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495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  <w:tc>
          <w:tcPr>
            <w:tcW w:w="382" w:type="dxa"/>
          </w:tcPr>
          <w:p>
            <w:pPr>
              <w:pStyle w:val="5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</w:rPr>
              <w:t>0</w:t>
            </w:r>
          </w:p>
        </w:tc>
      </w:tr>
    </w:tbl>
    <w:p>
      <w:pPr>
        <w:pBdr>
          <w:bottom w:val="single" w:color="FFFFFF" w:sz="4" w:space="31"/>
        </w:pBdr>
        <w:adjustRightInd w:val="0"/>
        <w:snapToGrid w:val="0"/>
        <w:spacing w:line="400" w:lineRule="exact"/>
        <w:jc w:val="lef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四、政府信息公开行政复议、行政诉讼情况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510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3020" w:type="dxa"/>
            <w:gridSpan w:val="5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行政复议</w:t>
            </w:r>
          </w:p>
        </w:tc>
        <w:tc>
          <w:tcPr>
            <w:tcW w:w="6040" w:type="dxa"/>
            <w:gridSpan w:val="10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698" w:type="dxa"/>
            <w:vMerge w:val="restart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结果维持</w:t>
            </w:r>
          </w:p>
        </w:tc>
        <w:tc>
          <w:tcPr>
            <w:tcW w:w="510" w:type="dxa"/>
            <w:vMerge w:val="restart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结果纠正</w:t>
            </w:r>
          </w:p>
        </w:tc>
        <w:tc>
          <w:tcPr>
            <w:tcW w:w="604" w:type="dxa"/>
            <w:vMerge w:val="restart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其他结果</w:t>
            </w:r>
          </w:p>
        </w:tc>
        <w:tc>
          <w:tcPr>
            <w:tcW w:w="604" w:type="dxa"/>
            <w:vMerge w:val="restart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尚未审结</w:t>
            </w:r>
          </w:p>
        </w:tc>
        <w:tc>
          <w:tcPr>
            <w:tcW w:w="604" w:type="dxa"/>
            <w:vMerge w:val="restart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总结</w:t>
            </w:r>
          </w:p>
        </w:tc>
        <w:tc>
          <w:tcPr>
            <w:tcW w:w="3020" w:type="dxa"/>
            <w:gridSpan w:val="5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未经复议直接起诉</w:t>
            </w:r>
          </w:p>
        </w:tc>
        <w:tc>
          <w:tcPr>
            <w:tcW w:w="3020" w:type="dxa"/>
            <w:gridSpan w:val="5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8" w:type="dxa"/>
            <w:vMerge w:val="continue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</w:tc>
        <w:tc>
          <w:tcPr>
            <w:tcW w:w="510" w:type="dxa"/>
            <w:vMerge w:val="continue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</w:tc>
        <w:tc>
          <w:tcPr>
            <w:tcW w:w="604" w:type="dxa"/>
            <w:vMerge w:val="continue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</w:tc>
        <w:tc>
          <w:tcPr>
            <w:tcW w:w="604" w:type="dxa"/>
            <w:vMerge w:val="continue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</w:tc>
        <w:tc>
          <w:tcPr>
            <w:tcW w:w="604" w:type="dxa"/>
            <w:vMerge w:val="continue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结果维持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结果纠正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其他结果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尚未审结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总计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结果维持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结果纠正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其他结果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尚未审结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总结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98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510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  <w:tc>
          <w:tcPr>
            <w:tcW w:w="604" w:type="dxa"/>
          </w:tcPr>
          <w:p>
            <w:pPr>
              <w:pStyle w:val="5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0</w:t>
            </w:r>
          </w:p>
        </w:tc>
      </w:tr>
    </w:tbl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五、</w:t>
      </w:r>
      <w:r>
        <w:rPr>
          <w:rFonts w:hint="eastAsia" w:ascii="黑体" w:hAnsi="黑体" w:eastAsia="黑体" w:cs="黑体"/>
          <w:sz w:val="32"/>
          <w:szCs w:val="32"/>
        </w:rPr>
        <w:t>存在的主要问题及改进情况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3" w:firstLineChars="200"/>
        <w:jc w:val="left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存在问题：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一是公开深度和广度有待提升：部分领域信息公开不够细化，如重大项目建设进展、价格监督检查等方面的信息公开不够及时、全面，对群众关心的热点难点问题回应不够充分。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二是工作队伍能力有待加强：从事信息公开工作的人员为兼职，专业能力和业务水平有待进一步提高，对信息公开政策的理解和把握不够精准，影响了工作质量和效率。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3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改进情况：</w:t>
      </w:r>
      <w:r>
        <w:rPr>
          <w:rFonts w:hint="eastAsia" w:ascii="仿宋_GB2312" w:hAnsi="仿宋_GB2312" w:eastAsia="仿宋_GB2312" w:cs="仿宋_GB2312"/>
          <w:sz w:val="32"/>
          <w:szCs w:val="32"/>
        </w:rPr>
        <w:t>一是</w:t>
      </w:r>
      <w:r>
        <w:rPr>
          <w:rFonts w:ascii="Calibri" w:hAnsi="Calibri" w:eastAsia="仿宋_GB2312" w:cs="Calibri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</w:rPr>
        <w:t>深化公开内容：聚焦群众关切，进一步拓展公开领域，加大对重大政策、重点项目、民生实事等信息的公开力度，细化公开内容，提高信息的实用性和可读性。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二是</w:t>
      </w:r>
      <w:r>
        <w:rPr>
          <w:rFonts w:ascii="Calibri" w:hAnsi="Calibri" w:eastAsia="仿宋_GB2312" w:cs="Calibri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</w:rPr>
        <w:t>强化队伍建设：定期组织开展政务信息公开业务培训，提升工作人员的专业素养和业务能力。建立健全工作考核机制，明确岗位职责，加强监督检查，确保各项工作落到实处。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六、其他需要报告的事项</w:t>
      </w:r>
    </w:p>
    <w:p>
      <w:pPr>
        <w:pBdr>
          <w:bottom w:val="single" w:color="FFFFFF" w:sz="4" w:space="31"/>
        </w:pBdr>
        <w:adjustRightInd w:val="0"/>
        <w:snapToGrid w:val="0"/>
        <w:spacing w:line="540" w:lineRule="exact"/>
        <w:ind w:firstLine="640" w:firstLineChars="200"/>
        <w:jc w:val="left"/>
      </w:pPr>
      <w:r>
        <w:rPr>
          <w:rFonts w:hint="eastAsia" w:ascii="仿宋_GB2312" w:hAnsi="仿宋_GB2312" w:eastAsia="仿宋_GB2312" w:cs="仿宋_GB2312"/>
          <w:sz w:val="32"/>
          <w:szCs w:val="32"/>
        </w:rPr>
        <w:t>按照《国务院办公厅关于印发〈政府信息公开信息处理费管理办法〉的通知》（国办函〔2020〕109号〕）规定的按件、按量收费标准，本年度没有产生信息公开处理费。</w:t>
      </w: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0F4DFC"/>
    <w:rsid w:val="00086FAE"/>
    <w:rsid w:val="001310EE"/>
    <w:rsid w:val="001B44DF"/>
    <w:rsid w:val="00304839"/>
    <w:rsid w:val="00764E95"/>
    <w:rsid w:val="009D6A67"/>
    <w:rsid w:val="00A3308B"/>
    <w:rsid w:val="00A604AB"/>
    <w:rsid w:val="00D63987"/>
    <w:rsid w:val="00F06307"/>
    <w:rsid w:val="01541FBE"/>
    <w:rsid w:val="029B44D3"/>
    <w:rsid w:val="02ED0A5A"/>
    <w:rsid w:val="02F64550"/>
    <w:rsid w:val="049B749C"/>
    <w:rsid w:val="04A732AF"/>
    <w:rsid w:val="04DB023F"/>
    <w:rsid w:val="04FA6DDB"/>
    <w:rsid w:val="058B2628"/>
    <w:rsid w:val="05EB5EC4"/>
    <w:rsid w:val="064B0456"/>
    <w:rsid w:val="06654509"/>
    <w:rsid w:val="06DD7862"/>
    <w:rsid w:val="070A2A99"/>
    <w:rsid w:val="074B5463"/>
    <w:rsid w:val="07EC690F"/>
    <w:rsid w:val="082D18F6"/>
    <w:rsid w:val="082F2F82"/>
    <w:rsid w:val="08DC5437"/>
    <w:rsid w:val="09A8571F"/>
    <w:rsid w:val="09FD2198"/>
    <w:rsid w:val="0AC32834"/>
    <w:rsid w:val="0BD41778"/>
    <w:rsid w:val="0CBE246E"/>
    <w:rsid w:val="0D68630B"/>
    <w:rsid w:val="0D7A1AA8"/>
    <w:rsid w:val="0D830CB6"/>
    <w:rsid w:val="0DB82C12"/>
    <w:rsid w:val="0E152FAC"/>
    <w:rsid w:val="0EB070DC"/>
    <w:rsid w:val="0EC07BC1"/>
    <w:rsid w:val="0FC306E9"/>
    <w:rsid w:val="10545A59"/>
    <w:rsid w:val="108904B2"/>
    <w:rsid w:val="10B35A73"/>
    <w:rsid w:val="10EF7223"/>
    <w:rsid w:val="1178715A"/>
    <w:rsid w:val="129B5913"/>
    <w:rsid w:val="12FA6FB1"/>
    <w:rsid w:val="133B7018"/>
    <w:rsid w:val="148C60C3"/>
    <w:rsid w:val="16265E64"/>
    <w:rsid w:val="16B72FA4"/>
    <w:rsid w:val="17543053"/>
    <w:rsid w:val="17BE4C81"/>
    <w:rsid w:val="17F3249E"/>
    <w:rsid w:val="18010E13"/>
    <w:rsid w:val="18303CBB"/>
    <w:rsid w:val="185F480A"/>
    <w:rsid w:val="18D21BDA"/>
    <w:rsid w:val="19224548"/>
    <w:rsid w:val="19525097"/>
    <w:rsid w:val="195803B5"/>
    <w:rsid w:val="195F43AD"/>
    <w:rsid w:val="1A06645C"/>
    <w:rsid w:val="1A5A4678"/>
    <w:rsid w:val="1A5A58C9"/>
    <w:rsid w:val="1AFA2058"/>
    <w:rsid w:val="1C0B5290"/>
    <w:rsid w:val="1D181F4A"/>
    <w:rsid w:val="1E583572"/>
    <w:rsid w:val="1EC16A83"/>
    <w:rsid w:val="1EF42755"/>
    <w:rsid w:val="1F25786B"/>
    <w:rsid w:val="1F8B2342"/>
    <w:rsid w:val="1F94485C"/>
    <w:rsid w:val="1FA90F7F"/>
    <w:rsid w:val="1FF22B46"/>
    <w:rsid w:val="2046687E"/>
    <w:rsid w:val="211749D8"/>
    <w:rsid w:val="21410F9C"/>
    <w:rsid w:val="21E04817"/>
    <w:rsid w:val="22DB2BCF"/>
    <w:rsid w:val="23436267"/>
    <w:rsid w:val="24EB0BA1"/>
    <w:rsid w:val="25BF65FB"/>
    <w:rsid w:val="260D0883"/>
    <w:rsid w:val="26915AA8"/>
    <w:rsid w:val="26C05118"/>
    <w:rsid w:val="273D0B77"/>
    <w:rsid w:val="274554FD"/>
    <w:rsid w:val="277933CE"/>
    <w:rsid w:val="28503431"/>
    <w:rsid w:val="28BA505F"/>
    <w:rsid w:val="28E613A6"/>
    <w:rsid w:val="29585E62"/>
    <w:rsid w:val="298973DB"/>
    <w:rsid w:val="29E60159"/>
    <w:rsid w:val="2A8C4F5A"/>
    <w:rsid w:val="2AEB07F7"/>
    <w:rsid w:val="2B33446E"/>
    <w:rsid w:val="2B7661DC"/>
    <w:rsid w:val="2B7A135F"/>
    <w:rsid w:val="2BAF445C"/>
    <w:rsid w:val="2BD716F9"/>
    <w:rsid w:val="2BFE2C3D"/>
    <w:rsid w:val="2C7A4785"/>
    <w:rsid w:val="2D366EAA"/>
    <w:rsid w:val="2E1113A3"/>
    <w:rsid w:val="2E461550"/>
    <w:rsid w:val="2E4B2482"/>
    <w:rsid w:val="2E6E003B"/>
    <w:rsid w:val="2EE4137C"/>
    <w:rsid w:val="2F9F78B1"/>
    <w:rsid w:val="2FD5681A"/>
    <w:rsid w:val="30825925"/>
    <w:rsid w:val="30E77847"/>
    <w:rsid w:val="312E7F11"/>
    <w:rsid w:val="31501EF7"/>
    <w:rsid w:val="31A97A13"/>
    <w:rsid w:val="325F1A77"/>
    <w:rsid w:val="330F4DFC"/>
    <w:rsid w:val="332848FF"/>
    <w:rsid w:val="333A4819"/>
    <w:rsid w:val="339C103A"/>
    <w:rsid w:val="340E0074"/>
    <w:rsid w:val="35897705"/>
    <w:rsid w:val="35F01175"/>
    <w:rsid w:val="361913CE"/>
    <w:rsid w:val="365319B0"/>
    <w:rsid w:val="36817AF9"/>
    <w:rsid w:val="369D3BA6"/>
    <w:rsid w:val="375D74DC"/>
    <w:rsid w:val="38987258"/>
    <w:rsid w:val="38BE10FC"/>
    <w:rsid w:val="39CD7260"/>
    <w:rsid w:val="3AD0140D"/>
    <w:rsid w:val="3BAC4273"/>
    <w:rsid w:val="3D2C727A"/>
    <w:rsid w:val="3D5C3FB9"/>
    <w:rsid w:val="3DEE7CCA"/>
    <w:rsid w:val="3EA55255"/>
    <w:rsid w:val="3ED02063"/>
    <w:rsid w:val="3F9B06C8"/>
    <w:rsid w:val="3FC91B34"/>
    <w:rsid w:val="40B25A3A"/>
    <w:rsid w:val="41302380"/>
    <w:rsid w:val="4135642F"/>
    <w:rsid w:val="41EC3DB8"/>
    <w:rsid w:val="425E35DB"/>
    <w:rsid w:val="42A7632C"/>
    <w:rsid w:val="42A9416B"/>
    <w:rsid w:val="42D96EB9"/>
    <w:rsid w:val="42EA52D4"/>
    <w:rsid w:val="43AE4CF2"/>
    <w:rsid w:val="43D24ED2"/>
    <w:rsid w:val="442510D9"/>
    <w:rsid w:val="448167FE"/>
    <w:rsid w:val="44DA7903"/>
    <w:rsid w:val="458529BE"/>
    <w:rsid w:val="472F63F6"/>
    <w:rsid w:val="475F50A3"/>
    <w:rsid w:val="47A44BEB"/>
    <w:rsid w:val="48B039C4"/>
    <w:rsid w:val="4961356F"/>
    <w:rsid w:val="49AB26EA"/>
    <w:rsid w:val="49C60D15"/>
    <w:rsid w:val="4A624493"/>
    <w:rsid w:val="4B737AD7"/>
    <w:rsid w:val="4BDA08C2"/>
    <w:rsid w:val="4BF957B2"/>
    <w:rsid w:val="4C2C427E"/>
    <w:rsid w:val="4D185C09"/>
    <w:rsid w:val="4D67120C"/>
    <w:rsid w:val="4E144BA8"/>
    <w:rsid w:val="4ECA0E53"/>
    <w:rsid w:val="4EF61917"/>
    <w:rsid w:val="4F391107"/>
    <w:rsid w:val="4FD64FE1"/>
    <w:rsid w:val="4FF166B7"/>
    <w:rsid w:val="50234908"/>
    <w:rsid w:val="50506742"/>
    <w:rsid w:val="50835C26"/>
    <w:rsid w:val="512963B4"/>
    <w:rsid w:val="51E113E5"/>
    <w:rsid w:val="52990A97"/>
    <w:rsid w:val="53B15DDD"/>
    <w:rsid w:val="545455E7"/>
    <w:rsid w:val="54720D8D"/>
    <w:rsid w:val="566662CB"/>
    <w:rsid w:val="567C34E4"/>
    <w:rsid w:val="57E37DC1"/>
    <w:rsid w:val="57E60ADA"/>
    <w:rsid w:val="57F13854"/>
    <w:rsid w:val="585B0D05"/>
    <w:rsid w:val="59C36FD2"/>
    <w:rsid w:val="59E80F44"/>
    <w:rsid w:val="5A554343"/>
    <w:rsid w:val="5A6310DA"/>
    <w:rsid w:val="5B2840CD"/>
    <w:rsid w:val="5B314E1D"/>
    <w:rsid w:val="5B723495"/>
    <w:rsid w:val="5BF062E2"/>
    <w:rsid w:val="5C2A0EF0"/>
    <w:rsid w:val="5C3E6F9A"/>
    <w:rsid w:val="5C6F436D"/>
    <w:rsid w:val="5C840D54"/>
    <w:rsid w:val="5D1E0F52"/>
    <w:rsid w:val="5D3046F0"/>
    <w:rsid w:val="5DA62130"/>
    <w:rsid w:val="5E096C5A"/>
    <w:rsid w:val="5E394EA7"/>
    <w:rsid w:val="5E471CBA"/>
    <w:rsid w:val="5E6202E5"/>
    <w:rsid w:val="5EB61D4B"/>
    <w:rsid w:val="5F7E303B"/>
    <w:rsid w:val="5F933EDA"/>
    <w:rsid w:val="5FED586D"/>
    <w:rsid w:val="60323DAB"/>
    <w:rsid w:val="603D51A3"/>
    <w:rsid w:val="6231350E"/>
    <w:rsid w:val="62C25396"/>
    <w:rsid w:val="62D21DAE"/>
    <w:rsid w:val="62E010C3"/>
    <w:rsid w:val="62E02974"/>
    <w:rsid w:val="62EB7913"/>
    <w:rsid w:val="643861FD"/>
    <w:rsid w:val="65A15DE4"/>
    <w:rsid w:val="66FF570B"/>
    <w:rsid w:val="688D0395"/>
    <w:rsid w:val="68CC36FD"/>
    <w:rsid w:val="68D545C8"/>
    <w:rsid w:val="68E214DC"/>
    <w:rsid w:val="69164A76"/>
    <w:rsid w:val="69531BEA"/>
    <w:rsid w:val="698044A5"/>
    <w:rsid w:val="69B610FC"/>
    <w:rsid w:val="6AC256AA"/>
    <w:rsid w:val="6AFB6C6A"/>
    <w:rsid w:val="6C0F21D5"/>
    <w:rsid w:val="6C411AAB"/>
    <w:rsid w:val="6C710F75"/>
    <w:rsid w:val="6D162D88"/>
    <w:rsid w:val="6D3F614A"/>
    <w:rsid w:val="6D692884"/>
    <w:rsid w:val="6E1C4834"/>
    <w:rsid w:val="6E306345"/>
    <w:rsid w:val="6EA24EBA"/>
    <w:rsid w:val="6EAA0C20"/>
    <w:rsid w:val="6F7E6BF3"/>
    <w:rsid w:val="6F8377A3"/>
    <w:rsid w:val="6FBD3F60"/>
    <w:rsid w:val="704A134B"/>
    <w:rsid w:val="70E5350F"/>
    <w:rsid w:val="710A7485"/>
    <w:rsid w:val="71671231"/>
    <w:rsid w:val="72445F08"/>
    <w:rsid w:val="726F6D4C"/>
    <w:rsid w:val="72E927F3"/>
    <w:rsid w:val="73391C98"/>
    <w:rsid w:val="737465FA"/>
    <w:rsid w:val="73AC6754"/>
    <w:rsid w:val="73E752B4"/>
    <w:rsid w:val="751C2634"/>
    <w:rsid w:val="75815055"/>
    <w:rsid w:val="76CE7275"/>
    <w:rsid w:val="76DB1E0E"/>
    <w:rsid w:val="775C1463"/>
    <w:rsid w:val="77A02E51"/>
    <w:rsid w:val="77C23DC8"/>
    <w:rsid w:val="781C459E"/>
    <w:rsid w:val="78D00FC5"/>
    <w:rsid w:val="797745D6"/>
    <w:rsid w:val="798848BF"/>
    <w:rsid w:val="7A124E54"/>
    <w:rsid w:val="7A8463AE"/>
    <w:rsid w:val="7B7E45F8"/>
    <w:rsid w:val="7B966B98"/>
    <w:rsid w:val="7C414EAD"/>
    <w:rsid w:val="7D1C7D0A"/>
    <w:rsid w:val="7D6619C8"/>
    <w:rsid w:val="7D6E3E30"/>
    <w:rsid w:val="7F625F8B"/>
    <w:rsid w:val="7F700E18"/>
    <w:rsid w:val="7FE7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3"/>
    <w:basedOn w:val="1"/>
    <w:next w:val="1"/>
    <w:qFormat/>
    <w:uiPriority w:val="0"/>
    <w:pPr>
      <w:jc w:val="left"/>
      <w:outlineLvl w:val="2"/>
    </w:pPr>
    <w:rPr>
      <w:rFonts w:ascii="宋体" w:hAnsi="宋体"/>
      <w:b/>
      <w:bCs/>
      <w:kern w:val="0"/>
      <w:sz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 w:firstLineChars="100"/>
    </w:pPr>
    <w:rPr>
      <w:rFonts w:ascii="Times New Roman" w:hAnsi="Times New Roman"/>
      <w:szCs w:val="21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Body Text Indent"/>
    <w:basedOn w:val="1"/>
    <w:next w:val="1"/>
    <w:unhideWhenUsed/>
    <w:qFormat/>
    <w:uiPriority w:val="99"/>
    <w:pPr>
      <w:spacing w:after="12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page number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1290</Words>
  <Characters>1317</Characters>
  <Lines>329</Lines>
  <Paragraphs>372</Paragraphs>
  <TotalTime>1</TotalTime>
  <ScaleCrop>false</ScaleCrop>
  <LinksUpToDate>false</LinksUpToDate>
  <CharactersWithSpaces>2235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2023-05-19T09:58:00Z</dcterms:created>
  <dc:creator>lenovo</dc:creator>
  <cp:lastModifiedBy>Administrator</cp:lastModifiedBy>
  <dcterms:modified xsi:type="dcterms:W3CDTF">2026-07-28T04:11:26Z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AEF412173E204BADAAC12FDAE18A5944</vt:lpwstr>
  </property>
</Properties>
</file>