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沙湾市安集海镇202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spacing w:line="560" w:lineRule="exact"/>
        <w:ind w:firstLine="640" w:firstLineChars="200"/>
        <w:rPr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年，安集海镇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</w:t>
      </w:r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严格贯彻落实《中华人民共和国政府信息公开条例》和市政府统一安排部署，围绕全镇中心工作和群众关切，扎实做好政务信息公开工作，切实保障人民群众的知情权、参与权、监督权和表达权，较好地完成了年度工作任务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（一）主动公开情况。安集海镇认真落实《中华人民共和国政府信息公开条例》，聚焦</w:t>
      </w:r>
      <w:r>
        <w:rPr>
          <w:rFonts w:ascii="仿宋_GB2312" w:hAnsi="仿宋_GB2312" w:eastAsia="仿宋_GB2312" w:cs="仿宋_GB2312"/>
          <w:sz w:val="32"/>
          <w:szCs w:val="32"/>
        </w:rPr>
        <w:t>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项目建设、惠民政策落实、</w:t>
      </w:r>
      <w:r>
        <w:rPr>
          <w:rFonts w:ascii="仿宋_GB2312" w:hAnsi="仿宋_GB2312" w:eastAsia="仿宋_GB2312" w:cs="仿宋_GB2312"/>
          <w:sz w:val="32"/>
          <w:szCs w:val="32"/>
        </w:rPr>
        <w:t>乡村</w:t>
      </w:r>
      <w:r>
        <w:rPr>
          <w:rFonts w:hint="eastAsia" w:ascii="仿宋_GB2312" w:hAnsi="仿宋_GB2312" w:eastAsia="仿宋_GB2312" w:cs="仿宋_GB2312"/>
          <w:sz w:val="32"/>
          <w:szCs w:val="32"/>
        </w:rPr>
        <w:t>振兴、安全生产等领域，由办公室牵头负责公开信息的编辑、审核与发布，通过政府门户网站、公示栏、宣传栏等方式主动公开政府信息。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（二）依申请公开情况。完善依申请公开接收、</w:t>
      </w:r>
      <w:r>
        <w:rPr>
          <w:rFonts w:ascii="仿宋_GB2312" w:hAnsi="仿宋_GB2312" w:eastAsia="仿宋_GB2312" w:cs="仿宋_GB2312"/>
          <w:sz w:val="32"/>
          <w:szCs w:val="32"/>
        </w:rPr>
        <w:t>登记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、办理、答复、</w:t>
      </w:r>
      <w:r>
        <w:rPr>
          <w:rFonts w:ascii="仿宋_GB2312" w:hAnsi="仿宋_GB2312" w:eastAsia="仿宋_GB2312" w:cs="仿宋_GB2312"/>
          <w:sz w:val="32"/>
          <w:szCs w:val="32"/>
        </w:rPr>
        <w:t>归档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工作机制，</w:t>
      </w:r>
      <w:r>
        <w:rPr>
          <w:rFonts w:ascii="仿宋_GB2312" w:hAnsi="仿宋_GB2312" w:eastAsia="仿宋_GB2312" w:cs="仿宋_GB2312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办理时限和责任分工。2024年度无结转政府信息公开申请，2</w:t>
      </w:r>
      <w:r>
        <w:rPr>
          <w:rFonts w:ascii="仿宋_GB2312" w:hAnsi="仿宋_GB2312" w:eastAsia="仿宋_GB2312" w:cs="仿宋_GB2312"/>
          <w:sz w:val="32"/>
          <w:szCs w:val="32"/>
        </w:rPr>
        <w:t>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年受理1件，</w:t>
      </w:r>
      <w:r>
        <w:rPr>
          <w:rFonts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法定期限内完成审查答复，</w:t>
      </w:r>
      <w:r>
        <w:rPr>
          <w:rFonts w:ascii="仿宋_GB2312" w:hAnsi="仿宋_GB2312" w:eastAsia="仿宋_GB2312" w:cs="仿宋_GB2312"/>
          <w:sz w:val="32"/>
          <w:szCs w:val="32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结果为依法向信息产生单位进行申请公示。年度内，未发生由于政府信息公开申请引发的行政诉讼等情况。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（三）政府信息管理情况。建立健全信息公开审核制度，</w:t>
      </w:r>
      <w:r>
        <w:rPr>
          <w:rFonts w:ascii="仿宋_GB2312" w:hAnsi="仿宋_GB2312" w:eastAsia="仿宋_GB2312" w:cs="仿宋_GB2312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</w:rPr>
        <w:t>遵循“三审三校”流程，</w:t>
      </w:r>
      <w:r>
        <w:rPr>
          <w:rFonts w:ascii="仿宋_GB2312" w:hAnsi="仿宋_GB2312" w:eastAsia="仿宋_GB2312" w:cs="仿宋_GB2312"/>
          <w:sz w:val="32"/>
          <w:szCs w:val="32"/>
        </w:rPr>
        <w:t>严把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政治关、</w:t>
      </w:r>
      <w:r>
        <w:rPr>
          <w:rFonts w:ascii="仿宋_GB2312" w:hAnsi="仿宋_GB2312" w:eastAsia="仿宋_GB2312" w:cs="仿宋_GB2312"/>
          <w:sz w:val="32"/>
          <w:szCs w:val="32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关、</w:t>
      </w:r>
      <w:r>
        <w:rPr>
          <w:rFonts w:ascii="仿宋_GB2312" w:hAnsi="仿宋_GB2312" w:eastAsia="仿宋_GB2312" w:cs="仿宋_GB2312"/>
          <w:sz w:val="32"/>
          <w:szCs w:val="32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关、</w:t>
      </w:r>
      <w:r>
        <w:rPr>
          <w:rFonts w:ascii="仿宋_GB2312" w:hAnsi="仿宋_GB2312" w:eastAsia="仿宋_GB2312" w:cs="仿宋_GB2312"/>
          <w:sz w:val="32"/>
          <w:szCs w:val="32"/>
        </w:rPr>
        <w:t>保密</w:t>
      </w:r>
      <w:r>
        <w:rPr>
          <w:rFonts w:hint="eastAsia" w:ascii="仿宋_GB2312" w:hAnsi="仿宋_GB2312" w:eastAsia="仿宋_GB2312" w:cs="仿宋_GB2312"/>
          <w:sz w:val="32"/>
          <w:szCs w:val="32"/>
        </w:rPr>
        <w:t>关、文字关，</w:t>
      </w:r>
      <w:r>
        <w:rPr>
          <w:rFonts w:ascii="仿宋_GB2312" w:hAnsi="仿宋_GB2312" w:eastAsia="仿宋_GB2312" w:cs="仿宋_GB2312"/>
          <w:sz w:val="32"/>
          <w:szCs w:val="32"/>
        </w:rPr>
        <w:t>确保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公开信息准确规范，全年未发生因信息公开不当引发的安全事件或重大舆情。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（四）政府信息公开平台建设情况。加强对市政府信息公开专栏各版块内容更新和信息上传。在镇便民服务中心、</w:t>
      </w:r>
      <w:r>
        <w:rPr>
          <w:rFonts w:ascii="仿宋_GB2312" w:hAnsi="仿宋_GB2312" w:eastAsia="仿宋_GB2312" w:cs="仿宋_GB2312"/>
          <w:sz w:val="32"/>
          <w:szCs w:val="32"/>
        </w:rPr>
        <w:t>村级</w:t>
      </w:r>
      <w:r>
        <w:rPr>
          <w:rFonts w:hint="eastAsia" w:ascii="仿宋_GB2312" w:hAnsi="仿宋_GB2312" w:eastAsia="仿宋_GB2312" w:cs="仿宋_GB2312"/>
          <w:sz w:val="32"/>
          <w:szCs w:val="32"/>
        </w:rPr>
        <w:t>党群服务中心设立政务公开栏12个，</w:t>
      </w:r>
      <w:r>
        <w:rPr>
          <w:rFonts w:ascii="仿宋_GB2312" w:hAnsi="仿宋_GB2312" w:eastAsia="仿宋_GB2312" w:cs="仿宋_GB2312"/>
          <w:sz w:val="32"/>
          <w:szCs w:val="32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借助村级微信群 推送便民资讯，</w:t>
      </w:r>
      <w:r>
        <w:rPr>
          <w:rFonts w:ascii="仿宋_GB2312" w:hAnsi="仿宋_GB2312" w:eastAsia="仿宋_GB2312" w:cs="仿宋_GB2312"/>
          <w:sz w:val="32"/>
          <w:szCs w:val="32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仿宋_GB2312" w:hAnsi="仿宋_GB2312" w:eastAsia="仿宋_GB2312" w:cs="仿宋_GB2312"/>
          <w:sz w:val="32"/>
          <w:szCs w:val="32"/>
        </w:rPr>
        <w:t>线上</w:t>
      </w:r>
      <w:r>
        <w:rPr>
          <w:rFonts w:hint="eastAsia" w:ascii="仿宋_GB2312" w:hAnsi="仿宋_GB2312" w:eastAsia="仿宋_GB2312" w:cs="仿宋_GB2312"/>
          <w:sz w:val="32"/>
          <w:szCs w:val="32"/>
        </w:rPr>
        <w:t>+</w:t>
      </w:r>
      <w:r>
        <w:rPr>
          <w:rFonts w:ascii="仿宋_GB2312" w:hAnsi="仿宋_GB2312" w:eastAsia="仿宋_GB2312" w:cs="仿宋_GB2312"/>
          <w:sz w:val="32"/>
          <w:szCs w:val="32"/>
        </w:rPr>
        <w:t>线下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ascii="仿宋_GB2312" w:hAnsi="仿宋_GB2312" w:eastAsia="仿宋_GB2312" w:cs="仿宋_GB2312"/>
          <w:sz w:val="32"/>
          <w:szCs w:val="32"/>
        </w:rPr>
        <w:t>全方位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公开网络，</w:t>
      </w:r>
      <w:r>
        <w:rPr>
          <w:rFonts w:ascii="仿宋_GB2312" w:hAnsi="仿宋_GB2312" w:eastAsia="仿宋_GB2312" w:cs="仿宋_GB2312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群众信息知晓率。以“</w:t>
      </w:r>
      <w:r>
        <w:rPr>
          <w:rFonts w:ascii="仿宋_GB2312" w:hAnsi="仿宋_GB2312" w:eastAsia="仿宋_GB2312" w:cs="仿宋_GB2312"/>
          <w:sz w:val="32"/>
          <w:szCs w:val="32"/>
        </w:rPr>
        <w:t>辣椒</w:t>
      </w:r>
      <w:r>
        <w:rPr>
          <w:rFonts w:hint="eastAsia" w:ascii="仿宋_GB2312" w:hAnsi="仿宋_GB2312" w:eastAsia="仿宋_GB2312" w:cs="仿宋_GB2312"/>
          <w:sz w:val="32"/>
          <w:szCs w:val="32"/>
        </w:rPr>
        <w:t>小镇-</w:t>
      </w:r>
      <w:r>
        <w:rPr>
          <w:rFonts w:ascii="仿宋_GB2312" w:hAnsi="仿宋_GB2312" w:eastAsia="仿宋_GB2312" w:cs="仿宋_GB2312"/>
          <w:sz w:val="32"/>
          <w:szCs w:val="32"/>
        </w:rPr>
        <w:t>安集海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ascii="仿宋_GB2312" w:hAnsi="仿宋_GB2312" w:eastAsia="仿宋_GB2312" w:cs="仿宋_GB2312"/>
          <w:sz w:val="32"/>
          <w:szCs w:val="32"/>
        </w:rPr>
        <w:t>微信</w:t>
      </w:r>
      <w:r>
        <w:rPr>
          <w:rFonts w:hint="eastAsia" w:ascii="仿宋_GB2312" w:hAnsi="仿宋_GB2312" w:eastAsia="仿宋_GB2312" w:cs="仿宋_GB2312"/>
          <w:sz w:val="32"/>
          <w:szCs w:val="32"/>
        </w:rPr>
        <w:t>视频号为主要渠道，</w:t>
      </w:r>
      <w:r>
        <w:rPr>
          <w:rFonts w:ascii="仿宋_GB2312" w:hAnsi="仿宋_GB2312" w:eastAsia="仿宋_GB2312" w:cs="仿宋_GB2312"/>
          <w:sz w:val="32"/>
          <w:szCs w:val="32"/>
        </w:rPr>
        <w:t>发挥</w:t>
      </w:r>
      <w:r>
        <w:rPr>
          <w:rFonts w:hint="eastAsia" w:ascii="仿宋_GB2312" w:hAnsi="仿宋_GB2312" w:eastAsia="仿宋_GB2312" w:cs="仿宋_GB2312"/>
          <w:sz w:val="32"/>
          <w:szCs w:val="32"/>
        </w:rPr>
        <w:t>主流媒体引导作用和宣传优势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监督保障情况。将政府信息公开工作纳入常态化监管，第一时间完善信息内容和堵塞漏洞；信息发布之后定期开展自查自纠，自觉主动接受工作考评和社会评议，未发现违反有关法律法规规定，造成不良影响的情况。</w:t>
      </w:r>
    </w:p>
    <w:p>
      <w:pPr>
        <w:spacing w:line="520" w:lineRule="exact"/>
        <w:ind w:firstLine="640" w:firstLineChars="200"/>
        <w:rPr>
          <w:rFonts w:ascii="Times New Roman" w:hAnsi="Times New Roman" w:eastAsia="黑体" w:cs="宋体"/>
          <w:sz w:val="32"/>
          <w:szCs w:val="32"/>
        </w:rPr>
      </w:pPr>
      <w:r>
        <w:rPr>
          <w:rFonts w:hint="eastAsia" w:ascii="Times New Roman" w:hAnsi="Times New Roman" w:eastAsia="黑体" w:cs="宋体"/>
          <w:sz w:val="32"/>
          <w:szCs w:val="32"/>
        </w:rPr>
        <w:t>二、主动公开政府信息情况</w:t>
      </w:r>
    </w:p>
    <w:p>
      <w:pPr>
        <w:pStyle w:val="7"/>
        <w:widowControl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仿宋_GB2312" w:cs="宋体"/>
          <w:sz w:val="32"/>
          <w:szCs w:val="32"/>
        </w:rPr>
      </w:pPr>
      <w:r>
        <w:rPr>
          <w:rFonts w:hint="eastAsia" w:ascii="Times New Roman" w:hAnsi="Times New Roman" w:eastAsia="仿宋_GB2312" w:cs="宋体"/>
          <w:sz w:val="32"/>
          <w:szCs w:val="32"/>
        </w:rPr>
        <w:t>该部分以表格形式报告。表格如下：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2289"/>
        <w:gridCol w:w="2126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476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137" w:type="dxa"/>
            <w:noWrap/>
            <w:vAlign w:val="center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信息内容</w:t>
            </w:r>
          </w:p>
        </w:tc>
        <w:tc>
          <w:tcPr>
            <w:tcW w:w="2289" w:type="dxa"/>
            <w:noWrap/>
            <w:vAlign w:val="center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本年制发件数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本年废止件数</w:t>
            </w:r>
          </w:p>
        </w:tc>
        <w:tc>
          <w:tcPr>
            <w:tcW w:w="1924" w:type="dxa"/>
            <w:noWrap/>
            <w:vAlign w:val="center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规章</w:t>
            </w:r>
          </w:p>
        </w:tc>
        <w:tc>
          <w:tcPr>
            <w:tcW w:w="2289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  <w:tc>
          <w:tcPr>
            <w:tcW w:w="1924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规范性文件</w:t>
            </w:r>
          </w:p>
        </w:tc>
        <w:tc>
          <w:tcPr>
            <w:tcW w:w="2289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0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0</w:t>
            </w:r>
          </w:p>
        </w:tc>
        <w:tc>
          <w:tcPr>
            <w:tcW w:w="1924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76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信息内容</w:t>
            </w:r>
          </w:p>
        </w:tc>
        <w:tc>
          <w:tcPr>
            <w:tcW w:w="6339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行政许可</w:t>
            </w:r>
          </w:p>
        </w:tc>
        <w:tc>
          <w:tcPr>
            <w:tcW w:w="6339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476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信息内容</w:t>
            </w:r>
          </w:p>
        </w:tc>
        <w:tc>
          <w:tcPr>
            <w:tcW w:w="6339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行政处罚</w:t>
            </w:r>
          </w:p>
        </w:tc>
        <w:tc>
          <w:tcPr>
            <w:tcW w:w="6339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行政强制</w:t>
            </w:r>
          </w:p>
        </w:tc>
        <w:tc>
          <w:tcPr>
            <w:tcW w:w="6339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476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信息内容</w:t>
            </w:r>
          </w:p>
        </w:tc>
        <w:tc>
          <w:tcPr>
            <w:tcW w:w="6339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213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行政事业性收费</w:t>
            </w:r>
          </w:p>
        </w:tc>
        <w:tc>
          <w:tcPr>
            <w:tcW w:w="6339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</w:tr>
    </w:tbl>
    <w:p>
      <w:pPr>
        <w:pStyle w:val="7"/>
        <w:widowControl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黑体" w:cs="宋体"/>
          <w:sz w:val="32"/>
          <w:szCs w:val="30"/>
        </w:rPr>
      </w:pPr>
      <w:r>
        <w:rPr>
          <w:rFonts w:hint="eastAsia" w:ascii="Times New Roman" w:hAnsi="Times New Roman" w:eastAsia="黑体" w:cs="宋体"/>
          <w:sz w:val="32"/>
          <w:szCs w:val="30"/>
        </w:rPr>
        <w:t>三、收到和处理政府信息公开申请情况</w:t>
      </w:r>
    </w:p>
    <w:p>
      <w:pPr>
        <w:pStyle w:val="7"/>
        <w:widowControl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仿宋_GB2312" w:cs="宋体"/>
          <w:sz w:val="32"/>
          <w:szCs w:val="32"/>
        </w:rPr>
      </w:pPr>
      <w:r>
        <w:rPr>
          <w:rFonts w:hint="eastAsia" w:ascii="Times New Roman" w:hAnsi="Times New Roman" w:eastAsia="仿宋_GB2312" w:cs="宋体"/>
          <w:sz w:val="32"/>
          <w:szCs w:val="32"/>
        </w:rPr>
        <w:t>该部分以表格形式报告。表格如下：</w:t>
      </w:r>
    </w:p>
    <w:tbl>
      <w:tblPr>
        <w:tblStyle w:val="8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906"/>
        <w:gridCol w:w="30"/>
        <w:gridCol w:w="3377"/>
        <w:gridCol w:w="456"/>
        <w:gridCol w:w="707"/>
        <w:gridCol w:w="707"/>
        <w:gridCol w:w="706"/>
        <w:gridCol w:w="707"/>
        <w:gridCol w:w="465"/>
        <w:gridCol w:w="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5010" w:type="dxa"/>
            <w:gridSpan w:val="4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（本列数据的勾稽关系为：第一项加第二项之和，等于第三项加第四项之和）</w:t>
            </w:r>
          </w:p>
        </w:tc>
        <w:tc>
          <w:tcPr>
            <w:tcW w:w="4204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10" w:type="dxa"/>
            <w:gridSpan w:val="4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自然人</w:t>
            </w:r>
          </w:p>
        </w:tc>
        <w:tc>
          <w:tcPr>
            <w:tcW w:w="329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法人或其他组织</w:t>
            </w: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5010" w:type="dxa"/>
            <w:gridSpan w:val="4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商业企业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科研机构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社会公益组织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法律服务机构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其他</w:t>
            </w: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5010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一、本年新收政府信息公开申请数量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10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二、上年结转政府信息公开申请数量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69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三、本年度办理结果</w:t>
            </w:r>
          </w:p>
        </w:tc>
        <w:tc>
          <w:tcPr>
            <w:tcW w:w="431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4"/>
              </w:rPr>
              <w:t>（一）予以公开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431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4"/>
              </w:rPr>
              <w:t>（二）部分公开（区分处理的，只计这一情形，不计其他情形）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（三）不予公开</w:t>
            </w: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1.属于国家秘密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2.其他法律行政法规禁止公开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3.危及“三安全一稳定”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4.保护第三方合法权益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5.属于三类内部事务信息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6.属于四类过程性信息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7.属于行政执法案卷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8.属于行政查询事项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（四）无法提供</w:t>
            </w: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1.本机关不掌握相关政府信息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2.没有现成信息需要另行制作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3.补正后申请内容仍不明确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（五）不予处理</w:t>
            </w: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1.信访举报投诉类申请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Calibri"/>
                <w:kern w:val="0"/>
                <w:sz w:val="24"/>
              </w:rPr>
              <w:t> </w:t>
            </w: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2.重复申请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3.要求提供公开出版物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4.无正当理由大量反复申请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hint="eastAsia" w:ascii="楷体_GB2312" w:hAnsi="Times New Roman" w:eastAsia="楷体_GB2312"/>
                <w:sz w:val="24"/>
              </w:rPr>
            </w:pPr>
          </w:p>
        </w:tc>
        <w:tc>
          <w:tcPr>
            <w:tcW w:w="337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5.要求行政机关确认或重新出具已获取信息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0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（六）其他处理</w:t>
            </w:r>
          </w:p>
        </w:tc>
        <w:tc>
          <w:tcPr>
            <w:tcW w:w="340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/>
                <w:sz w:val="24"/>
              </w:rPr>
              <w:t>1.申请人无正当理由逾期不补正、行政机关不再处理其政府信息公开申请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0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 w:cs="楷体"/>
                <w:kern w:val="0"/>
                <w:sz w:val="24"/>
              </w:rPr>
            </w:pPr>
          </w:p>
        </w:tc>
        <w:tc>
          <w:tcPr>
            <w:tcW w:w="340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/>
                <w:sz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0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 w:cs="楷体"/>
                <w:kern w:val="0"/>
                <w:sz w:val="24"/>
              </w:rPr>
            </w:pPr>
          </w:p>
        </w:tc>
        <w:tc>
          <w:tcPr>
            <w:tcW w:w="340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/>
                <w:sz w:val="24"/>
              </w:rPr>
              <w:t>3.其他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Calibri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431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hint="eastAsia"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 w:cs="楷体"/>
                <w:kern w:val="0"/>
                <w:sz w:val="24"/>
              </w:rPr>
              <w:t>（七）总计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10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四、结转下年度继续办理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</w:p>
        </w:tc>
      </w:tr>
    </w:tbl>
    <w:p>
      <w:pPr>
        <w:spacing w:line="520" w:lineRule="exact"/>
        <w:ind w:firstLine="636" w:firstLineChars="199"/>
        <w:rPr>
          <w:rFonts w:ascii="Times New Roman" w:hAnsi="Times New Roman" w:eastAsia="黑体" w:cs="宋体"/>
          <w:sz w:val="32"/>
          <w:szCs w:val="32"/>
        </w:rPr>
      </w:pPr>
      <w:r>
        <w:rPr>
          <w:rFonts w:hint="eastAsia" w:ascii="Times New Roman" w:hAnsi="Times New Roman" w:eastAsia="黑体" w:cs="宋体"/>
          <w:sz w:val="32"/>
          <w:szCs w:val="32"/>
        </w:rPr>
        <w:t>四、政府信息公开行政复议、行政诉讼情况</w:t>
      </w:r>
    </w:p>
    <w:p>
      <w:pPr>
        <w:pStyle w:val="7"/>
        <w:widowControl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仿宋_GB2312" w:cs="宋体"/>
          <w:sz w:val="32"/>
          <w:szCs w:val="32"/>
        </w:rPr>
      </w:pPr>
      <w:r>
        <w:rPr>
          <w:rFonts w:hint="eastAsia" w:ascii="Times New Roman" w:hAnsi="Times New Roman" w:eastAsia="仿宋_GB2312" w:cs="宋体"/>
          <w:sz w:val="32"/>
          <w:szCs w:val="32"/>
        </w:rPr>
        <w:t>该部分以表格形式报告。表格如下：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51"/>
        <w:gridCol w:w="836"/>
        <w:gridCol w:w="706"/>
        <w:gridCol w:w="456"/>
        <w:gridCol w:w="706"/>
        <w:gridCol w:w="706"/>
        <w:gridCol w:w="711"/>
        <w:gridCol w:w="789"/>
        <w:gridCol w:w="456"/>
        <w:gridCol w:w="456"/>
        <w:gridCol w:w="527"/>
        <w:gridCol w:w="456"/>
        <w:gridCol w:w="469"/>
        <w:gridCol w:w="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2" w:hRule="atLeast"/>
          <w:jc w:val="center"/>
        </w:trPr>
        <w:tc>
          <w:tcPr>
            <w:tcW w:w="369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行政复议</w:t>
            </w:r>
          </w:p>
        </w:tc>
        <w:tc>
          <w:tcPr>
            <w:tcW w:w="5732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结果维持</w:t>
            </w:r>
          </w:p>
        </w:tc>
        <w:tc>
          <w:tcPr>
            <w:tcW w:w="85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结果纠正</w:t>
            </w:r>
          </w:p>
        </w:tc>
        <w:tc>
          <w:tcPr>
            <w:tcW w:w="83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其他结果</w:t>
            </w:r>
          </w:p>
        </w:tc>
        <w:tc>
          <w:tcPr>
            <w:tcW w:w="70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尚未审结</w:t>
            </w: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总计</w:t>
            </w:r>
          </w:p>
        </w:tc>
        <w:tc>
          <w:tcPr>
            <w:tcW w:w="3368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未经复议直接起诉</w:t>
            </w:r>
          </w:p>
        </w:tc>
        <w:tc>
          <w:tcPr>
            <w:tcW w:w="2364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0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结果维持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结果纠正</w:t>
            </w:r>
          </w:p>
        </w:tc>
        <w:tc>
          <w:tcPr>
            <w:tcW w:w="71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其他结果</w:t>
            </w:r>
          </w:p>
        </w:tc>
        <w:tc>
          <w:tcPr>
            <w:tcW w:w="7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尚未审结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总计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结果维持</w:t>
            </w:r>
          </w:p>
        </w:tc>
        <w:tc>
          <w:tcPr>
            <w:tcW w:w="52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结果纠正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其他结果</w:t>
            </w:r>
          </w:p>
        </w:tc>
        <w:tc>
          <w:tcPr>
            <w:tcW w:w="46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尚未审结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3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89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27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9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一年来，我镇政府信息公开工作取得了一些成绩，但同时也存在一些问题，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干部对政务公开专业知识储备不足，</w:t>
      </w:r>
      <w:r>
        <w:rPr>
          <w:rFonts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条例理解需进一步提高，</w:t>
      </w:r>
      <w:r>
        <w:rPr>
          <w:rFonts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主动公开过程中对公民个人隐私信息保护意识需加强；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信息公开的内容不够充实，部分领域信息公开不够细化。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下一步，我镇将按照政府信息公开的相关要求，继续大力推进政府信息公开工作，主要是做好以下几方面工作：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强化政务公开工作队伍建设，加强对人员培训教育。继续深化乡村振兴、</w:t>
      </w:r>
      <w:r>
        <w:rPr>
          <w:rFonts w:ascii="仿宋_GB2312" w:hAnsi="仿宋_GB2312" w:eastAsia="仿宋_GB2312" w:cs="仿宋_GB2312"/>
          <w:sz w:val="32"/>
          <w:szCs w:val="32"/>
        </w:rPr>
        <w:t>民生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保障等重点领域信息公开，主动、及时、准确公开政府信息，提升基层政务公开水平。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继续完善全镇政务公开工作制度，把增强信息安全，保护公民个人隐私信息作为常态化工作来抓，定期对公示栏信息公开情况进行检查，杜绝违规公示个人信息现象发生。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建立健全公开审查制度，落实“三审三校”工作要求，严格抓好信息发布审核工作，确保公示内容符合规范要求。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2025年，按照&lt;&lt;国务院办公厅关于印发&lt;政府信息公开信息处理费管理办法&gt;的通知&gt;&gt;(国办函〔2020]109号)规定的按件、按量收费标准，本年度没有产生信息公开处理费。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yNjc3NTQ5NjdhNjA3NmFhYzEzZGVlNTdlMTAwZTYifQ=="/>
  </w:docVars>
  <w:rsids>
    <w:rsidRoot w:val="33826971"/>
    <w:rsid w:val="000C7F46"/>
    <w:rsid w:val="002440EB"/>
    <w:rsid w:val="003900B2"/>
    <w:rsid w:val="00401205"/>
    <w:rsid w:val="0045106D"/>
    <w:rsid w:val="004B7A1A"/>
    <w:rsid w:val="005605D3"/>
    <w:rsid w:val="006C4D13"/>
    <w:rsid w:val="00703E7B"/>
    <w:rsid w:val="00751DCA"/>
    <w:rsid w:val="00982738"/>
    <w:rsid w:val="009A1E3B"/>
    <w:rsid w:val="009E2678"/>
    <w:rsid w:val="00D35B85"/>
    <w:rsid w:val="00F21F6A"/>
    <w:rsid w:val="00F521F1"/>
    <w:rsid w:val="00FC0422"/>
    <w:rsid w:val="04A67C96"/>
    <w:rsid w:val="06E171E5"/>
    <w:rsid w:val="13826B5F"/>
    <w:rsid w:val="252F0A8F"/>
    <w:rsid w:val="33826971"/>
    <w:rsid w:val="34B712D1"/>
    <w:rsid w:val="4187704E"/>
    <w:rsid w:val="44555E2E"/>
    <w:rsid w:val="451B6D7A"/>
    <w:rsid w:val="47570F7F"/>
    <w:rsid w:val="48041D31"/>
    <w:rsid w:val="53BA0F73"/>
    <w:rsid w:val="568E72D5"/>
    <w:rsid w:val="58B9661C"/>
    <w:rsid w:val="593E6247"/>
    <w:rsid w:val="5ACD5B68"/>
    <w:rsid w:val="601D5957"/>
    <w:rsid w:val="78225835"/>
    <w:rsid w:val="7BF52014"/>
    <w:rsid w:val="7ED4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  <w:rPr>
      <w:rFonts w:ascii="Times New Roman" w:hAnsi="Times New Roman"/>
      <w:szCs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5</Pages>
  <Words>387</Words>
  <Characters>2209</Characters>
  <Lines>18</Lines>
  <Paragraphs>5</Paragraphs>
  <TotalTime>6</TotalTime>
  <ScaleCrop>false</ScaleCrop>
  <LinksUpToDate>false</LinksUpToDate>
  <CharactersWithSpaces>2591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2024-01-30T07:39:00Z</dcterms:created>
  <dc:creator>Administrator</dc:creator>
  <cp:lastModifiedBy>Administrator</cp:lastModifiedBy>
  <cp:lastPrinted>2025-01-24T03:41:00Z</cp:lastPrinted>
  <dcterms:modified xsi:type="dcterms:W3CDTF">2026-07-24T11:11:19Z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F3AEFA438AF94542A9BDA6C9D5FA51E5</vt:lpwstr>
  </property>
</Properties>
</file>