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2026年支持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种业振兴行动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政策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使用实施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方案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按照《塔城地区支持种业振兴行动政策资金使用实施方案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（2026-2030年）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》工作要求，沙湾市农业农村局结合实际，现制定具体实施方案。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</w:pP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以习近平新时代中国特色社会主义思想为指导，聚焦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保种、育种、繁种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链条，以提升核心种源自主可控能力为目标，以科技创新为驱动，以育种企业主体为核心，以政策扶持为保障，整合产学研资源，优化种业发展环境，培育壮大优势种业企业，助力乡村振兴和农业高质量发展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</w:pP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沙湾市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现代种业发展取得新进展，重点扶持优势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繁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种企业发展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鼓励种业企业整合资源，积极招商引资引进区内外种业领军企业投资兴业，企业竞争能力、供种保障能力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不断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增强，打造具有市场竞争力的优势企业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建设现代化农作物制种基地，种业综合实力进一步得到提升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" w:hAnsi="Nimbus Roman" w:eastAsia="黑体" w:cs="Nimbus Roman"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  <w:t>、工作</w:t>
      </w: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val="en-US" w:eastAsia="zh-CN"/>
        </w:rPr>
        <w:t>举措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（一）实施农作物种业提升工程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聚焦小麦、玉米、棉花、区域特色等农作物，推进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繁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种基地提质增效，完善供种保障体系，提升农作物种业核心竞争力。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Nimbus Roman" w:hAnsi="Nimbus Roman" w:eastAsia="仿宋_GB2312" w:cs="Nimbus Roman"/>
          <w:b/>
          <w:bCs/>
          <w:color w:val="auto"/>
          <w:sz w:val="32"/>
          <w:szCs w:val="32"/>
          <w:highlight w:val="none"/>
          <w:lang w:eastAsia="zh-CN"/>
        </w:rPr>
        <w:t>繁种管理。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培育壮大繁种主体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聚焦推进制种基地建设，对在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沙湾市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范围内实际实施制种生产，制种面积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达0.3万亩的给予3万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元基础奖励，此后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每增加0.1万亩奖励1万元，单个年度奖励最高不超过100万元。鼓励所有符合条件市场主体购置制/育种相关设施设备，支持建设智慧制种基地，对新购置的制/育种设施设备给予购置额15%的一次性补贴，最高不超过200万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Nimbus Roman" w:hAnsi="Nimbus Roman" w:eastAsia="黑体" w:cs="Nimbus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Nimbus Roman" w:hAnsi="Nimbus Roman" w:eastAsia="仿宋_GB2312" w:cs="Nimbus Roman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Nimbus Roman" w:hAnsi="Nimbus Roman" w:eastAsia="仿宋_GB2312" w:cs="Nimbus Roman"/>
          <w:b/>
          <w:bCs/>
          <w:color w:val="auto"/>
          <w:sz w:val="32"/>
          <w:szCs w:val="32"/>
          <w:highlight w:val="none"/>
          <w:lang w:eastAsia="zh-CN"/>
        </w:rPr>
        <w:t>试验管理。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支持试验示范主体。支持所有符合条件试验示范主体。建设50亩以上品种展示示范点，给予每亩500元补贴，单个试验示范点年度最高补贴20万元。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</w:pPr>
      <w:r>
        <w:rPr>
          <w:rFonts w:hint="eastAsia" w:ascii="Nimbus Roman" w:hAnsi="Nimbus Roman" w:eastAsia="黑体" w:cs="Nimbus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  <w:t>、</w:t>
      </w: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  <w:lang w:val="en-US" w:eastAsia="zh-CN"/>
        </w:rPr>
        <w:t>组织</w:t>
      </w:r>
      <w:r>
        <w:rPr>
          <w:rFonts w:hint="default" w:ascii="Nimbus Roman" w:hAnsi="Nimbus Roman" w:eastAsia="黑体" w:cs="Nimbus Roman"/>
          <w:color w:val="auto"/>
          <w:sz w:val="32"/>
          <w:szCs w:val="32"/>
          <w:highlight w:val="none"/>
        </w:rPr>
        <w:t>保障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default" w:ascii="Nimbus Roman" w:hAnsi="Nimbus Roman" w:cs="Nimbus Roman"/>
          <w:color w:val="auto"/>
          <w:highlight w:val="none"/>
        </w:rPr>
      </w:pP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（一）加强组织领导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建立议事协调机制，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农业农村局、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财政局、发改委、市场监督管理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局，各乡镇人民政府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等相关部门，按照职责分工形成合力推进政策措施落实，共同推动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沙湾市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现代种业高质量发展。农业农村局、财政局及相关行业主管部门，负责本辖区项目申报受理、初审、现场核实、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级初验、中期检查，做好资金拨付和辖区内项目日常监管，配合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各部门开展绩效评价和监督检查。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</w:rPr>
      </w:pP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val="en-US" w:eastAsia="zh-CN"/>
        </w:rPr>
        <w:t>加强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合作交流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鼓励种业企业通过各种形式与疆内外优势科研院校联合攻关，加强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繁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种前沿领域研究。加大种业对外开放力度，支持种业企业高质量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引进来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和高水平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走出去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。鼓励种业企业设立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繁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种试验示范基地和营销分支机构。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val="en-US" w:eastAsia="zh-CN"/>
        </w:rPr>
        <w:t>加强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</w:rPr>
        <w:t>宣传引导</w:t>
      </w:r>
      <w:r>
        <w:rPr>
          <w:rFonts w:hint="default" w:ascii="Nimbus Roman" w:hAnsi="Nimbus Roman" w:eastAsia="楷体_GB2312" w:cs="Nimbus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大力开展形式多样的宣传活动，宣传《中华人民共和国种子法》等种业相关法律法规，挖掘和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培育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基地建设典型，营造种业振兴的良好氛围。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" w:hAnsi="Nimbus Roman" w:eastAsia="仿宋_GB2312" w:cs="Nimbus Roman"/>
          <w:b w:val="0"/>
          <w:bCs/>
          <w:color w:val="auto"/>
          <w:sz w:val="32"/>
          <w:szCs w:val="32"/>
          <w:highlight w:val="none"/>
          <w:lang w:val="en-US" w:eastAsia="zh-CN"/>
        </w:rPr>
        <w:t>附件：沙湾市支持种业振兴行动政策申报指南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Nimbus Roman" w:hAnsi="Nimbus Roman" w:eastAsia="仿宋_GB2312" w:cs="Nimbus Roman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jc w:val="right"/>
        <w:textAlignment w:val="auto"/>
        <w:rPr>
          <w:rFonts w:hint="eastAsia" w:ascii="Nimbus Roman" w:hAnsi="Nimbus Roman" w:eastAsia="仿宋_GB2312" w:cs="Nimbus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imbus Roman" w:hAnsi="Nimbus Roman" w:eastAsia="仿宋_GB2312" w:cs="Nimbus Roman"/>
          <w:b w:val="0"/>
          <w:bCs/>
          <w:color w:val="auto"/>
          <w:sz w:val="32"/>
          <w:szCs w:val="32"/>
          <w:highlight w:val="none"/>
          <w:lang w:val="en-US" w:eastAsia="zh-CN"/>
        </w:rPr>
        <w:t>沙湾市农业农村局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2026年6月1日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br w:type="page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right="0" w:rightChars="0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沙湾市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支持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种业振兴行动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政策申报指南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本细则围绕繁种、试验核心环节，明确补贴对象、申报条件、审核流程、资金拨付、监管考核等全流程要求，确保政策可落地、可追溯、可量化。适用范围为在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沙湾市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从事种子繁育、品种试验的企业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社会组织及科研团队。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right="0" w:rightChars="0" w:firstLine="630"/>
        <w:rPr>
          <w:rFonts w:hint="default"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20"/>
        </w:rPr>
        <w:t>、繁种管理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2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20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20"/>
          <w:lang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20"/>
        </w:rPr>
        <w:t>）繁种主体培育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1.制种规模奖励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（1）企业规模奖励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奖励金额：</w:t>
      </w:r>
      <w:r>
        <w:rPr>
          <w:rFonts w:hint="eastAsia" w:ascii="仿宋_GB2312" w:hAnsi="仿宋_GB2312" w:eastAsia="仿宋_GB2312" w:cs="仿宋_GB2312"/>
          <w:sz w:val="32"/>
          <w:szCs w:val="32"/>
        </w:rPr>
        <w:t>制种面积达0.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万亩，奖励3万元；0.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万亩以上部分，每增加0.1万亩，额外奖励1万元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申报材料：</w:t>
      </w:r>
      <w:r>
        <w:rPr>
          <w:rFonts w:hint="eastAsia" w:ascii="仿宋_GB2312" w:hAnsi="仿宋_GB2312" w:eastAsia="仿宋_GB2312" w:cs="仿宋_GB2312"/>
          <w:sz w:val="32"/>
          <w:szCs w:val="32"/>
        </w:rPr>
        <w:t>制种基地租赁合同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+</w:t>
      </w:r>
      <w:r>
        <w:rPr>
          <w:rFonts w:hint="eastAsia" w:ascii="仿宋_GB2312" w:hAnsi="仿宋_GB2312" w:eastAsia="仿宋_GB2312" w:cs="仿宋_GB2312"/>
          <w:sz w:val="32"/>
          <w:szCs w:val="32"/>
        </w:rPr>
        <w:t>农户签字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+所在村队、乡镇公示并出具认定材料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核查：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实地丈量方式核查+地区农业农村局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按随机抽查方式核查</w:t>
      </w:r>
      <w:r>
        <w:rPr>
          <w:rFonts w:hint="eastAsia" w:ascii="仿宋_GB2312" w:hAnsi="仿宋_GB2312" w:eastAsia="仿宋_GB2312" w:cs="仿宋_GB2312"/>
          <w:sz w:val="32"/>
          <w:szCs w:val="32"/>
        </w:rPr>
        <w:t>（抽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</w:rPr>
        <w:t>比例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%），连片面积以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为单位核算，跨县面积不重复计算。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申报与拨付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：每年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并提交相关材料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对申报材料进行初审并出具审核意见会同材料报地区农业农村局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地区农业农村局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专家评审→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政府网站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公示→拨付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2.设施设备补贴（购置额15%，最高200万元）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（1）补贴范围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制/育种设施设备：种子播种机、收割机、烘干机、精选机、包衣机、智能监测设备（无人机、土壤墒情监测仪）、实验室仪器（种子品质检测仪）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等设备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）申报条件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设备为2026年1月1日后新购置（二手设备不享受补贴）；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设备已投入使用，且与企业制/育种规模相匹配（例如：烘干机日处理能力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50吨）；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单个企业每年仅可申报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次，累计补贴不超过200万元。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设备需纳入企业固定资产中且在塔城地区使用期限≥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5年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同一主体已享受国家、自治区同类奖励政策的，不得重复享受地区级政策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（3）补贴流程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企业提交《设施设备补贴申请表》+购置发票+设备验收报告+固定资产登记证明→农业农村局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对申报材料进行初审并出具审核意见会同材料报地区农业农村局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→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地区农业农村局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专家评审→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政府网站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公示→拨付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right="0" w:rightChars="0" w:firstLine="630"/>
        <w:textAlignment w:val="auto"/>
        <w:rPr>
          <w:rFonts w:hint="default"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20"/>
        </w:rPr>
        <w:t>、试验管理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2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20"/>
        </w:rPr>
        <w:t>（一）试验示范主体支持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1.承试主体补贴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补贴对象：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承担国家、自治区及塔城地区品种试验的企业、科研院所、农民专业合作社；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具有独立法人资格，有固定的试验田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50亩，配备专业的试验技术人员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2人，近3年无试验数据造假记录；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申报与拨付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每年2月提交补贴申请+试验任务委托书+试验田证明→农业农村局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对申报材料进行初审并出具审核意见会同材料报地区农业农村局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地区农业农村局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专家评审→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政府网站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公示→拨付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2.品种展示示范点补贴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（1）申报条件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示范点面积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50亩（连片种植），展示品种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15个；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示范点配备标识牌（标注品种名称、审定编号、特征特性）、技术说明牌，田间管理规范；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5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每年组织现场观摩会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2次（邀请种植大户、种业企业参加），提交观摩会照片、签到表。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（2）补贴计算与拨付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补贴金额=示范点面积×500元/亩（单个示范点最高20万元，例如：400亩示范点补贴20万元）；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申报与拨付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提交《示范点补贴申请表》+面积证明+品种展示清单+观摩会资料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对申报材料进行初审并出具审核意见会同材料报地区农业农村局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地区农业农村局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专家评审→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政府网站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公示→拨付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right="0" w:rightChars="0" w:firstLine="630"/>
        <w:textAlignment w:val="auto"/>
        <w:rPr>
          <w:rFonts w:hint="default"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20"/>
        </w:rPr>
        <w:t>、政策实施保障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2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20"/>
        </w:rPr>
        <w:t>（一）资金管理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20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塔城地区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农畜牧业高质量发展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（塔城地区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种业振兴行动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），由财政局统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筹，实行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专款专用、专项核算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；补贴资金通过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国库集中支付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方式拨付，严禁截留、挤占、挪用；由审计局开展专项资金审计，对违规使用资金的单位，追回资金并依法依规处理。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right="0" w:rightChars="0" w:firstLine="643" w:firstLineChars="200"/>
        <w:rPr>
          <w:rFonts w:hint="default" w:ascii="Times New Roman" w:hAnsi="Times New Roman" w:eastAsia="楷体_GB2312" w:cs="Times New Roman"/>
          <w:b/>
          <w:bCs/>
          <w:sz w:val="32"/>
          <w:szCs w:val="2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20"/>
        </w:rPr>
        <w:t>部门协同机制</w:t>
      </w:r>
    </w:p>
    <w:p>
      <w:pPr>
        <w:pStyle w:val="2"/>
        <w:numPr>
          <w:ilvl w:val="0"/>
          <w:numId w:val="0"/>
        </w:numPr>
        <w:rPr>
          <w:rFonts w:hint="default"/>
        </w:rPr>
      </w:pPr>
    </w:p>
    <w:tbl>
      <w:tblPr>
        <w:tblStyle w:val="8"/>
        <w:tblW w:w="9919" w:type="dxa"/>
        <w:tblInd w:w="-2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78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ind w:left="0" w:right="0" w:right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20" w:lineRule="exact"/>
              <w:ind w:left="0" w:right="0" w:right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职责分工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right="0" w:right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农业农村局 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right="0" w:right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牵头政策实施、申报审核、实地核查、专家评审、资金测算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right="0" w:right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财政局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right="0" w:right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负责专项资金预算安排、资金拨付、监管资金使用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right="0" w:right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各乡镇人民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right="0" w:right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负责本辖区政策落实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right="0" w:rightChars="0" w:firstLine="643" w:firstLineChars="200"/>
        <w:rPr>
          <w:rFonts w:hint="default" w:ascii="Times New Roman" w:hAnsi="Times New Roman" w:eastAsia="楷体_GB2312" w:cs="Times New Roman"/>
          <w:b/>
          <w:bCs/>
          <w:sz w:val="32"/>
          <w:szCs w:val="2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20"/>
        </w:rPr>
        <w:t>（三）考核与奖惩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1.对政策落实到位、成效显著的单位，给予通报表扬；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.对申报单位弄虚作假、骗取补贴资金的，取消申报资格，3年内不得享受任何种业扶持政策，并依法追究法律责任。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（四）附则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1.本细则自2026年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日起施行，有效期5年；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2.若国家、自治区出台新的种业扶持政策，本细则相应调整；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3.以上政策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同一主体已享受国家、自治区同类奖励政策的，不得重复享受地区级政策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 w:rightChars="0"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.本细则由农业农村局负责解释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ECF55F"/>
    <w:multiLevelType w:val="singleLevel"/>
    <w:tmpl w:val="BBECF55F"/>
    <w:lvl w:ilvl="0" w:tentative="0">
      <w:start w:val="1"/>
      <w:numFmt w:val="decimalEnclosedCircleChinese"/>
      <w:suff w:val="nothing"/>
      <w:lvlText w:val="%1"/>
      <w:lvlJc w:val="left"/>
      <w:pPr>
        <w:ind w:left="0" w:firstLine="850"/>
      </w:pPr>
      <w:rPr>
        <w:rFonts w:hint="eastAsia"/>
      </w:rPr>
    </w:lvl>
  </w:abstractNum>
  <w:abstractNum w:abstractNumId="1">
    <w:nsid w:val="FBE32094"/>
    <w:multiLevelType w:val="singleLevel"/>
    <w:tmpl w:val="FBE32094"/>
    <w:lvl w:ilvl="0" w:tentative="0">
      <w:start w:val="1"/>
      <w:numFmt w:val="decimalEnclosedCircleChinese"/>
      <w:suff w:val="nothing"/>
      <w:lvlText w:val="%1"/>
      <w:lvlJc w:val="left"/>
      <w:pPr>
        <w:ind w:left="-10" w:firstLine="850"/>
      </w:pPr>
      <w:rPr>
        <w:rFonts w:hint="eastAsia"/>
      </w:rPr>
    </w:lvl>
  </w:abstractNum>
  <w:abstractNum w:abstractNumId="2">
    <w:nsid w:val="30D3F611"/>
    <w:multiLevelType w:val="singleLevel"/>
    <w:tmpl w:val="30D3F61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8F47128"/>
    <w:multiLevelType w:val="multilevel"/>
    <w:tmpl w:val="78F47128"/>
    <w:lvl w:ilvl="0" w:tentative="0">
      <w:start w:val="1"/>
      <w:numFmt w:val="decimal"/>
      <w:lvlText w:val="%1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仿宋"/>
      </w:rPr>
    </w:lvl>
    <w:lvl w:ilvl="1" w:tentative="0">
      <w:start w:val="1"/>
      <w:numFmt w:val="decimal"/>
      <w:pStyle w:val="3"/>
      <w:lvlText w:val="%1.%2"/>
      <w:lvlJc w:val="left"/>
      <w:pPr>
        <w:ind w:left="0" w:firstLine="0"/>
      </w:pPr>
      <w:rPr>
        <w:rFonts w:hint="default" w:ascii="宋体" w:hAnsi="宋体" w:eastAsia="宋体" w:cs="仿宋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default" w:ascii="宋体" w:hAnsi="宋体" w:eastAsia="宋体" w:cs="仿宋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default" w:ascii="宋体" w:hAnsi="宋体" w:eastAsia="宋体" w:cs="仿宋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default" w:ascii="宋体" w:hAnsi="宋体" w:eastAsia="宋体" w:cs="仿宋"/>
      </w:rPr>
    </w:lvl>
    <w:lvl w:ilvl="5" w:tentative="0">
      <w:start w:val="1"/>
      <w:numFmt w:val="decimal"/>
      <w:lvlText w:val="%1.%2.%3.%4.%5.%6"/>
      <w:lvlJc w:val="left"/>
      <w:pPr>
        <w:ind w:left="1151" w:hanging="1151"/>
      </w:pPr>
      <w:rPr>
        <w:rFonts w:hint="default" w:ascii="宋体" w:hAnsi="宋体" w:eastAsia="宋体" w:cs="仿宋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F1008"/>
    <w:rsid w:val="1E3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snapToGrid w:val="0"/>
      <w:spacing w:beforeLines="0" w:beforeAutospacing="0" w:afterLines="0" w:afterAutospacing="0" w:line="360" w:lineRule="auto"/>
      <w:ind w:firstLine="0" w:firstLineChars="0"/>
      <w:jc w:val="left"/>
      <w:outlineLvl w:val="1"/>
    </w:pPr>
    <w:rPr>
      <w:rFonts w:ascii="Times New Roman" w:hAnsi="Times New Roman" w:eastAsia="黑体"/>
      <w:sz w:val="32"/>
    </w:rPr>
  </w:style>
  <w:style w:type="paragraph" w:styleId="2">
    <w:name w:val="heading 3"/>
    <w:basedOn w:val="1"/>
    <w:next w:val="1"/>
    <w:unhideWhenUsed/>
    <w:qFormat/>
    <w:uiPriority w:val="99"/>
    <w:pPr>
      <w:keepNext/>
      <w:keepLines/>
      <w:spacing w:before="260" w:beforeLines="0" w:after="260" w:afterLines="0" w:line="416" w:lineRule="auto"/>
      <w:outlineLvl w:val="2"/>
    </w:pPr>
    <w:rPr>
      <w:rFonts w:hint="default"/>
      <w:b/>
      <w:sz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 w:eastAsia="宋体"/>
      <w:sz w:val="24"/>
      <w:szCs w:val="30"/>
    </w:rPr>
  </w:style>
  <w:style w:type="paragraph" w:styleId="6">
    <w:name w:val="Plain Text"/>
    <w:basedOn w:val="1"/>
    <w:qFormat/>
    <w:uiPriority w:val="0"/>
    <w:rPr>
      <w:rFonts w:ascii="宋体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普通(网站) Char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2026-07-21T10:44:00Z</dcterms:created>
  <dc:creator>Administrator</dc:creator>
  <cp:lastModifiedBy>Administrator</cp:lastModifiedBy>
  <cp:lastPrinted>2026-07-21T10:56:42Z</cp:lastPrinted>
  <dcterms:modified xsi:type="dcterms:W3CDTF">2026-07-21T11:06:21Z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E020E9359096491E838826A71FE8FB58</vt:lpwstr>
  </property>
</Properties>
</file>