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_GBK" w:hAnsi="方正小标宋_GBK" w:eastAsia="方正小标宋_GBK"/>
          <w:sz w:val="44"/>
          <w:lang w:eastAsia="zh-CN"/>
        </w:rPr>
      </w:pPr>
      <w:r>
        <w:rPr>
          <w:rFonts w:hint="eastAsia" w:ascii="方正小标宋_GBK" w:hAnsi="方正小标宋_GBK" w:eastAsia="方正小标宋_GBK"/>
          <w:sz w:val="44"/>
          <w:lang w:eastAsia="zh-CN"/>
        </w:rPr>
        <w:t>沙湾市药品安全突发事件应急预案</w:t>
      </w:r>
    </w:p>
    <w:p>
      <w:pPr>
        <w:pStyle w:val="2"/>
        <w:rPr>
          <w:rFonts w:hint="eastAsia"/>
        </w:rPr>
      </w:pP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rPr>
        <w:t>1　总则</w:t>
      </w: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rPr>
        <w:t xml:space="preserve">1.1　编制目的 </w:t>
      </w:r>
    </w:p>
    <w:p>
      <w:pPr>
        <w:spacing w:line="600" w:lineRule="exact"/>
        <w:ind w:firstLine="627" w:firstLineChars="196"/>
        <w:rPr>
          <w:rFonts w:hint="eastAsia" w:ascii="宋体" w:hAnsi="宋体" w:eastAsia="宋体" w:cs="宋体"/>
          <w:color w:val="auto"/>
          <w:sz w:val="32"/>
          <w:szCs w:val="32"/>
        </w:rPr>
      </w:pPr>
      <w:r>
        <w:rPr>
          <w:rFonts w:hint="eastAsia" w:ascii="宋体" w:hAnsi="宋体" w:eastAsia="宋体" w:cs="宋体"/>
          <w:b w:val="0"/>
          <w:bCs/>
          <w:sz w:val="32"/>
          <w:szCs w:val="32"/>
          <w:lang w:val="en-US" w:eastAsia="zh-CN"/>
        </w:rPr>
        <w:t>为贯彻落实习近平新时代中国特色社会主义思想，坚持总体国家安全观，适应新形势下突发事件应急管理体制，建立健全药品（含医疗器械、化妆品，下同）安全突发事件应急处置运行机制，有效预防和积极应对药品安全突发事件，最大限度降低药品安全突发事件的危害和影响，切实保障公众健康和生命财产安全</w:t>
      </w:r>
      <w:r>
        <w:rPr>
          <w:rFonts w:hint="eastAsia" w:ascii="宋体" w:hAnsi="宋体" w:eastAsia="宋体" w:cs="宋体"/>
          <w:color w:val="auto"/>
          <w:sz w:val="32"/>
          <w:szCs w:val="32"/>
          <w:lang w:eastAsia="zh-CN"/>
        </w:rPr>
        <w:t>。</w:t>
      </w:r>
    </w:p>
    <w:p>
      <w:pPr>
        <w:spacing w:line="600" w:lineRule="exact"/>
        <w:ind w:firstLine="643" w:firstLineChars="200"/>
        <w:rPr>
          <w:rFonts w:hint="eastAsia" w:ascii="宋体" w:hAnsi="宋体" w:eastAsia="宋体" w:cs="宋体"/>
          <w:b/>
          <w:sz w:val="32"/>
          <w:szCs w:val="32"/>
        </w:rPr>
      </w:pPr>
      <w:r>
        <w:rPr>
          <w:rFonts w:hint="eastAsia" w:ascii="宋体" w:hAnsi="宋体" w:eastAsia="宋体" w:cs="宋体"/>
          <w:b/>
          <w:sz w:val="32"/>
          <w:szCs w:val="32"/>
        </w:rPr>
        <w:t>1.2　编制依据</w:t>
      </w:r>
    </w:p>
    <w:p>
      <w:pPr>
        <w:spacing w:line="600" w:lineRule="exact"/>
        <w:ind w:firstLine="627" w:firstLineChars="196"/>
        <w:rPr>
          <w:rFonts w:hint="eastAsia" w:ascii="宋体" w:hAnsi="宋体" w:eastAsia="宋体" w:cs="宋体"/>
          <w:sz w:val="32"/>
          <w:szCs w:val="32"/>
        </w:rPr>
      </w:pPr>
      <w:r>
        <w:rPr>
          <w:rFonts w:hint="eastAsia" w:ascii="宋体" w:hAnsi="宋体" w:eastAsia="宋体" w:cs="宋体"/>
          <w:sz w:val="32"/>
          <w:szCs w:val="32"/>
        </w:rPr>
        <w:t>根据</w:t>
      </w:r>
      <w:r>
        <w:rPr>
          <w:rFonts w:hint="eastAsia" w:ascii="宋体" w:hAnsi="宋体" w:eastAsia="宋体" w:cs="宋体"/>
          <w:sz w:val="32"/>
          <w:szCs w:val="32"/>
          <w:lang w:eastAsia="zh-CN"/>
        </w:rPr>
        <w:t>《中华人民共和国突发事件应对法》</w:t>
      </w:r>
      <w:r>
        <w:rPr>
          <w:rFonts w:hint="eastAsia" w:ascii="宋体" w:hAnsi="宋体" w:eastAsia="宋体" w:cs="宋体"/>
          <w:sz w:val="32"/>
          <w:szCs w:val="32"/>
        </w:rPr>
        <w:t>《中华人民共和国药品管理法》《</w:t>
      </w:r>
      <w:r>
        <w:rPr>
          <w:rFonts w:hint="eastAsia" w:ascii="宋体" w:hAnsi="宋体" w:eastAsia="宋体" w:cs="宋体"/>
          <w:sz w:val="32"/>
          <w:szCs w:val="32"/>
          <w:lang w:eastAsia="zh-CN"/>
        </w:rPr>
        <w:t>突发事件应急预案管理办法</w:t>
      </w:r>
      <w:r>
        <w:rPr>
          <w:rFonts w:hint="eastAsia" w:ascii="宋体" w:hAnsi="宋体" w:eastAsia="宋体" w:cs="宋体"/>
          <w:sz w:val="32"/>
          <w:szCs w:val="32"/>
        </w:rPr>
        <w:t>》</w:t>
      </w:r>
      <w:r>
        <w:rPr>
          <w:rFonts w:hint="eastAsia" w:ascii="宋体" w:hAnsi="宋体" w:eastAsia="宋体" w:cs="宋体"/>
          <w:sz w:val="32"/>
          <w:szCs w:val="32"/>
          <w:lang w:eastAsia="zh-CN"/>
        </w:rPr>
        <w:t>《市场监管突发事件应急管理办法》</w:t>
      </w:r>
      <w:r>
        <w:rPr>
          <w:rFonts w:hint="eastAsia" w:ascii="宋体" w:hAnsi="宋体" w:eastAsia="宋体" w:cs="宋体"/>
          <w:sz w:val="32"/>
          <w:szCs w:val="32"/>
        </w:rPr>
        <w:t>《</w:t>
      </w:r>
      <w:r>
        <w:rPr>
          <w:rFonts w:hint="eastAsia" w:ascii="宋体" w:hAnsi="宋体" w:eastAsia="宋体" w:cs="宋体"/>
          <w:sz w:val="32"/>
          <w:szCs w:val="32"/>
          <w:lang w:eastAsia="zh-CN"/>
        </w:rPr>
        <w:t>新疆维吾尔自治区突发事件应急预案管理办法</w:t>
      </w:r>
      <w:r>
        <w:rPr>
          <w:rFonts w:hint="eastAsia" w:ascii="宋体" w:hAnsi="宋体" w:eastAsia="宋体" w:cs="宋体"/>
          <w:sz w:val="32"/>
          <w:szCs w:val="32"/>
        </w:rPr>
        <w:t>》</w:t>
      </w:r>
      <w:r>
        <w:rPr>
          <w:rFonts w:hint="eastAsia" w:ascii="宋体" w:hAnsi="宋体" w:eastAsia="宋体" w:cs="宋体"/>
          <w:sz w:val="32"/>
          <w:szCs w:val="32"/>
          <w:lang w:eastAsia="zh-CN"/>
        </w:rPr>
        <w:t>等有关法律法规和政策规定，</w:t>
      </w:r>
      <w:r>
        <w:rPr>
          <w:rFonts w:hint="eastAsia" w:ascii="宋体" w:hAnsi="宋体" w:eastAsia="宋体" w:cs="宋体"/>
          <w:sz w:val="32"/>
          <w:szCs w:val="32"/>
        </w:rPr>
        <w:t>结合</w:t>
      </w:r>
      <w:r>
        <w:rPr>
          <w:rFonts w:hint="eastAsia" w:ascii="宋体" w:hAnsi="宋体" w:eastAsia="宋体" w:cs="宋体"/>
          <w:sz w:val="32"/>
          <w:szCs w:val="32"/>
          <w:lang w:eastAsia="zh-CN"/>
        </w:rPr>
        <w:t>沙湾市</w:t>
      </w:r>
      <w:r>
        <w:rPr>
          <w:rFonts w:hint="eastAsia" w:ascii="宋体" w:hAnsi="宋体" w:eastAsia="宋体" w:cs="宋体"/>
          <w:sz w:val="32"/>
          <w:szCs w:val="32"/>
        </w:rPr>
        <w:t>实际，制定本预案。</w:t>
      </w: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rPr>
        <w:t>1.3　适用范围</w:t>
      </w:r>
    </w:p>
    <w:p>
      <w:pPr>
        <w:spacing w:line="600" w:lineRule="exact"/>
        <w:ind w:firstLine="627" w:firstLineChars="196"/>
        <w:rPr>
          <w:rFonts w:hint="eastAsia" w:ascii="宋体" w:hAnsi="宋体" w:eastAsia="宋体" w:cs="宋体"/>
          <w:sz w:val="32"/>
          <w:szCs w:val="32"/>
        </w:rPr>
      </w:pPr>
      <w:r>
        <w:rPr>
          <w:rFonts w:hint="eastAsia" w:ascii="宋体" w:hAnsi="宋体" w:eastAsia="宋体" w:cs="宋体"/>
          <w:sz w:val="32"/>
          <w:szCs w:val="32"/>
        </w:rPr>
        <w:t>本预案适用于</w:t>
      </w:r>
      <w:r>
        <w:rPr>
          <w:rFonts w:hint="eastAsia" w:ascii="宋体" w:hAnsi="宋体" w:eastAsia="宋体" w:cs="宋体"/>
          <w:sz w:val="32"/>
          <w:szCs w:val="32"/>
          <w:lang w:eastAsia="zh-CN"/>
        </w:rPr>
        <w:t>沙湾市行政区域内的药品安全突</w:t>
      </w:r>
      <w:r>
        <w:rPr>
          <w:rFonts w:hint="eastAsia" w:ascii="宋体" w:hAnsi="宋体" w:eastAsia="宋体" w:cs="宋体"/>
          <w:sz w:val="32"/>
          <w:szCs w:val="32"/>
        </w:rPr>
        <w:t>发</w:t>
      </w:r>
      <w:r>
        <w:rPr>
          <w:rFonts w:hint="eastAsia" w:ascii="宋体" w:hAnsi="宋体" w:eastAsia="宋体" w:cs="宋体"/>
          <w:sz w:val="32"/>
          <w:szCs w:val="32"/>
          <w:lang w:eastAsia="zh-CN"/>
        </w:rPr>
        <w:t>事件应对处置工作。</w:t>
      </w: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rPr>
        <w:t>1.4　工作原则</w:t>
      </w:r>
    </w:p>
    <w:p>
      <w:pPr>
        <w:spacing w:line="600" w:lineRule="exact"/>
        <w:ind w:firstLine="627" w:firstLineChars="196"/>
        <w:rPr>
          <w:rFonts w:hint="eastAsia" w:ascii="宋体" w:hAnsi="宋体" w:eastAsia="宋体" w:cs="宋体"/>
          <w:sz w:val="32"/>
          <w:szCs w:val="32"/>
        </w:rPr>
      </w:pPr>
      <w:r>
        <w:rPr>
          <w:rFonts w:hint="eastAsia" w:ascii="宋体" w:hAnsi="宋体" w:eastAsia="宋体" w:cs="宋体"/>
          <w:sz w:val="32"/>
          <w:szCs w:val="32"/>
          <w:lang w:eastAsia="zh-CN"/>
        </w:rPr>
        <w:t>药品安全关系到广大人民群众身体健康和生命财产安全。是公众最关心的利益问题，应当遵循预防为主，坚持“以人为本、减少危害；统一领导、综合协调；属地管理、分级负责；快速反应、有效控制；科学评估、依法处置；强化准备、全员防范”的工作原则。</w:t>
      </w: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rPr>
        <w:t>1.5事件分级</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为有效处置药品安全突发事件，依据可能造成的危害程度、波及范围、影响大小等情况，由高到低分为四级。即：特别重大药品安全突发事件（Ⅰ级）、重大药品安全突发事件（Ⅱ级）、较大药品安全突发事件（Ⅲ级）和一般药品安全突发事件（Ⅳ级）。 </w:t>
      </w:r>
    </w:p>
    <w:p>
      <w:pPr>
        <w:spacing w:line="600" w:lineRule="exact"/>
        <w:ind w:firstLine="630" w:firstLineChars="196"/>
        <w:rPr>
          <w:rFonts w:hint="eastAsia" w:ascii="宋体" w:hAnsi="宋体" w:eastAsia="宋体" w:cs="宋体"/>
          <w:sz w:val="32"/>
          <w:szCs w:val="32"/>
          <w:lang w:eastAsia="zh-CN"/>
        </w:rPr>
      </w:pPr>
      <w:r>
        <w:rPr>
          <w:rFonts w:hint="eastAsia" w:ascii="宋体" w:hAnsi="宋体" w:eastAsia="宋体" w:cs="宋体"/>
          <w:b/>
          <w:bCs/>
          <w:sz w:val="32"/>
          <w:szCs w:val="32"/>
          <w:lang w:val="en-US" w:eastAsia="zh-CN"/>
        </w:rPr>
        <w:t>（一）特别重大药品安全突发事件（Ⅰ级）</w:t>
      </w:r>
      <w:r>
        <w:rPr>
          <w:rFonts w:hint="eastAsia" w:ascii="宋体" w:hAnsi="宋体" w:eastAsia="宋体" w:cs="宋体"/>
          <w:sz w:val="32"/>
          <w:szCs w:val="32"/>
          <w:lang w:val="en-US" w:eastAsia="zh-CN"/>
        </w:rPr>
        <w:t xml:space="preserve">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出现下列情形之一的，属于Ⅰ级事件：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（1）在相对集中的时间和（或）区域内，批号相对集中的同一药品引起临床表现相似且罕见或非预期的不良事件 </w:t>
      </w:r>
      <w:r>
        <w:rPr>
          <w:rFonts w:hint="default" w:ascii="宋体" w:hAnsi="宋体" w:eastAsia="宋体" w:cs="宋体"/>
          <w:sz w:val="32"/>
          <w:szCs w:val="32"/>
          <w:lang w:val="en-US" w:eastAsia="zh-CN"/>
        </w:rPr>
        <w:t xml:space="preserve">50 </w:t>
      </w:r>
      <w:r>
        <w:rPr>
          <w:rFonts w:hint="eastAsia" w:ascii="宋体" w:hAnsi="宋体" w:eastAsia="宋体" w:cs="宋体"/>
          <w:sz w:val="32"/>
          <w:szCs w:val="32"/>
          <w:lang w:val="en-US" w:eastAsia="zh-CN"/>
        </w:rPr>
        <w:t>人（含）以上；或者可能引起对人体造成永久性伤残、对器官功能造成永久性损伤或危及生命（以下简称特别严重不良事件）</w:t>
      </w:r>
      <w:r>
        <w:rPr>
          <w:rFonts w:hint="default" w:ascii="宋体" w:hAnsi="宋体" w:eastAsia="宋体" w:cs="宋体"/>
          <w:sz w:val="32"/>
          <w:szCs w:val="32"/>
          <w:lang w:val="en-US" w:eastAsia="zh-CN"/>
        </w:rPr>
        <w:t xml:space="preserve">10 </w:t>
      </w:r>
      <w:r>
        <w:rPr>
          <w:rFonts w:hint="eastAsia" w:ascii="宋体" w:hAnsi="宋体" w:eastAsia="宋体" w:cs="宋体"/>
          <w:sz w:val="32"/>
          <w:szCs w:val="32"/>
          <w:lang w:val="en-US" w:eastAsia="zh-CN"/>
        </w:rPr>
        <w:t xml:space="preserve">人（含）以上；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2</w:t>
      </w:r>
      <w:r>
        <w:rPr>
          <w:rFonts w:hint="eastAsia" w:ascii="宋体" w:hAnsi="宋体" w:eastAsia="宋体" w:cs="宋体"/>
          <w:sz w:val="32"/>
          <w:szCs w:val="32"/>
          <w:lang w:val="en-US" w:eastAsia="zh-CN"/>
        </w:rPr>
        <w:t xml:space="preserve">）同一批号药品短期内引起 </w:t>
      </w:r>
      <w:r>
        <w:rPr>
          <w:rFonts w:hint="default" w:ascii="宋体" w:hAnsi="宋体" w:eastAsia="宋体" w:cs="宋体"/>
          <w:sz w:val="32"/>
          <w:szCs w:val="32"/>
          <w:lang w:val="en-US" w:eastAsia="zh-CN"/>
        </w:rPr>
        <w:t xml:space="preserve">5 </w:t>
      </w:r>
      <w:r>
        <w:rPr>
          <w:rFonts w:hint="eastAsia" w:ascii="宋体" w:hAnsi="宋体" w:eastAsia="宋体" w:cs="宋体"/>
          <w:sz w:val="32"/>
          <w:szCs w:val="32"/>
          <w:lang w:val="en-US" w:eastAsia="zh-CN"/>
        </w:rPr>
        <w:t xml:space="preserve">例（含）以上死亡病例；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3</w:t>
      </w:r>
      <w:r>
        <w:rPr>
          <w:rFonts w:hint="eastAsia" w:ascii="宋体" w:hAnsi="宋体" w:eastAsia="宋体" w:cs="宋体"/>
          <w:sz w:val="32"/>
          <w:szCs w:val="32"/>
          <w:lang w:val="en-US" w:eastAsia="zh-CN"/>
        </w:rPr>
        <w:t xml:space="preserve">）短期内自治区与 </w:t>
      </w:r>
      <w:r>
        <w:rPr>
          <w:rFonts w:hint="default" w:ascii="宋体" w:hAnsi="宋体" w:eastAsia="宋体" w:cs="宋体"/>
          <w:sz w:val="32"/>
          <w:szCs w:val="32"/>
          <w:lang w:val="en-US" w:eastAsia="zh-CN"/>
        </w:rPr>
        <w:t xml:space="preserve">1 </w:t>
      </w:r>
      <w:r>
        <w:rPr>
          <w:rFonts w:hint="eastAsia" w:ascii="宋体" w:hAnsi="宋体" w:eastAsia="宋体" w:cs="宋体"/>
          <w:sz w:val="32"/>
          <w:szCs w:val="32"/>
          <w:lang w:val="en-US" w:eastAsia="zh-CN"/>
        </w:rPr>
        <w:t>个以上省（区、市）因同一药品发生</w:t>
      </w:r>
      <w:r>
        <w:rPr>
          <w:rFonts w:hint="default" w:ascii="宋体" w:hAnsi="宋体" w:eastAsia="宋体" w:cs="宋体"/>
          <w:sz w:val="32"/>
          <w:szCs w:val="32"/>
          <w:lang w:val="en-US" w:eastAsia="zh-CN"/>
        </w:rPr>
        <w:t>Ⅱ</w:t>
      </w:r>
      <w:r>
        <w:rPr>
          <w:rFonts w:hint="eastAsia" w:ascii="宋体" w:hAnsi="宋体" w:eastAsia="宋体" w:cs="宋体"/>
          <w:sz w:val="32"/>
          <w:szCs w:val="32"/>
          <w:lang w:val="en-US" w:eastAsia="zh-CN"/>
        </w:rPr>
        <w:t xml:space="preserve">级药品安全突发事件；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4</w:t>
      </w:r>
      <w:r>
        <w:rPr>
          <w:rFonts w:hint="eastAsia" w:ascii="宋体" w:hAnsi="宋体" w:eastAsia="宋体" w:cs="宋体"/>
          <w:sz w:val="32"/>
          <w:szCs w:val="32"/>
          <w:lang w:val="en-US" w:eastAsia="zh-CN"/>
        </w:rPr>
        <w:t xml:space="preserve">）其他危害特别严重的药品安全突发事件。 </w:t>
      </w:r>
    </w:p>
    <w:p>
      <w:pPr>
        <w:spacing w:line="600" w:lineRule="exact"/>
        <w:ind w:firstLine="630" w:firstLineChars="196"/>
        <w:rPr>
          <w:rFonts w:hint="eastAsia" w:ascii="宋体" w:hAnsi="宋体" w:eastAsia="宋体" w:cs="宋体"/>
          <w:sz w:val="32"/>
          <w:szCs w:val="32"/>
          <w:lang w:eastAsia="zh-CN"/>
        </w:rPr>
      </w:pPr>
      <w:r>
        <w:rPr>
          <w:rFonts w:hint="eastAsia" w:ascii="宋体" w:hAnsi="宋体" w:eastAsia="宋体" w:cs="宋体"/>
          <w:b/>
          <w:bCs/>
          <w:sz w:val="32"/>
          <w:szCs w:val="32"/>
          <w:lang w:val="en-US" w:eastAsia="zh-CN"/>
        </w:rPr>
        <w:t>（二）重大药品安全突发事件（Ⅱ级）</w:t>
      </w:r>
      <w:r>
        <w:rPr>
          <w:rFonts w:hint="eastAsia" w:ascii="宋体" w:hAnsi="宋体" w:eastAsia="宋体" w:cs="宋体"/>
          <w:sz w:val="32"/>
          <w:szCs w:val="32"/>
          <w:lang w:val="en-US" w:eastAsia="zh-CN"/>
        </w:rPr>
        <w:t xml:space="preserve">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出现下列情形之一的，属于</w:t>
      </w:r>
      <w:r>
        <w:rPr>
          <w:rFonts w:hint="default" w:ascii="宋体" w:hAnsi="宋体" w:eastAsia="宋体" w:cs="宋体"/>
          <w:sz w:val="32"/>
          <w:szCs w:val="32"/>
          <w:lang w:val="en-US" w:eastAsia="zh-CN"/>
        </w:rPr>
        <w:t>Ⅱ</w:t>
      </w:r>
      <w:r>
        <w:rPr>
          <w:rFonts w:hint="eastAsia" w:ascii="宋体" w:hAnsi="宋体" w:eastAsia="宋体" w:cs="宋体"/>
          <w:sz w:val="32"/>
          <w:szCs w:val="32"/>
          <w:lang w:val="en-US" w:eastAsia="zh-CN"/>
        </w:rPr>
        <w:t xml:space="preserve">级事件：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1</w:t>
      </w:r>
      <w:r>
        <w:rPr>
          <w:rFonts w:hint="eastAsia" w:ascii="宋体" w:hAnsi="宋体" w:eastAsia="宋体" w:cs="宋体"/>
          <w:sz w:val="32"/>
          <w:szCs w:val="32"/>
          <w:lang w:val="en-US" w:eastAsia="zh-CN"/>
        </w:rPr>
        <w:t xml:space="preserve">）在相对集中的时间和（或）区域内，批号相对集中的同一药品引起临床表现相似且罕见或非预期的不良事件 </w:t>
      </w:r>
      <w:r>
        <w:rPr>
          <w:rFonts w:hint="default" w:ascii="宋体" w:hAnsi="宋体" w:eastAsia="宋体" w:cs="宋体"/>
          <w:sz w:val="32"/>
          <w:szCs w:val="32"/>
          <w:lang w:val="en-US" w:eastAsia="zh-CN"/>
        </w:rPr>
        <w:t xml:space="preserve">30 </w:t>
      </w:r>
      <w:r>
        <w:rPr>
          <w:rFonts w:hint="eastAsia" w:ascii="宋体" w:hAnsi="宋体" w:eastAsia="宋体" w:cs="宋体"/>
          <w:sz w:val="32"/>
          <w:szCs w:val="32"/>
          <w:lang w:val="en-US" w:eastAsia="zh-CN"/>
        </w:rPr>
        <w:t>人（含）以上、</w:t>
      </w:r>
      <w:r>
        <w:rPr>
          <w:rFonts w:hint="default" w:ascii="宋体" w:hAnsi="宋体" w:eastAsia="宋体" w:cs="宋体"/>
          <w:sz w:val="32"/>
          <w:szCs w:val="32"/>
          <w:lang w:val="en-US" w:eastAsia="zh-CN"/>
        </w:rPr>
        <w:t xml:space="preserve">50 </w:t>
      </w:r>
      <w:r>
        <w:rPr>
          <w:rFonts w:hint="eastAsia" w:ascii="宋体" w:hAnsi="宋体" w:eastAsia="宋体" w:cs="宋体"/>
          <w:sz w:val="32"/>
          <w:szCs w:val="32"/>
          <w:lang w:val="en-US" w:eastAsia="zh-CN"/>
        </w:rPr>
        <w:t xml:space="preserve">人以下；或者引起特别严重不良事件，涉及 </w:t>
      </w:r>
      <w:r>
        <w:rPr>
          <w:rFonts w:hint="default" w:ascii="宋体" w:hAnsi="宋体" w:eastAsia="宋体" w:cs="宋体"/>
          <w:sz w:val="32"/>
          <w:szCs w:val="32"/>
          <w:lang w:val="en-US" w:eastAsia="zh-CN"/>
        </w:rPr>
        <w:t xml:space="preserve">5 </w:t>
      </w:r>
      <w:r>
        <w:rPr>
          <w:rFonts w:hint="eastAsia" w:ascii="宋体" w:hAnsi="宋体" w:eastAsia="宋体" w:cs="宋体"/>
          <w:sz w:val="32"/>
          <w:szCs w:val="32"/>
          <w:lang w:val="en-US" w:eastAsia="zh-CN"/>
        </w:rPr>
        <w:t>人（含）以上、</w:t>
      </w:r>
      <w:r>
        <w:rPr>
          <w:rFonts w:hint="default" w:ascii="宋体" w:hAnsi="宋体" w:eastAsia="宋体" w:cs="宋体"/>
          <w:sz w:val="32"/>
          <w:szCs w:val="32"/>
          <w:lang w:val="en-US" w:eastAsia="zh-CN"/>
        </w:rPr>
        <w:t xml:space="preserve">10 </w:t>
      </w:r>
      <w:r>
        <w:rPr>
          <w:rFonts w:hint="eastAsia" w:ascii="宋体" w:hAnsi="宋体" w:eastAsia="宋体" w:cs="宋体"/>
          <w:sz w:val="32"/>
          <w:szCs w:val="32"/>
          <w:lang w:val="en-US" w:eastAsia="zh-CN"/>
        </w:rPr>
        <w:t xml:space="preserve">人以下；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2</w:t>
      </w:r>
      <w:r>
        <w:rPr>
          <w:rFonts w:hint="eastAsia" w:ascii="宋体" w:hAnsi="宋体" w:eastAsia="宋体" w:cs="宋体"/>
          <w:sz w:val="32"/>
          <w:szCs w:val="32"/>
          <w:lang w:val="en-US" w:eastAsia="zh-CN"/>
        </w:rPr>
        <w:t xml:space="preserve">）同一批号药品短期内引起 </w:t>
      </w:r>
      <w:r>
        <w:rPr>
          <w:rFonts w:hint="default" w:ascii="宋体" w:hAnsi="宋体" w:eastAsia="宋体" w:cs="宋体"/>
          <w:sz w:val="32"/>
          <w:szCs w:val="32"/>
          <w:lang w:val="en-US" w:eastAsia="zh-CN"/>
        </w:rPr>
        <w:t xml:space="preserve">2 </w:t>
      </w:r>
      <w:r>
        <w:rPr>
          <w:rFonts w:hint="eastAsia" w:ascii="宋体" w:hAnsi="宋体" w:eastAsia="宋体" w:cs="宋体"/>
          <w:sz w:val="32"/>
          <w:szCs w:val="32"/>
          <w:lang w:val="en-US" w:eastAsia="zh-CN"/>
        </w:rPr>
        <w:t xml:space="preserve">至 </w:t>
      </w:r>
      <w:r>
        <w:rPr>
          <w:rFonts w:hint="default" w:ascii="宋体" w:hAnsi="宋体" w:eastAsia="宋体" w:cs="宋体"/>
          <w:sz w:val="32"/>
          <w:szCs w:val="32"/>
          <w:lang w:val="en-US" w:eastAsia="zh-CN"/>
        </w:rPr>
        <w:t xml:space="preserve">5 </w:t>
      </w:r>
      <w:r>
        <w:rPr>
          <w:rFonts w:hint="eastAsia" w:ascii="宋体" w:hAnsi="宋体" w:eastAsia="宋体" w:cs="宋体"/>
          <w:sz w:val="32"/>
          <w:szCs w:val="32"/>
          <w:lang w:val="en-US" w:eastAsia="zh-CN"/>
        </w:rPr>
        <w:t xml:space="preserve">例死亡病例，且在同一区域内同时出现其他类似病例；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3</w:t>
      </w:r>
      <w:r>
        <w:rPr>
          <w:rFonts w:hint="eastAsia" w:ascii="宋体" w:hAnsi="宋体" w:eastAsia="宋体" w:cs="宋体"/>
          <w:sz w:val="32"/>
          <w:szCs w:val="32"/>
          <w:lang w:val="en-US" w:eastAsia="zh-CN"/>
        </w:rPr>
        <w:t xml:space="preserve">）短期内自治区 </w:t>
      </w:r>
      <w:r>
        <w:rPr>
          <w:rFonts w:hint="default" w:ascii="宋体" w:hAnsi="宋体" w:eastAsia="宋体" w:cs="宋体"/>
          <w:sz w:val="32"/>
          <w:szCs w:val="32"/>
          <w:lang w:val="en-US" w:eastAsia="zh-CN"/>
        </w:rPr>
        <w:t xml:space="preserve">2 </w:t>
      </w:r>
      <w:r>
        <w:rPr>
          <w:rFonts w:hint="eastAsia" w:ascii="宋体" w:hAnsi="宋体" w:eastAsia="宋体" w:cs="宋体"/>
          <w:sz w:val="32"/>
          <w:szCs w:val="32"/>
          <w:lang w:val="en-US" w:eastAsia="zh-CN"/>
        </w:rPr>
        <w:t>个以上地（州、市）因同一药品发生</w:t>
      </w:r>
      <w:r>
        <w:rPr>
          <w:rFonts w:hint="default" w:ascii="宋体" w:hAnsi="宋体" w:eastAsia="宋体" w:cs="宋体"/>
          <w:sz w:val="32"/>
          <w:szCs w:val="32"/>
          <w:lang w:val="en-US" w:eastAsia="zh-CN"/>
        </w:rPr>
        <w:t>Ⅲ</w:t>
      </w:r>
      <w:r>
        <w:rPr>
          <w:rFonts w:hint="eastAsia" w:ascii="宋体" w:hAnsi="宋体" w:eastAsia="宋体" w:cs="宋体"/>
          <w:sz w:val="32"/>
          <w:szCs w:val="32"/>
          <w:lang w:val="en-US" w:eastAsia="zh-CN"/>
        </w:rPr>
        <w:t xml:space="preserve">级药品安全突发事件；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4</w:t>
      </w:r>
      <w:r>
        <w:rPr>
          <w:rFonts w:hint="eastAsia" w:ascii="宋体" w:hAnsi="宋体" w:eastAsia="宋体" w:cs="宋体"/>
          <w:sz w:val="32"/>
          <w:szCs w:val="32"/>
          <w:lang w:val="en-US" w:eastAsia="zh-CN"/>
        </w:rPr>
        <w:t xml:space="preserve">）其他危害严重的重大药品安全突发事件。 </w:t>
      </w:r>
    </w:p>
    <w:p>
      <w:pPr>
        <w:spacing w:line="600" w:lineRule="exact"/>
        <w:ind w:firstLine="630" w:firstLineChars="196"/>
        <w:rPr>
          <w:rFonts w:hint="eastAsia" w:ascii="宋体" w:hAnsi="宋体" w:eastAsia="宋体" w:cs="宋体"/>
          <w:sz w:val="32"/>
          <w:szCs w:val="32"/>
          <w:lang w:eastAsia="zh-CN"/>
        </w:rPr>
      </w:pPr>
      <w:r>
        <w:rPr>
          <w:rFonts w:hint="eastAsia" w:ascii="宋体" w:hAnsi="宋体" w:eastAsia="宋体" w:cs="宋体"/>
          <w:b/>
          <w:bCs/>
          <w:sz w:val="32"/>
          <w:szCs w:val="32"/>
          <w:lang w:val="en-US" w:eastAsia="zh-CN"/>
        </w:rPr>
        <w:t>（三）较大药品安全突发事件（Ⅲ级）</w:t>
      </w:r>
      <w:r>
        <w:rPr>
          <w:rFonts w:hint="eastAsia" w:ascii="宋体" w:hAnsi="宋体" w:eastAsia="宋体" w:cs="宋体"/>
          <w:sz w:val="32"/>
          <w:szCs w:val="32"/>
          <w:lang w:val="en-US" w:eastAsia="zh-CN"/>
        </w:rPr>
        <w:t xml:space="preserve">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出现下列情形之一的，属于Ⅲ级事件：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1</w:t>
      </w:r>
      <w:r>
        <w:rPr>
          <w:rFonts w:hint="eastAsia" w:ascii="宋体" w:hAnsi="宋体" w:eastAsia="宋体" w:cs="宋体"/>
          <w:sz w:val="32"/>
          <w:szCs w:val="32"/>
          <w:lang w:val="en-US" w:eastAsia="zh-CN"/>
        </w:rPr>
        <w:t>）在相对集中的时间和（或）区域内，批号相对集中的同一药品引起临床表现相似且罕见或非预期的不良事件</w:t>
      </w:r>
      <w:r>
        <w:rPr>
          <w:rFonts w:hint="default" w:ascii="宋体" w:hAnsi="宋体" w:eastAsia="宋体" w:cs="宋体"/>
          <w:sz w:val="32"/>
          <w:szCs w:val="32"/>
          <w:lang w:val="en-US" w:eastAsia="zh-CN"/>
        </w:rPr>
        <w:t>20</w:t>
      </w:r>
      <w:r>
        <w:rPr>
          <w:rFonts w:hint="eastAsia" w:ascii="宋体" w:hAnsi="宋体" w:eastAsia="宋体" w:cs="宋体"/>
          <w:sz w:val="32"/>
          <w:szCs w:val="32"/>
          <w:lang w:val="en-US" w:eastAsia="zh-CN"/>
        </w:rPr>
        <w:t>人（含）以上、</w:t>
      </w:r>
      <w:r>
        <w:rPr>
          <w:rFonts w:hint="default" w:ascii="宋体" w:hAnsi="宋体" w:eastAsia="宋体" w:cs="宋体"/>
          <w:sz w:val="32"/>
          <w:szCs w:val="32"/>
          <w:lang w:val="en-US" w:eastAsia="zh-CN"/>
        </w:rPr>
        <w:t>30</w:t>
      </w:r>
      <w:r>
        <w:rPr>
          <w:rFonts w:hint="eastAsia" w:ascii="宋体" w:hAnsi="宋体" w:eastAsia="宋体" w:cs="宋体"/>
          <w:sz w:val="32"/>
          <w:szCs w:val="32"/>
          <w:lang w:val="en-US" w:eastAsia="zh-CN"/>
        </w:rPr>
        <w:t>人以下；或者引起特别严重不良事件，涉及</w:t>
      </w:r>
      <w:r>
        <w:rPr>
          <w:rFonts w:hint="default" w:ascii="宋体" w:hAnsi="宋体" w:eastAsia="宋体" w:cs="宋体"/>
          <w:sz w:val="32"/>
          <w:szCs w:val="32"/>
          <w:lang w:val="en-US" w:eastAsia="zh-CN"/>
        </w:rPr>
        <w:t>3</w:t>
      </w:r>
      <w:r>
        <w:rPr>
          <w:rFonts w:hint="eastAsia" w:ascii="宋体" w:hAnsi="宋体" w:eastAsia="宋体" w:cs="宋体"/>
          <w:sz w:val="32"/>
          <w:szCs w:val="32"/>
          <w:lang w:val="en-US" w:eastAsia="zh-CN"/>
        </w:rPr>
        <w:t>人（含）以上、</w:t>
      </w:r>
      <w:r>
        <w:rPr>
          <w:rFonts w:hint="default" w:ascii="宋体" w:hAnsi="宋体" w:eastAsia="宋体" w:cs="宋体"/>
          <w:sz w:val="32"/>
          <w:szCs w:val="32"/>
          <w:lang w:val="en-US" w:eastAsia="zh-CN"/>
        </w:rPr>
        <w:t>5</w:t>
      </w:r>
      <w:r>
        <w:rPr>
          <w:rFonts w:hint="eastAsia" w:ascii="宋体" w:hAnsi="宋体" w:eastAsia="宋体" w:cs="宋体"/>
          <w:sz w:val="32"/>
          <w:szCs w:val="32"/>
          <w:lang w:val="en-US" w:eastAsia="zh-CN"/>
        </w:rPr>
        <w:t xml:space="preserve">人以下；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2</w:t>
      </w:r>
      <w:r>
        <w:rPr>
          <w:rFonts w:hint="eastAsia" w:ascii="宋体" w:hAnsi="宋体" w:eastAsia="宋体" w:cs="宋体"/>
          <w:sz w:val="32"/>
          <w:szCs w:val="32"/>
          <w:lang w:val="en-US" w:eastAsia="zh-CN"/>
        </w:rPr>
        <w:t>）同一批号药品短期内引起</w:t>
      </w:r>
      <w:r>
        <w:rPr>
          <w:rFonts w:hint="default" w:ascii="宋体" w:hAnsi="宋体" w:eastAsia="宋体" w:cs="宋体"/>
          <w:sz w:val="32"/>
          <w:szCs w:val="32"/>
          <w:lang w:val="en-US" w:eastAsia="zh-CN"/>
        </w:rPr>
        <w:t>2</w:t>
      </w:r>
      <w:r>
        <w:rPr>
          <w:rFonts w:hint="eastAsia" w:ascii="宋体" w:hAnsi="宋体" w:eastAsia="宋体" w:cs="宋体"/>
          <w:sz w:val="32"/>
          <w:szCs w:val="32"/>
          <w:lang w:val="en-US" w:eastAsia="zh-CN"/>
        </w:rPr>
        <w:t xml:space="preserve">人（含）以下死亡病例，且在同一区域内同时出现其他类似病例；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3</w:t>
      </w:r>
      <w:r>
        <w:rPr>
          <w:rFonts w:hint="eastAsia" w:ascii="宋体" w:hAnsi="宋体" w:eastAsia="宋体" w:cs="宋体"/>
          <w:sz w:val="32"/>
          <w:szCs w:val="32"/>
          <w:lang w:val="en-US" w:eastAsia="zh-CN"/>
        </w:rPr>
        <w:t>）短期内地区</w:t>
      </w:r>
      <w:r>
        <w:rPr>
          <w:rFonts w:hint="default" w:ascii="宋体" w:hAnsi="宋体" w:eastAsia="宋体" w:cs="宋体"/>
          <w:sz w:val="32"/>
          <w:szCs w:val="32"/>
          <w:lang w:val="en-US" w:eastAsia="zh-CN"/>
        </w:rPr>
        <w:t>2</w:t>
      </w:r>
      <w:r>
        <w:rPr>
          <w:rFonts w:hint="eastAsia" w:ascii="宋体" w:hAnsi="宋体" w:eastAsia="宋体" w:cs="宋体"/>
          <w:sz w:val="32"/>
          <w:szCs w:val="32"/>
          <w:lang w:val="en-US" w:eastAsia="zh-CN"/>
        </w:rPr>
        <w:t xml:space="preserve">个以上县（市）因同一药品发生Ⅳ级药品安全突发事件；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4</w:t>
      </w:r>
      <w:r>
        <w:rPr>
          <w:rFonts w:hint="eastAsia" w:ascii="宋体" w:hAnsi="宋体" w:eastAsia="宋体" w:cs="宋体"/>
          <w:sz w:val="32"/>
          <w:szCs w:val="32"/>
          <w:lang w:val="en-US" w:eastAsia="zh-CN"/>
        </w:rPr>
        <w:t xml:space="preserve">）其他危害较大的药品安全突发事件。 </w:t>
      </w:r>
    </w:p>
    <w:p>
      <w:pPr>
        <w:spacing w:line="600" w:lineRule="exact"/>
        <w:ind w:firstLine="630" w:firstLineChars="196"/>
        <w:rPr>
          <w:rFonts w:hint="eastAsia" w:ascii="宋体" w:hAnsi="宋体" w:eastAsia="宋体" w:cs="宋体"/>
          <w:sz w:val="32"/>
          <w:szCs w:val="32"/>
          <w:lang w:eastAsia="zh-CN"/>
        </w:rPr>
      </w:pPr>
      <w:r>
        <w:rPr>
          <w:rFonts w:hint="eastAsia" w:ascii="宋体" w:hAnsi="宋体" w:eastAsia="宋体" w:cs="宋体"/>
          <w:b/>
          <w:bCs/>
          <w:sz w:val="32"/>
          <w:szCs w:val="32"/>
          <w:lang w:val="en-US" w:eastAsia="zh-CN"/>
        </w:rPr>
        <w:t>（四）一般药品安全突发事件（Ⅳ级）</w:t>
      </w:r>
      <w:r>
        <w:rPr>
          <w:rFonts w:hint="eastAsia" w:ascii="宋体" w:hAnsi="宋体" w:eastAsia="宋体" w:cs="宋体"/>
          <w:sz w:val="32"/>
          <w:szCs w:val="32"/>
          <w:lang w:val="en-US" w:eastAsia="zh-CN"/>
        </w:rPr>
        <w:t xml:space="preserve">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出现下列情形之一的，属于Ⅳ级事件</w:t>
      </w:r>
      <w:r>
        <w:rPr>
          <w:rFonts w:hint="default" w:ascii="宋体" w:hAnsi="宋体" w:eastAsia="宋体" w:cs="宋体"/>
          <w:sz w:val="32"/>
          <w:szCs w:val="32"/>
          <w:lang w:val="en-US" w:eastAsia="zh-CN"/>
        </w:rPr>
        <w:t xml:space="preserve">: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1</w:t>
      </w:r>
      <w:r>
        <w:rPr>
          <w:rFonts w:hint="eastAsia" w:ascii="宋体" w:hAnsi="宋体" w:eastAsia="宋体" w:cs="宋体"/>
          <w:sz w:val="32"/>
          <w:szCs w:val="32"/>
          <w:lang w:val="en-US" w:eastAsia="zh-CN"/>
        </w:rPr>
        <w:t>）相对集中的时间和（或）区域内，批号相对集中的同一药品引起临床表现相似且罕见或非预期的不良事件</w:t>
      </w:r>
      <w:r>
        <w:rPr>
          <w:rFonts w:hint="default" w:ascii="宋体" w:hAnsi="宋体" w:eastAsia="宋体" w:cs="宋体"/>
          <w:sz w:val="32"/>
          <w:szCs w:val="32"/>
          <w:lang w:val="en-US" w:eastAsia="zh-CN"/>
        </w:rPr>
        <w:t>1</w:t>
      </w:r>
      <w:r>
        <w:rPr>
          <w:rFonts w:hint="eastAsia" w:ascii="宋体" w:hAnsi="宋体" w:eastAsia="宋体" w:cs="宋体"/>
          <w:sz w:val="32"/>
          <w:szCs w:val="32"/>
          <w:lang w:val="en-US" w:eastAsia="zh-CN"/>
        </w:rPr>
        <w:t>0人（含）以上、</w:t>
      </w:r>
      <w:r>
        <w:rPr>
          <w:rFonts w:hint="default" w:ascii="宋体" w:hAnsi="宋体" w:eastAsia="宋体" w:cs="宋体"/>
          <w:sz w:val="32"/>
          <w:szCs w:val="32"/>
          <w:lang w:val="en-US" w:eastAsia="zh-CN"/>
        </w:rPr>
        <w:t>20</w:t>
      </w:r>
      <w:r>
        <w:rPr>
          <w:rFonts w:hint="eastAsia" w:ascii="宋体" w:hAnsi="宋体" w:eastAsia="宋体" w:cs="宋体"/>
          <w:sz w:val="32"/>
          <w:szCs w:val="32"/>
          <w:lang w:val="en-US" w:eastAsia="zh-CN"/>
        </w:rPr>
        <w:t>人以下；或者引起特别严重不良事件，超过</w:t>
      </w:r>
      <w:r>
        <w:rPr>
          <w:rFonts w:hint="default" w:ascii="宋体" w:hAnsi="宋体" w:eastAsia="宋体" w:cs="宋体"/>
          <w:sz w:val="32"/>
          <w:szCs w:val="32"/>
          <w:lang w:val="en-US" w:eastAsia="zh-CN"/>
        </w:rPr>
        <w:t>2</w:t>
      </w:r>
      <w:r>
        <w:rPr>
          <w:rFonts w:hint="eastAsia" w:ascii="宋体" w:hAnsi="宋体" w:eastAsia="宋体" w:cs="宋体"/>
          <w:sz w:val="32"/>
          <w:szCs w:val="32"/>
          <w:lang w:val="en-US" w:eastAsia="zh-CN"/>
        </w:rPr>
        <w:t xml:space="preserve">人（含）；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2</w:t>
      </w:r>
      <w:r>
        <w:rPr>
          <w:rFonts w:hint="eastAsia" w:ascii="宋体" w:hAnsi="宋体" w:eastAsia="宋体" w:cs="宋体"/>
          <w:sz w:val="32"/>
          <w:szCs w:val="32"/>
          <w:lang w:val="en-US" w:eastAsia="zh-CN"/>
        </w:rPr>
        <w:t xml:space="preserve">）其他一般药品安全突发事件。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本预案事件分级中以上含本数，以下不含本数。 </w:t>
      </w:r>
    </w:p>
    <w:p>
      <w:pPr>
        <w:spacing w:line="600" w:lineRule="exact"/>
        <w:ind w:firstLine="630" w:firstLineChars="196"/>
        <w:rPr>
          <w:rFonts w:hint="eastAsia" w:ascii="宋体" w:hAnsi="宋体" w:eastAsia="宋体" w:cs="宋体"/>
          <w:b/>
          <w:sz w:val="32"/>
          <w:szCs w:val="32"/>
          <w:lang w:eastAsia="zh-CN"/>
        </w:rPr>
      </w:pPr>
      <w:r>
        <w:rPr>
          <w:rFonts w:hint="eastAsia" w:ascii="宋体" w:hAnsi="宋体" w:eastAsia="宋体" w:cs="宋体"/>
          <w:b/>
          <w:sz w:val="32"/>
          <w:szCs w:val="32"/>
        </w:rPr>
        <w:t>1.</w:t>
      </w:r>
      <w:r>
        <w:rPr>
          <w:rFonts w:hint="eastAsia" w:ascii="宋体" w:hAnsi="宋体" w:eastAsia="宋体" w:cs="宋体"/>
          <w:b/>
          <w:sz w:val="32"/>
          <w:szCs w:val="32"/>
          <w:lang w:val="en-US" w:eastAsia="zh-CN"/>
        </w:rPr>
        <w:t xml:space="preserve">6 响应分级 </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val="en-US" w:eastAsia="zh-CN"/>
        </w:rPr>
        <w:t>药品安全突发事件发生时，沙湾市人民政府及各有关部门要根据责任分工和事件性质，遵循边核实、边救治、边调查、边处置的原则，立即作出应急响应，控制事态发展。响应分级与事件分级相对应，由高到低划分为特别重大（</w:t>
      </w:r>
      <w:r>
        <w:rPr>
          <w:rFonts w:hint="default" w:ascii="宋体" w:hAnsi="宋体" w:eastAsia="宋体" w:cs="宋体"/>
          <w:sz w:val="32"/>
          <w:szCs w:val="32"/>
          <w:lang w:val="en-US" w:eastAsia="zh-CN"/>
        </w:rPr>
        <w:t>I</w:t>
      </w:r>
      <w:r>
        <w:rPr>
          <w:rFonts w:hint="eastAsia" w:ascii="宋体" w:hAnsi="宋体" w:eastAsia="宋体" w:cs="宋体"/>
          <w:sz w:val="32"/>
          <w:szCs w:val="32"/>
          <w:lang w:val="en-US" w:eastAsia="zh-CN"/>
        </w:rPr>
        <w:t>级）、重大（Ⅱ级）、较大（Ⅲ级）、一般（Ⅳ级）四个级别。</w:t>
      </w:r>
    </w:p>
    <w:p>
      <w:pPr>
        <w:spacing w:line="600" w:lineRule="exact"/>
        <w:ind w:firstLine="630" w:firstLineChars="196"/>
        <w:rPr>
          <w:rFonts w:hint="eastAsia" w:ascii="宋体" w:hAnsi="宋体" w:eastAsia="宋体" w:cs="宋体"/>
          <w:b/>
          <w:sz w:val="32"/>
          <w:szCs w:val="32"/>
          <w:lang w:eastAsia="zh-CN"/>
        </w:rPr>
      </w:pPr>
      <w:r>
        <w:rPr>
          <w:rFonts w:hint="eastAsia" w:ascii="宋体" w:hAnsi="宋体" w:eastAsia="宋体" w:cs="宋体"/>
          <w:b/>
          <w:sz w:val="32"/>
          <w:szCs w:val="32"/>
        </w:rPr>
        <w:t>1.</w:t>
      </w:r>
      <w:r>
        <w:rPr>
          <w:rFonts w:hint="eastAsia" w:ascii="宋体" w:hAnsi="宋体" w:eastAsia="宋体" w:cs="宋体"/>
          <w:b/>
          <w:sz w:val="32"/>
          <w:szCs w:val="32"/>
          <w:lang w:val="en-US" w:eastAsia="zh-CN"/>
        </w:rPr>
        <w:t>7</w:t>
      </w:r>
      <w:r>
        <w:rPr>
          <w:rFonts w:hint="eastAsia" w:ascii="宋体" w:hAnsi="宋体" w:eastAsia="宋体" w:cs="宋体"/>
          <w:b/>
          <w:sz w:val="32"/>
          <w:szCs w:val="32"/>
          <w:lang w:eastAsia="zh-CN"/>
        </w:rPr>
        <w:t>应急预案体系</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沙湾市药品安全突发事件应急预案体系包括：</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w:t>
      </w:r>
      <w:r>
        <w:rPr>
          <w:rFonts w:hint="eastAsia" w:ascii="宋体" w:hAnsi="宋体" w:eastAsia="宋体" w:cs="宋体"/>
          <w:b w:val="0"/>
          <w:bCs/>
          <w:sz w:val="32"/>
          <w:szCs w:val="32"/>
          <w:lang w:val="en-US" w:eastAsia="zh-CN"/>
        </w:rPr>
        <w:t>1）</w:t>
      </w:r>
      <w:r>
        <w:rPr>
          <w:rFonts w:hint="eastAsia" w:ascii="宋体" w:hAnsi="宋体" w:eastAsia="宋体" w:cs="宋体"/>
          <w:b w:val="0"/>
          <w:bCs/>
          <w:sz w:val="32"/>
          <w:szCs w:val="32"/>
          <w:lang w:eastAsia="zh-CN"/>
        </w:rPr>
        <w:t>药品安全突发事件专项应急预案。主要是沙湾市人民政府为应对药品安全突发事件而制定的应急预案。</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w:t>
      </w:r>
      <w:r>
        <w:rPr>
          <w:rFonts w:hint="eastAsia" w:ascii="宋体" w:hAnsi="宋体" w:eastAsia="宋体" w:cs="宋体"/>
          <w:b w:val="0"/>
          <w:bCs/>
          <w:sz w:val="32"/>
          <w:szCs w:val="32"/>
          <w:lang w:val="en-US" w:eastAsia="zh-CN"/>
        </w:rPr>
        <w:t>2）</w:t>
      </w:r>
      <w:r>
        <w:rPr>
          <w:rFonts w:hint="eastAsia" w:ascii="宋体" w:hAnsi="宋体" w:eastAsia="宋体" w:cs="宋体"/>
          <w:b w:val="0"/>
          <w:bCs/>
          <w:sz w:val="32"/>
          <w:szCs w:val="32"/>
          <w:lang w:eastAsia="zh-CN"/>
        </w:rPr>
        <w:t>药品安全突发事件部门应急预案。主要是沙湾市市场监督管理局根据同级药品安全突发事件专项应急预案和部门职责为应对药品安全突发事件而制定的预案。</w:t>
      </w:r>
    </w:p>
    <w:p>
      <w:pPr>
        <w:keepNext w:val="0"/>
        <w:keepLines w:val="0"/>
        <w:widowControl/>
        <w:suppressLineNumbers w:val="0"/>
        <w:ind w:firstLine="640" w:firstLineChars="200"/>
        <w:jc w:val="left"/>
      </w:pPr>
      <w:r>
        <w:rPr>
          <w:rFonts w:hint="eastAsia" w:ascii="宋体" w:hAnsi="宋体" w:eastAsia="宋体" w:cs="宋体"/>
          <w:b w:val="0"/>
          <w:bCs/>
          <w:sz w:val="32"/>
          <w:szCs w:val="32"/>
          <w:lang w:val="en-US" w:eastAsia="zh-CN"/>
        </w:rPr>
        <w:t>上述预案要根据实际情况变化不断修订完善。</w:t>
      </w:r>
    </w:p>
    <w:p>
      <w:pPr>
        <w:spacing w:line="600" w:lineRule="exact"/>
        <w:ind w:firstLine="643" w:firstLineChars="200"/>
        <w:rPr>
          <w:rFonts w:hint="eastAsia" w:ascii="宋体" w:hAnsi="宋体" w:eastAsia="宋体" w:cs="宋体"/>
          <w:b/>
          <w:sz w:val="32"/>
          <w:szCs w:val="32"/>
        </w:rPr>
      </w:pPr>
      <w:r>
        <w:rPr>
          <w:rFonts w:hint="eastAsia" w:ascii="宋体" w:hAnsi="宋体" w:eastAsia="宋体" w:cs="宋体"/>
          <w:b/>
          <w:sz w:val="32"/>
          <w:szCs w:val="32"/>
        </w:rPr>
        <w:t>2　组织</w:t>
      </w:r>
      <w:r>
        <w:rPr>
          <w:rFonts w:hint="eastAsia" w:ascii="宋体" w:hAnsi="宋体" w:eastAsia="宋体" w:cs="宋体"/>
          <w:b/>
          <w:sz w:val="32"/>
          <w:szCs w:val="32"/>
          <w:lang w:eastAsia="zh-CN"/>
        </w:rPr>
        <w:t>指挥</w:t>
      </w:r>
      <w:r>
        <w:rPr>
          <w:rFonts w:hint="eastAsia" w:ascii="宋体" w:hAnsi="宋体" w:eastAsia="宋体" w:cs="宋体"/>
          <w:b/>
          <w:sz w:val="32"/>
          <w:szCs w:val="32"/>
        </w:rPr>
        <w:t>机构及职责</w:t>
      </w: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rPr>
        <w:t>2.1　</w:t>
      </w:r>
      <w:r>
        <w:rPr>
          <w:rFonts w:hint="eastAsia" w:ascii="宋体" w:hAnsi="宋体" w:eastAsia="宋体" w:cs="宋体"/>
          <w:b/>
          <w:sz w:val="32"/>
          <w:szCs w:val="32"/>
          <w:lang w:eastAsia="zh-CN"/>
        </w:rPr>
        <w:t>沙湾</w:t>
      </w:r>
      <w:r>
        <w:rPr>
          <w:rFonts w:hint="eastAsia" w:ascii="宋体" w:hAnsi="宋体" w:eastAsia="宋体" w:cs="宋体"/>
          <w:b/>
          <w:sz w:val="32"/>
          <w:szCs w:val="32"/>
          <w:lang w:val="en-US" w:eastAsia="zh-CN"/>
        </w:rPr>
        <w:t>市药品安全突发事件应急指挥部</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沙湾市成立药品安全突发事件应急指挥部（以下简称沙湾市应急指挥部），由沙湾市分管领导任指挥长，沙湾市市场监督管理局、沙湾市卫生健康委员会任副指挥长，沙湾市有关部门（见下文，可根据事件性质和应急处置工作需要增加）负责人为成员。</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沙湾市应急指挥部负责一般（Ⅳ级）级别药品安全突发事件应急处置工作。</w:t>
      </w:r>
    </w:p>
    <w:p>
      <w:pPr>
        <w:numPr>
          <w:ilvl w:val="0"/>
          <w:numId w:val="1"/>
        </w:numPr>
        <w:spacing w:line="600" w:lineRule="exact"/>
        <w:ind w:firstLine="627" w:firstLineChars="196"/>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研究重大应急决策和部署；</w:t>
      </w:r>
    </w:p>
    <w:p>
      <w:pPr>
        <w:numPr>
          <w:ilvl w:val="0"/>
          <w:numId w:val="1"/>
        </w:numPr>
        <w:spacing w:line="600" w:lineRule="exact"/>
        <w:ind w:firstLine="627" w:firstLineChars="196"/>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组织发布事件重要信息；</w:t>
      </w:r>
    </w:p>
    <w:p>
      <w:pPr>
        <w:numPr>
          <w:ilvl w:val="0"/>
          <w:numId w:val="1"/>
        </w:numPr>
        <w:spacing w:line="600" w:lineRule="exact"/>
        <w:ind w:firstLine="627" w:firstLineChars="196"/>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统筹安排应急处置各项工作；</w:t>
      </w:r>
    </w:p>
    <w:p>
      <w:pPr>
        <w:keepNext w:val="0"/>
        <w:keepLines w:val="0"/>
        <w:widowControl/>
        <w:suppressLineNumbers w:val="0"/>
        <w:jc w:val="left"/>
        <w:rPr>
          <w:rFonts w:hint="default" w:ascii="宋体" w:hAnsi="宋体" w:eastAsia="宋体" w:cs="宋体"/>
          <w:b/>
          <w:sz w:val="32"/>
          <w:szCs w:val="32"/>
          <w:lang w:val="en-US" w:eastAsia="zh-CN"/>
        </w:rPr>
      </w:pPr>
      <w:r>
        <w:rPr>
          <w:rFonts w:hint="eastAsia" w:ascii="宋体" w:hAnsi="宋体" w:eastAsia="宋体" w:cs="宋体"/>
          <w:sz w:val="32"/>
          <w:szCs w:val="32"/>
          <w:lang w:val="en-US" w:eastAsia="zh-CN"/>
        </w:rPr>
        <w:t xml:space="preserve">    各成员单位按照职责分工落实应急防控工作职责，相互配合，做好事件应急处置工作。</w:t>
      </w:r>
    </w:p>
    <w:p>
      <w:pPr>
        <w:keepNext w:val="0"/>
        <w:keepLines w:val="0"/>
        <w:widowControl/>
        <w:suppressLineNumbers w:val="0"/>
        <w:ind w:firstLine="643" w:firstLineChars="200"/>
        <w:jc w:val="left"/>
        <w:rPr>
          <w:rFonts w:hint="eastAsia" w:ascii="宋体" w:hAnsi="宋体" w:eastAsia="宋体" w:cs="宋体"/>
          <w:b/>
          <w:sz w:val="32"/>
          <w:szCs w:val="32"/>
          <w:lang w:eastAsia="zh-CN"/>
        </w:rPr>
      </w:pPr>
      <w:r>
        <w:rPr>
          <w:rFonts w:hint="eastAsia" w:ascii="宋体" w:hAnsi="宋体" w:eastAsia="宋体" w:cs="宋体"/>
          <w:b/>
          <w:sz w:val="32"/>
          <w:szCs w:val="32"/>
          <w:lang w:eastAsia="zh-CN"/>
        </w:rPr>
        <w:t>2.2　沙湾市</w:t>
      </w:r>
      <w:r>
        <w:rPr>
          <w:rFonts w:hint="eastAsia" w:ascii="宋体" w:hAnsi="宋体" w:eastAsia="宋体" w:cs="宋体"/>
          <w:b/>
          <w:sz w:val="32"/>
          <w:szCs w:val="32"/>
          <w:lang w:val="en-US" w:eastAsia="zh-CN"/>
        </w:rPr>
        <w:t>药品安全突发事件应急指挥中心</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沙湾市应急指挥部下设</w:t>
      </w:r>
      <w:r>
        <w:rPr>
          <w:rFonts w:hint="eastAsia" w:ascii="宋体" w:hAnsi="宋体" w:eastAsia="宋体" w:cs="宋体"/>
          <w:b w:val="0"/>
          <w:bCs/>
          <w:sz w:val="32"/>
          <w:szCs w:val="32"/>
          <w:lang w:val="en-US" w:eastAsia="zh-CN"/>
        </w:rPr>
        <w:t>药品安全突发事件应急指挥中心</w:t>
      </w:r>
      <w:r>
        <w:rPr>
          <w:rFonts w:hint="eastAsia" w:ascii="宋体" w:hAnsi="宋体" w:eastAsia="宋体" w:cs="宋体"/>
          <w:b w:val="0"/>
          <w:bCs/>
          <w:sz w:val="32"/>
          <w:szCs w:val="32"/>
          <w:lang w:eastAsia="zh-CN"/>
        </w:rPr>
        <w:t>，</w:t>
      </w:r>
      <w:r>
        <w:rPr>
          <w:rFonts w:hint="eastAsia" w:ascii="宋体" w:hAnsi="宋体" w:eastAsia="宋体" w:cs="宋体"/>
          <w:b w:val="0"/>
          <w:bCs/>
          <w:sz w:val="32"/>
          <w:szCs w:val="32"/>
          <w:lang w:val="en-US" w:eastAsia="zh-CN"/>
        </w:rPr>
        <w:t>应急指挥中心</w:t>
      </w:r>
      <w:r>
        <w:rPr>
          <w:rFonts w:hint="eastAsia" w:ascii="宋体" w:hAnsi="宋体" w:eastAsia="宋体" w:cs="宋体"/>
          <w:b w:val="0"/>
          <w:bCs/>
          <w:sz w:val="32"/>
          <w:szCs w:val="32"/>
          <w:lang w:eastAsia="zh-CN"/>
        </w:rPr>
        <w:t>设在沙湾市市场监督管理局，由沙湾市市场监督管理局主要领导、分管领导分别担任主任、副主任，人员由各成员单位相关处室负责人组成。</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沙湾市应急指挥</w:t>
      </w:r>
      <w:r>
        <w:rPr>
          <w:rFonts w:hint="eastAsia" w:ascii="宋体" w:hAnsi="宋体" w:eastAsia="宋体" w:cs="宋体"/>
          <w:b w:val="0"/>
          <w:bCs/>
          <w:sz w:val="32"/>
          <w:szCs w:val="32"/>
          <w:lang w:val="en-US" w:eastAsia="zh-CN"/>
        </w:rPr>
        <w:t>中心</w:t>
      </w:r>
      <w:r>
        <w:rPr>
          <w:rFonts w:hint="eastAsia" w:ascii="宋体" w:hAnsi="宋体" w:eastAsia="宋体" w:cs="宋体"/>
          <w:b w:val="0"/>
          <w:bCs/>
          <w:sz w:val="32"/>
          <w:szCs w:val="32"/>
          <w:lang w:eastAsia="zh-CN"/>
        </w:rPr>
        <w:t>负责市药品安全突发事件应急日常管理工作。</w:t>
      </w:r>
    </w:p>
    <w:p>
      <w:pPr>
        <w:numPr>
          <w:ilvl w:val="0"/>
          <w:numId w:val="2"/>
        </w:numPr>
        <w:spacing w:line="600" w:lineRule="exact"/>
        <w:ind w:left="3" w:leftChars="0" w:firstLine="627" w:firstLineChars="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组织协调有关部门开展药品安全突发事件应急处置；</w:t>
      </w:r>
    </w:p>
    <w:p>
      <w:pPr>
        <w:numPr>
          <w:ilvl w:val="0"/>
          <w:numId w:val="2"/>
        </w:numPr>
        <w:spacing w:line="600" w:lineRule="exact"/>
        <w:ind w:left="3" w:leftChars="0" w:firstLine="627" w:firstLineChars="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检查督促落实市应急指挥部的决策，协调解决应急处置中的重大问题；</w:t>
      </w:r>
    </w:p>
    <w:p>
      <w:pPr>
        <w:numPr>
          <w:ilvl w:val="0"/>
          <w:numId w:val="2"/>
        </w:numPr>
        <w:spacing w:line="600" w:lineRule="exact"/>
        <w:ind w:left="3" w:leftChars="0" w:firstLine="627" w:firstLineChars="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报告、通报事件处置进展情况并协调信息发布；</w:t>
      </w:r>
    </w:p>
    <w:p>
      <w:pPr>
        <w:numPr>
          <w:ilvl w:val="0"/>
          <w:numId w:val="2"/>
        </w:numPr>
        <w:spacing w:line="600" w:lineRule="exact"/>
        <w:ind w:left="3" w:leftChars="0" w:firstLine="627" w:firstLineChars="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建立并完善药品安全突发事件监督和预警系统；</w:t>
      </w:r>
    </w:p>
    <w:p>
      <w:pPr>
        <w:numPr>
          <w:ilvl w:val="0"/>
          <w:numId w:val="2"/>
        </w:numPr>
        <w:spacing w:line="600" w:lineRule="exact"/>
        <w:ind w:left="3" w:leftChars="0" w:firstLine="627" w:firstLineChars="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组织演练，并及时对预案进行修订完善；</w:t>
      </w:r>
    </w:p>
    <w:p>
      <w:pPr>
        <w:numPr>
          <w:ilvl w:val="0"/>
          <w:numId w:val="2"/>
        </w:numPr>
        <w:spacing w:line="600" w:lineRule="exact"/>
        <w:ind w:left="3" w:leftChars="0" w:firstLine="627" w:firstLineChars="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组织开展安全用药、药品安全突发事件应急相关知识的宣传培训；</w:t>
      </w:r>
    </w:p>
    <w:p>
      <w:pPr>
        <w:numPr>
          <w:ilvl w:val="0"/>
          <w:numId w:val="2"/>
        </w:numPr>
        <w:spacing w:line="600" w:lineRule="exact"/>
        <w:ind w:left="3" w:leftChars="0" w:firstLine="627" w:firstLineChars="0"/>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做好一般（</w:t>
      </w:r>
      <w:r>
        <w:rPr>
          <w:rFonts w:hint="eastAsia" w:ascii="宋体" w:hAnsi="宋体" w:eastAsia="宋体" w:cs="宋体"/>
          <w:sz w:val="32"/>
          <w:szCs w:val="32"/>
          <w:lang w:eastAsia="zh-CN"/>
        </w:rPr>
        <w:t>Ⅳ级</w:t>
      </w:r>
      <w:r>
        <w:rPr>
          <w:rFonts w:hint="eastAsia" w:ascii="宋体" w:hAnsi="宋体" w:eastAsia="宋体" w:cs="宋体"/>
          <w:b w:val="0"/>
          <w:bCs/>
          <w:color w:val="auto"/>
          <w:sz w:val="32"/>
          <w:szCs w:val="32"/>
          <w:lang w:val="en-US" w:eastAsia="zh-CN"/>
        </w:rPr>
        <w:t>）级别药品安全突发事件的应急工作。</w:t>
      </w:r>
    </w:p>
    <w:p>
      <w:pPr>
        <w:numPr>
          <w:ilvl w:val="0"/>
          <w:numId w:val="2"/>
        </w:numPr>
        <w:spacing w:line="600" w:lineRule="exact"/>
        <w:ind w:left="3" w:leftChars="0" w:firstLine="627" w:firstLineChars="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完成沙湾市应急指挥部交办的其他工作。</w:t>
      </w:r>
    </w:p>
    <w:p>
      <w:pPr>
        <w:spacing w:line="600" w:lineRule="exact"/>
        <w:ind w:firstLine="630" w:firstLineChars="196"/>
        <w:rPr>
          <w:rFonts w:hint="eastAsia" w:ascii="宋体" w:hAnsi="宋体" w:eastAsia="宋体" w:cs="宋体"/>
          <w:b/>
          <w:sz w:val="32"/>
          <w:szCs w:val="32"/>
          <w:lang w:eastAsia="zh-CN"/>
        </w:rPr>
      </w:pPr>
      <w:r>
        <w:rPr>
          <w:rFonts w:hint="eastAsia" w:ascii="宋体" w:hAnsi="宋体" w:eastAsia="宋体" w:cs="宋体"/>
          <w:b/>
          <w:sz w:val="32"/>
          <w:szCs w:val="32"/>
        </w:rPr>
        <w:t>2.3　</w:t>
      </w:r>
      <w:r>
        <w:rPr>
          <w:rFonts w:hint="eastAsia" w:ascii="宋体" w:hAnsi="宋体" w:eastAsia="宋体" w:cs="宋体"/>
          <w:b/>
          <w:sz w:val="32"/>
          <w:szCs w:val="32"/>
          <w:lang w:eastAsia="zh-CN"/>
        </w:rPr>
        <w:t>沙湾市应急指挥部成员单位</w:t>
      </w:r>
    </w:p>
    <w:p>
      <w:pPr>
        <w:spacing w:line="600" w:lineRule="exact"/>
        <w:ind w:firstLine="627" w:firstLineChars="196"/>
        <w:rPr>
          <w:rFonts w:hint="eastAsia" w:ascii="宋体" w:hAnsi="宋体" w:eastAsia="宋体" w:cs="宋体"/>
          <w:b w:val="0"/>
          <w:bCs/>
          <w:color w:val="auto"/>
          <w:sz w:val="32"/>
          <w:szCs w:val="32"/>
          <w:lang w:eastAsia="zh-CN"/>
        </w:rPr>
      </w:pPr>
      <w:r>
        <w:rPr>
          <w:rFonts w:hint="eastAsia" w:ascii="宋体" w:hAnsi="宋体" w:eastAsia="宋体" w:cs="宋体"/>
          <w:b w:val="0"/>
          <w:bCs/>
          <w:sz w:val="32"/>
          <w:szCs w:val="32"/>
          <w:lang w:eastAsia="zh-CN"/>
        </w:rPr>
        <w:t>沙湾市应急指挥部成员单位由沙湾市宣传部、网信办，市场监督管理局、卫生健康委员会、公安局、应急管理局、</w:t>
      </w:r>
      <w:r>
        <w:rPr>
          <w:rFonts w:hint="eastAsia" w:ascii="宋体" w:hAnsi="宋体" w:eastAsia="宋体" w:cs="宋体"/>
          <w:b w:val="0"/>
          <w:bCs/>
          <w:color w:val="auto"/>
          <w:sz w:val="32"/>
          <w:szCs w:val="32"/>
          <w:lang w:eastAsia="zh-CN"/>
        </w:rPr>
        <w:t>商工</w:t>
      </w:r>
      <w:r>
        <w:rPr>
          <w:rFonts w:hint="eastAsia" w:ascii="宋体" w:hAnsi="宋体" w:eastAsia="宋体" w:cs="宋体"/>
          <w:b w:val="0"/>
          <w:bCs/>
          <w:color w:val="auto"/>
          <w:sz w:val="32"/>
          <w:szCs w:val="32"/>
          <w:lang w:val="en-US" w:eastAsia="zh-CN"/>
        </w:rPr>
        <w:t>信</w:t>
      </w:r>
      <w:r>
        <w:rPr>
          <w:rFonts w:hint="eastAsia" w:ascii="宋体" w:hAnsi="宋体" w:eastAsia="宋体" w:cs="宋体"/>
          <w:b w:val="0"/>
          <w:bCs/>
          <w:color w:val="auto"/>
          <w:sz w:val="32"/>
          <w:szCs w:val="32"/>
          <w:lang w:eastAsia="zh-CN"/>
        </w:rPr>
        <w:t>局、</w:t>
      </w:r>
      <w:r>
        <w:rPr>
          <w:rFonts w:hint="eastAsia" w:ascii="宋体" w:hAnsi="宋体" w:eastAsia="宋体" w:cs="宋体"/>
          <w:b w:val="0"/>
          <w:bCs/>
          <w:sz w:val="32"/>
          <w:szCs w:val="32"/>
          <w:lang w:eastAsia="zh-CN"/>
        </w:rPr>
        <w:t>财政局、</w:t>
      </w:r>
      <w:r>
        <w:rPr>
          <w:rFonts w:hint="eastAsia" w:ascii="宋体" w:hAnsi="宋体" w:eastAsia="宋体" w:cs="宋体"/>
          <w:b w:val="0"/>
          <w:bCs/>
          <w:color w:val="auto"/>
          <w:sz w:val="32"/>
          <w:szCs w:val="32"/>
          <w:lang w:eastAsia="zh-CN"/>
        </w:rPr>
        <w:t>教</w:t>
      </w:r>
      <w:r>
        <w:rPr>
          <w:rFonts w:hint="eastAsia" w:ascii="宋体" w:hAnsi="宋体" w:eastAsia="宋体" w:cs="宋体"/>
          <w:b w:val="0"/>
          <w:bCs/>
          <w:color w:val="auto"/>
          <w:sz w:val="32"/>
          <w:szCs w:val="32"/>
          <w:lang w:val="en-US" w:eastAsia="zh-CN"/>
        </w:rPr>
        <w:t>体</w:t>
      </w:r>
      <w:r>
        <w:rPr>
          <w:rFonts w:hint="eastAsia" w:ascii="宋体" w:hAnsi="宋体" w:eastAsia="宋体" w:cs="宋体"/>
          <w:b w:val="0"/>
          <w:bCs/>
          <w:color w:val="auto"/>
          <w:sz w:val="32"/>
          <w:szCs w:val="32"/>
          <w:lang w:eastAsia="zh-CN"/>
        </w:rPr>
        <w:t>局、交通运输局组成。</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宣传部：负责组织新闻媒体及时、客观、公正、准确地报道药品安全突发事件信息、应急措施、工作进展及成效经验，积极宣传相关法律法规，做好药品安全突发事件与防控科普知识宣传报道工作。</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市场监督管理局：组织制定药品安全突发事件应急处置的规定和措施；提出启动和终止药品安全突发事件应急响应的建议；负责组织实施药品安全突发事件的调查、检测、确认和处置工作；对出现药品安全突发事件的相关药品、医疗器械、化妆品采取紧急控制措施；对药品安全突发事件违法违规行为依法进行查处；根据授权及时向社会发布药品安全突发事件信息，组织检查和督导药品安全突发事件应急预案的落实。</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卫生健康委员会：负责组织实施药品安全突发事件的医疗救治工作；协助市场监督管理局对药品不良反应相关监测和数据分析，配合开展药品安全突发事件的调查、鉴定工作；对医疗机构中的药品安全突发事件采取控制措施；组织督促医疗机构按规定上报药品不良反应、事件。</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应急管理局：负责协助做好</w:t>
      </w:r>
      <w:r>
        <w:rPr>
          <w:rFonts w:hint="eastAsia" w:ascii="宋体" w:hAnsi="宋体" w:eastAsia="宋体" w:cs="宋体"/>
          <w:b w:val="0"/>
          <w:bCs/>
          <w:color w:val="auto"/>
          <w:sz w:val="32"/>
          <w:szCs w:val="32"/>
          <w:lang w:val="en-US" w:eastAsia="zh-CN"/>
        </w:rPr>
        <w:t>一般（</w:t>
      </w:r>
      <w:r>
        <w:rPr>
          <w:rFonts w:hint="eastAsia" w:ascii="宋体" w:hAnsi="宋体" w:eastAsia="宋体" w:cs="宋体"/>
          <w:sz w:val="32"/>
          <w:szCs w:val="32"/>
          <w:lang w:eastAsia="zh-CN"/>
        </w:rPr>
        <w:t>Ⅳ级</w:t>
      </w:r>
      <w:r>
        <w:rPr>
          <w:rFonts w:hint="eastAsia" w:ascii="宋体" w:hAnsi="宋体" w:eastAsia="宋体" w:cs="宋体"/>
          <w:b w:val="0"/>
          <w:bCs/>
          <w:color w:val="auto"/>
          <w:sz w:val="32"/>
          <w:szCs w:val="32"/>
          <w:lang w:val="en-US" w:eastAsia="zh-CN"/>
        </w:rPr>
        <w:t>级）级别</w:t>
      </w:r>
      <w:r>
        <w:rPr>
          <w:rFonts w:hint="eastAsia" w:ascii="宋体" w:hAnsi="宋体" w:eastAsia="宋体" w:cs="宋体"/>
          <w:b w:val="0"/>
          <w:bCs/>
          <w:sz w:val="32"/>
          <w:szCs w:val="32"/>
          <w:lang w:eastAsia="zh-CN"/>
        </w:rPr>
        <w:t>药品安全突发事件应急处置的综合协调工作。</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color w:val="auto"/>
          <w:sz w:val="32"/>
          <w:szCs w:val="32"/>
          <w:lang w:eastAsia="zh-CN"/>
        </w:rPr>
        <w:t>商工</w:t>
      </w:r>
      <w:r>
        <w:rPr>
          <w:rFonts w:hint="eastAsia" w:ascii="宋体" w:hAnsi="宋体" w:eastAsia="宋体" w:cs="宋体"/>
          <w:b w:val="0"/>
          <w:bCs/>
          <w:color w:val="auto"/>
          <w:sz w:val="32"/>
          <w:szCs w:val="32"/>
          <w:lang w:val="en-US" w:eastAsia="zh-CN"/>
        </w:rPr>
        <w:t>信</w:t>
      </w:r>
      <w:r>
        <w:rPr>
          <w:rFonts w:hint="eastAsia" w:ascii="宋体" w:hAnsi="宋体" w:eastAsia="宋体" w:cs="宋体"/>
          <w:b w:val="0"/>
          <w:bCs/>
          <w:color w:val="auto"/>
          <w:sz w:val="32"/>
          <w:szCs w:val="32"/>
          <w:lang w:eastAsia="zh-CN"/>
        </w:rPr>
        <w:t>局：</w:t>
      </w:r>
      <w:r>
        <w:rPr>
          <w:rFonts w:hint="eastAsia" w:ascii="宋体" w:hAnsi="宋体" w:eastAsia="宋体" w:cs="宋体"/>
          <w:b w:val="0"/>
          <w:bCs/>
          <w:sz w:val="32"/>
          <w:szCs w:val="32"/>
          <w:lang w:eastAsia="zh-CN"/>
        </w:rPr>
        <w:t>负责药品安全突发事件应急处置所需物资的储备和供给；负责药品安全突发事件应急救援所需生活必需品的供应，维护市场稳定。</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财政</w:t>
      </w:r>
      <w:r>
        <w:rPr>
          <w:rFonts w:hint="eastAsia" w:ascii="宋体" w:hAnsi="宋体" w:eastAsia="宋体" w:cs="宋体"/>
          <w:b w:val="0"/>
          <w:bCs/>
          <w:color w:val="auto"/>
          <w:sz w:val="32"/>
          <w:szCs w:val="32"/>
          <w:lang w:eastAsia="zh-CN"/>
        </w:rPr>
        <w:t>局</w:t>
      </w:r>
      <w:r>
        <w:rPr>
          <w:rFonts w:hint="eastAsia" w:ascii="宋体" w:hAnsi="宋体" w:eastAsia="宋体" w:cs="宋体"/>
          <w:b w:val="0"/>
          <w:bCs/>
          <w:sz w:val="32"/>
          <w:szCs w:val="32"/>
          <w:lang w:eastAsia="zh-CN"/>
        </w:rPr>
        <w:t>：负责药品安全突发事件应急处置所需资金的保障及监管。</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教</w:t>
      </w:r>
      <w:r>
        <w:rPr>
          <w:rFonts w:hint="eastAsia" w:ascii="宋体" w:hAnsi="宋体" w:eastAsia="宋体" w:cs="宋体"/>
          <w:b w:val="0"/>
          <w:bCs/>
          <w:sz w:val="32"/>
          <w:szCs w:val="32"/>
          <w:lang w:val="en-US" w:eastAsia="zh-CN"/>
        </w:rPr>
        <w:t>体</w:t>
      </w:r>
      <w:r>
        <w:rPr>
          <w:rFonts w:hint="eastAsia" w:ascii="宋体" w:hAnsi="宋体" w:eastAsia="宋体" w:cs="宋体"/>
          <w:b w:val="0"/>
          <w:bCs/>
          <w:sz w:val="32"/>
          <w:szCs w:val="32"/>
          <w:lang w:eastAsia="zh-CN"/>
        </w:rPr>
        <w:t>局：负责组织实施学校药品安全突发事件的预防、控制和处置，并协助沙湾市市场监督管理局、卫生健康委员会等部门开展涉及各级各类教育机构药品安全突发事件调查处置。</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交通运输局：负责协助涉及长途汽车站、高速公路服务区等发生药品安全突发事件的调查处置；负责应急处置工作所需道路交通运力保障。</w:t>
      </w:r>
    </w:p>
    <w:p>
      <w:pPr>
        <w:spacing w:line="600" w:lineRule="exact"/>
        <w:ind w:firstLine="630" w:firstLineChars="196"/>
        <w:rPr>
          <w:rFonts w:hint="eastAsia" w:ascii="宋体" w:hAnsi="宋体" w:eastAsia="宋体" w:cs="宋体"/>
          <w:b/>
          <w:sz w:val="32"/>
          <w:szCs w:val="32"/>
          <w:lang w:eastAsia="zh-CN"/>
        </w:rPr>
      </w:pPr>
      <w:r>
        <w:rPr>
          <w:rFonts w:hint="eastAsia" w:ascii="宋体" w:hAnsi="宋体" w:eastAsia="宋体" w:cs="宋体"/>
          <w:b/>
          <w:sz w:val="32"/>
          <w:szCs w:val="32"/>
        </w:rPr>
        <w:t>2.</w:t>
      </w:r>
      <w:r>
        <w:rPr>
          <w:rFonts w:hint="eastAsia" w:ascii="宋体" w:hAnsi="宋体" w:eastAsia="宋体" w:cs="宋体"/>
          <w:b/>
          <w:sz w:val="32"/>
          <w:szCs w:val="32"/>
          <w:lang w:val="en-US" w:eastAsia="zh-CN"/>
        </w:rPr>
        <w:t>4</w:t>
      </w:r>
      <w:r>
        <w:rPr>
          <w:rFonts w:hint="eastAsia" w:ascii="宋体" w:hAnsi="宋体" w:eastAsia="宋体" w:cs="宋体"/>
          <w:b/>
          <w:sz w:val="32"/>
          <w:szCs w:val="32"/>
        </w:rPr>
        <w:t>　</w:t>
      </w:r>
      <w:r>
        <w:rPr>
          <w:rFonts w:hint="eastAsia" w:ascii="宋体" w:hAnsi="宋体" w:eastAsia="宋体" w:cs="宋体"/>
          <w:b/>
          <w:sz w:val="32"/>
          <w:szCs w:val="32"/>
          <w:lang w:eastAsia="zh-CN"/>
        </w:rPr>
        <w:t>现场指挥机构</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药品安全突发事件发生后，沙湾市应急指挥部根据实际需要成立现场指挥机构，组织、指挥、协调现场应急处置工作。可根据需要设立医疗救治、事件调查、危害控制、检验检测、新闻宣传、后勤保障、专家支持及善后处置等工作组。</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医疗救治组：</w:t>
      </w:r>
      <w:r>
        <w:rPr>
          <w:rFonts w:hint="eastAsia" w:ascii="宋体" w:hAnsi="宋体" w:eastAsia="宋体" w:cs="宋体"/>
          <w:sz w:val="32"/>
          <w:szCs w:val="32"/>
          <w:lang w:val="en-US" w:eastAsia="zh-CN"/>
        </w:rPr>
        <w:t>由</w:t>
      </w:r>
      <w:r>
        <w:rPr>
          <w:rFonts w:hint="eastAsia" w:ascii="宋体" w:hAnsi="宋体" w:eastAsia="宋体" w:cs="宋体"/>
          <w:sz w:val="32"/>
          <w:szCs w:val="32"/>
          <w:lang w:eastAsia="zh-CN"/>
        </w:rPr>
        <w:t>卫生健康委员会负责，指导医疗机构对事件发生地受到危害人员进行医疗救治。</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事件调查组：由市场监督管理局牵头，会同有关部门，负责调查事件原因，评估事件影响，作出调查结论，提出防范意见。</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危害控制组：根据事件性质和职责，分别由市场监督管理局、卫生健康委员会、公安局等有关部门牵头，监督指导事件发生地人民政府及职能部门对问题药品、原辅料、包材及相关产品等采取封存、扣押措施，依法要求涉事企业对问题产品采取停产、召回、下架等控制措施，严格控制流通渠道，防止危害或影响蔓延扩大。</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检验检测组：由市场监督管理局牵头，负责组织对引发药品安全突发事件的有关样品及时送交上级检验机构，收到上级检验检测报告后及时报告市应急指挥部，为事件调查和应急处置等提供技术支持。</w:t>
      </w:r>
    </w:p>
    <w:p>
      <w:pPr>
        <w:spacing w:line="600" w:lineRule="exact"/>
        <w:ind w:firstLine="627" w:firstLineChars="196"/>
        <w:rPr>
          <w:rFonts w:hint="eastAsia" w:ascii="宋体" w:hAnsi="宋体" w:eastAsia="宋体" w:cs="宋体"/>
          <w:sz w:val="32"/>
          <w:szCs w:val="32"/>
          <w:lang w:eastAsia="zh-CN"/>
        </w:rPr>
      </w:pPr>
      <w:r>
        <w:rPr>
          <w:rFonts w:hint="eastAsia" w:ascii="宋体" w:hAnsi="宋体" w:eastAsia="宋体" w:cs="宋体"/>
          <w:sz w:val="32"/>
          <w:szCs w:val="32"/>
          <w:lang w:eastAsia="zh-CN"/>
        </w:rPr>
        <w:t>新闻宣传组：由宣传部牵头，会同有关部门，负责及时做好信息发布、宣传报道工作。</w:t>
      </w:r>
    </w:p>
    <w:p>
      <w:pPr>
        <w:spacing w:line="600" w:lineRule="exact"/>
        <w:ind w:firstLine="627" w:firstLineChars="196"/>
        <w:rPr>
          <w:rFonts w:hint="eastAsia" w:ascii="宋体" w:hAnsi="宋体" w:eastAsia="宋体" w:cs="宋体"/>
          <w:color w:val="auto"/>
          <w:sz w:val="32"/>
          <w:szCs w:val="32"/>
          <w:lang w:eastAsia="zh-CN"/>
        </w:rPr>
      </w:pPr>
      <w:r>
        <w:rPr>
          <w:rFonts w:hint="eastAsia" w:ascii="宋体" w:hAnsi="宋体" w:eastAsia="宋体" w:cs="宋体"/>
          <w:sz w:val="32"/>
          <w:szCs w:val="32"/>
          <w:lang w:eastAsia="zh-CN"/>
        </w:rPr>
        <w:t>后勤保障组：由</w:t>
      </w:r>
      <w:r>
        <w:rPr>
          <w:rFonts w:hint="eastAsia" w:ascii="宋体" w:hAnsi="宋体" w:eastAsia="宋体" w:cs="宋体"/>
          <w:color w:val="auto"/>
          <w:sz w:val="32"/>
          <w:szCs w:val="32"/>
          <w:lang w:eastAsia="zh-CN"/>
        </w:rPr>
        <w:t>商工</w:t>
      </w:r>
      <w:r>
        <w:rPr>
          <w:rFonts w:hint="eastAsia" w:ascii="宋体" w:hAnsi="宋体" w:eastAsia="宋体" w:cs="宋体"/>
          <w:color w:val="auto"/>
          <w:sz w:val="32"/>
          <w:szCs w:val="32"/>
          <w:lang w:val="en-US" w:eastAsia="zh-CN"/>
        </w:rPr>
        <w:t>信</w:t>
      </w:r>
      <w:r>
        <w:rPr>
          <w:rFonts w:hint="eastAsia" w:ascii="宋体" w:hAnsi="宋体" w:eastAsia="宋体" w:cs="宋体"/>
          <w:color w:val="auto"/>
          <w:sz w:val="32"/>
          <w:szCs w:val="32"/>
          <w:lang w:eastAsia="zh-CN"/>
        </w:rPr>
        <w:t>局</w:t>
      </w:r>
      <w:r>
        <w:rPr>
          <w:rFonts w:hint="eastAsia" w:ascii="宋体" w:hAnsi="宋体" w:eastAsia="宋体" w:cs="宋体"/>
          <w:sz w:val="32"/>
          <w:szCs w:val="32"/>
          <w:lang w:eastAsia="zh-CN"/>
        </w:rPr>
        <w:t>、</w:t>
      </w:r>
      <w:r>
        <w:rPr>
          <w:rFonts w:hint="eastAsia" w:ascii="宋体" w:hAnsi="宋体" w:eastAsia="宋体" w:cs="宋体"/>
          <w:color w:val="auto"/>
          <w:sz w:val="32"/>
          <w:szCs w:val="32"/>
          <w:lang w:eastAsia="zh-CN"/>
        </w:rPr>
        <w:t>财政局、交通运输局分别牵头，会同有关部门，负责保障应急处置工作所需的经费、物资、交通运输和通信。</w:t>
      </w:r>
    </w:p>
    <w:p>
      <w:pPr>
        <w:spacing w:line="600" w:lineRule="exact"/>
        <w:ind w:firstLine="627" w:firstLineChars="196"/>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专家支持组：由市场监督管理局和卫生健康委员会负责组建药品安全应急专家委员会，为药品安全突发事件应急工作提供建议咨询、评估研判和参与现场处置等。</w:t>
      </w:r>
    </w:p>
    <w:p>
      <w:pPr>
        <w:spacing w:line="600" w:lineRule="exact"/>
        <w:ind w:firstLine="627" w:firstLineChars="196"/>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善后处置组：根据药品安全突发事件造成的损失情况，指定沙相关部门或事发地政府制定工作方案，妥善做好善后处置。对伤亡人员、应急处置工作人员，以及紧急调集、征用有关部门（单位）及个人的物资，按照规定给予抚恤、补助或补偿，并提供心理及司法援助，妥善解决因处置引发的矛盾纠纷。协调保险监管机构督促指导保险机构及时开展查勘和理赔工作。</w:t>
      </w:r>
    </w:p>
    <w:p>
      <w:pPr>
        <w:spacing w:line="600" w:lineRule="exact"/>
        <w:ind w:firstLine="627" w:firstLineChars="196"/>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参加药品安全突发事件应急处置的各方面应急力量要及时向现场指挥机构报到、受领任务，接受现场指挥机构的统一指挥调度，并及时报告现场情况和处置工作进展情况。</w:t>
      </w:r>
    </w:p>
    <w:p>
      <w:pPr>
        <w:spacing w:line="600" w:lineRule="exact"/>
        <w:ind w:firstLine="630" w:firstLineChars="196"/>
        <w:rPr>
          <w:rFonts w:hint="eastAsia" w:ascii="宋体" w:hAnsi="宋体" w:eastAsia="宋体" w:cs="宋体"/>
          <w:b/>
          <w:sz w:val="32"/>
          <w:szCs w:val="32"/>
          <w:lang w:eastAsia="zh-CN"/>
        </w:rPr>
      </w:pPr>
      <w:r>
        <w:rPr>
          <w:rFonts w:hint="eastAsia" w:ascii="宋体" w:hAnsi="宋体" w:eastAsia="宋体" w:cs="宋体"/>
          <w:b/>
          <w:sz w:val="32"/>
          <w:szCs w:val="32"/>
        </w:rPr>
        <w:t>2.</w:t>
      </w:r>
      <w:r>
        <w:rPr>
          <w:rFonts w:hint="eastAsia" w:ascii="宋体" w:hAnsi="宋体" w:eastAsia="宋体" w:cs="宋体"/>
          <w:b/>
          <w:sz w:val="32"/>
          <w:szCs w:val="32"/>
          <w:lang w:val="en-US" w:eastAsia="zh-CN"/>
        </w:rPr>
        <w:t>5</w:t>
      </w:r>
      <w:r>
        <w:rPr>
          <w:rFonts w:hint="eastAsia" w:ascii="宋体" w:hAnsi="宋体" w:eastAsia="宋体" w:cs="宋体"/>
          <w:b/>
          <w:sz w:val="32"/>
          <w:szCs w:val="32"/>
        </w:rPr>
        <w:t>　</w:t>
      </w:r>
      <w:r>
        <w:rPr>
          <w:rFonts w:hint="eastAsia" w:ascii="宋体" w:hAnsi="宋体" w:eastAsia="宋体" w:cs="宋体"/>
          <w:b/>
          <w:sz w:val="32"/>
          <w:szCs w:val="32"/>
          <w:lang w:eastAsia="zh-CN"/>
        </w:rPr>
        <w:t>技术支撑机构</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color w:val="auto"/>
          <w:sz w:val="32"/>
          <w:szCs w:val="32"/>
          <w:lang w:val="en-US" w:eastAsia="zh-CN"/>
        </w:rPr>
        <w:t>各级药品不良反应监测机构（包括医疗器械不良事件监测机构、药物滥用监测机构）：负责药品不良反应以及麻醉药品、精神药品滥用信息收集、汇总、上报工作，定期进行研究分析，必要时提出预警建议；协助市场监管部门开展安全用药知识和药品安全突发事件应急知识宣传、培训。</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各级医疗机构：负责受到危害患者的现场抢救、运送、诊断、治疗等相关工作；按规定做好药品不良事件监测，及时上报药品不良事件报告。</w:t>
      </w:r>
    </w:p>
    <w:p>
      <w:pPr>
        <w:numPr>
          <w:ilvl w:val="0"/>
          <w:numId w:val="3"/>
        </w:num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rPr>
        <w:t>运行机制</w:t>
      </w:r>
    </w:p>
    <w:p>
      <w:pPr>
        <w:numPr>
          <w:ilvl w:val="0"/>
          <w:numId w:val="0"/>
        </w:numPr>
        <w:spacing w:line="600" w:lineRule="exact"/>
        <w:ind w:firstLine="643" w:firstLineChars="200"/>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3.1风险防控</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各级人民政府落实风险防控责任，组织开展应急处置风险防控工作，明确岗位和人员，做好事前防范、事中控制、事后处置和全程监督，确保快速应对、处置有力、有效控制，防止风险蔓延扩大。</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3.2监测预警</w:t>
      </w:r>
    </w:p>
    <w:p>
      <w:pPr>
        <w:numPr>
          <w:ilvl w:val="0"/>
          <w:numId w:val="0"/>
        </w:numPr>
        <w:spacing w:line="600" w:lineRule="exact"/>
        <w:ind w:firstLine="643" w:firstLineChars="200"/>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 xml:space="preserve">3.2.1 监测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 xml:space="preserve">由市场监管局牵头，在沙湾市建立统一的药品安全风险监测组织体系和信息传递体系，完善监测制度。各级药品不良反应监测机构要按照相关法律法规要求，认真做好药品、医疗器械、化妆品日常监测工作，加强队伍建设，提高应急预警事件的发现和处置能力，切实做到早预防、早发现、早报告、早评估、早处置。 </w:t>
      </w:r>
    </w:p>
    <w:p>
      <w:pPr>
        <w:numPr>
          <w:ilvl w:val="0"/>
          <w:numId w:val="0"/>
        </w:numPr>
        <w:spacing w:line="600" w:lineRule="exact"/>
        <w:ind w:firstLine="640" w:firstLineChars="200"/>
        <w:rPr>
          <w:rFonts w:hint="eastAsia" w:ascii="宋体" w:hAnsi="宋体" w:eastAsia="宋体" w:cs="宋体"/>
          <w:b w:val="0"/>
          <w:bCs/>
          <w:color w:val="0000FF"/>
          <w:sz w:val="32"/>
          <w:szCs w:val="32"/>
          <w:lang w:val="en-US" w:eastAsia="zh-CN"/>
        </w:rPr>
      </w:pPr>
      <w:r>
        <w:rPr>
          <w:rFonts w:hint="eastAsia" w:ascii="宋体" w:hAnsi="宋体" w:eastAsia="宋体" w:cs="宋体"/>
          <w:b w:val="0"/>
          <w:bCs/>
          <w:sz w:val="32"/>
          <w:szCs w:val="32"/>
          <w:lang w:val="en-US" w:eastAsia="zh-CN"/>
        </w:rPr>
        <w:t>市场监管部门要会同卫生健康等有关部门加强对本行政辖区药品安全风险监测工作的监管，确保监测质量。</w:t>
      </w:r>
      <w:r>
        <w:rPr>
          <w:rFonts w:hint="eastAsia" w:ascii="宋体" w:hAnsi="宋体" w:eastAsia="宋体" w:cs="宋体"/>
          <w:b w:val="0"/>
          <w:bCs/>
          <w:color w:val="0000FF"/>
          <w:sz w:val="32"/>
          <w:szCs w:val="32"/>
          <w:lang w:val="en-US" w:eastAsia="zh-CN"/>
        </w:rPr>
        <w:t xml:space="preserve"> </w:t>
      </w:r>
    </w:p>
    <w:p>
      <w:pPr>
        <w:numPr>
          <w:ilvl w:val="0"/>
          <w:numId w:val="0"/>
        </w:numPr>
        <w:spacing w:line="600" w:lineRule="exact"/>
        <w:ind w:firstLine="643" w:firstLineChars="200"/>
        <w:rPr>
          <w:rFonts w:hint="eastAsia" w:ascii="宋体" w:hAnsi="宋体" w:eastAsia="宋体" w:cs="宋体"/>
          <w:b/>
          <w:sz w:val="32"/>
          <w:szCs w:val="32"/>
          <w:lang w:val="en-US" w:eastAsia="zh-CN"/>
        </w:rPr>
      </w:pPr>
      <w:r>
        <w:rPr>
          <w:rFonts w:hint="default" w:ascii="宋体" w:hAnsi="宋体" w:eastAsia="宋体" w:cs="宋体"/>
          <w:b/>
          <w:sz w:val="32"/>
          <w:szCs w:val="32"/>
          <w:lang w:val="en-US" w:eastAsia="zh-CN"/>
        </w:rPr>
        <w:t xml:space="preserve">3.2.2 </w:t>
      </w:r>
      <w:r>
        <w:rPr>
          <w:rFonts w:hint="eastAsia" w:ascii="宋体" w:hAnsi="宋体" w:eastAsia="宋体" w:cs="宋体"/>
          <w:b/>
          <w:sz w:val="32"/>
          <w:szCs w:val="32"/>
          <w:lang w:val="en-US" w:eastAsia="zh-CN"/>
        </w:rPr>
        <w:t xml:space="preserve">预警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市场监管局应根据各级监测部门提交的风险评估结果，在必要时组织有关专家研判风险危害因素对公众健康可能造成的危害程度及发展趋势，研究确定向医药专业人士、公众发布风险提示和用药指导信息，对可以预警的药品安全突发事件，根据风险分析结果进行预警，分别采取警示、通报、暂停使用等预防措施，并及时向地区市场监管局（自治区药品监督管理局）报告，同时通报当地卫健委、公安局。</w:t>
      </w:r>
      <w:r>
        <w:rPr>
          <w:rFonts w:ascii="仿宋_GB2312" w:hAnsi="仿宋_GB2312" w:eastAsia="仿宋_GB2312" w:cs="仿宋_GB2312"/>
          <w:color w:val="000000"/>
          <w:kern w:val="0"/>
          <w:sz w:val="31"/>
          <w:szCs w:val="31"/>
          <w:lang w:val="en-US" w:eastAsia="zh-CN" w:bidi="ar"/>
        </w:rPr>
        <w:t xml:space="preserve"> </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3.3应急处置与救援</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3.3.1信息报告</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市场监督管理局应根据药品不良反应监测等多渠道获取信息和数据，对全市药品安全突发事件的相关危险因素进行分析，对可能危害公众健康的风险因素、风险级别、影响范围、紧急程度和可能危害提出分析评估意见，及时向沙湾市人民政府、塔城地区市场监督管理局报告。</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任何单位和个人对药品安全事件不得瞒报、谎报、迟报和漏报或授意指使他人瞒报、谎报、迟报和漏报。</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3.3.1.1报告责任主体</w:t>
      </w:r>
    </w:p>
    <w:p>
      <w:pPr>
        <w:keepNext w:val="0"/>
        <w:keepLines w:val="0"/>
        <w:widowControl/>
        <w:suppressLineNumbers w:val="0"/>
        <w:ind w:firstLine="640" w:firstLineChars="200"/>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（1）药品流通企业、零售经营企业、医疗机构、疾病预防控制机构和戒毒机构等；</w:t>
      </w:r>
    </w:p>
    <w:p>
      <w:pPr>
        <w:keepNext w:val="0"/>
        <w:keepLines w:val="0"/>
        <w:widowControl/>
        <w:suppressLineNumbers w:val="0"/>
        <w:ind w:firstLine="640" w:firstLineChars="200"/>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 xml:space="preserve">（2）药品不良反应监测机构； </w:t>
      </w:r>
    </w:p>
    <w:p>
      <w:pPr>
        <w:keepNext w:val="0"/>
        <w:keepLines w:val="0"/>
        <w:widowControl/>
        <w:suppressLineNumbers w:val="0"/>
        <w:ind w:firstLine="640" w:firstLineChars="200"/>
        <w:jc w:val="left"/>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（3）市场监管部门；</w:t>
      </w:r>
    </w:p>
    <w:p>
      <w:pPr>
        <w:numPr>
          <w:ilvl w:val="0"/>
          <w:numId w:val="0"/>
        </w:numPr>
        <w:spacing w:line="600" w:lineRule="exact"/>
        <w:ind w:firstLine="640" w:firstLineChars="20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（4）采访调查获得相关信息的媒体；</w:t>
      </w:r>
    </w:p>
    <w:p>
      <w:pPr>
        <w:numPr>
          <w:ilvl w:val="0"/>
          <w:numId w:val="0"/>
        </w:numPr>
        <w:spacing w:line="600" w:lineRule="exact"/>
        <w:ind w:firstLine="640" w:firstLineChars="200"/>
        <w:rPr>
          <w:rFonts w:hint="default"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（5）获知药品安全突发事件的其他单位和个人。</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3.3.1.2报告程序与时限</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药品安全突发事件发生后，根据突发事件信息报送工作有关要求，按照自下而上逐级报告的原则，由各责任主体及时报告药品安全突发事件，紧急情况可越级报告。鼓励其他单位和个人向市场监督管理部门报告药品安全突发事件信息。</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（1）各责任主体发现或获知药品安全突发事件，应在</w:t>
      </w:r>
      <w:r>
        <w:rPr>
          <w:rFonts w:hint="default" w:ascii="宋体" w:hAnsi="宋体" w:eastAsia="宋体" w:cs="宋体"/>
          <w:b w:val="0"/>
          <w:bCs/>
          <w:sz w:val="32"/>
          <w:szCs w:val="32"/>
          <w:lang w:val="en-US" w:eastAsia="zh-CN"/>
        </w:rPr>
        <w:t>30</w:t>
      </w:r>
      <w:r>
        <w:rPr>
          <w:rFonts w:hint="eastAsia" w:ascii="宋体" w:hAnsi="宋体" w:eastAsia="宋体" w:cs="宋体"/>
          <w:b w:val="0"/>
          <w:bCs/>
          <w:sz w:val="32"/>
          <w:szCs w:val="32"/>
          <w:lang w:val="en-US" w:eastAsia="zh-CN"/>
        </w:rPr>
        <w:t>分钟内电话报告、</w:t>
      </w:r>
      <w:r>
        <w:rPr>
          <w:rFonts w:hint="default" w:ascii="宋体" w:hAnsi="宋体" w:eastAsia="宋体" w:cs="宋体"/>
          <w:b w:val="0"/>
          <w:bCs/>
          <w:sz w:val="32"/>
          <w:szCs w:val="32"/>
          <w:lang w:val="en-US" w:eastAsia="zh-CN"/>
        </w:rPr>
        <w:t>1</w:t>
      </w:r>
      <w:r>
        <w:rPr>
          <w:rFonts w:hint="eastAsia" w:ascii="宋体" w:hAnsi="宋体" w:eastAsia="宋体" w:cs="宋体"/>
          <w:b w:val="0"/>
          <w:bCs/>
          <w:sz w:val="32"/>
          <w:szCs w:val="32"/>
          <w:lang w:val="en-US" w:eastAsia="zh-CN"/>
        </w:rPr>
        <w:t xml:space="preserve">小时内书面向市场监督管理局报告。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w:t>
      </w:r>
      <w:r>
        <w:rPr>
          <w:rFonts w:hint="default" w:ascii="宋体" w:hAnsi="宋体" w:eastAsia="宋体" w:cs="宋体"/>
          <w:b w:val="0"/>
          <w:bCs/>
          <w:sz w:val="32"/>
          <w:szCs w:val="32"/>
          <w:lang w:val="en-US" w:eastAsia="zh-CN"/>
        </w:rPr>
        <w:t>2</w:t>
      </w:r>
      <w:r>
        <w:rPr>
          <w:rFonts w:hint="eastAsia" w:ascii="宋体" w:hAnsi="宋体" w:eastAsia="宋体" w:cs="宋体"/>
          <w:b w:val="0"/>
          <w:bCs/>
          <w:sz w:val="32"/>
          <w:szCs w:val="32"/>
          <w:lang w:val="en-US" w:eastAsia="zh-CN"/>
        </w:rPr>
        <w:t>）市场监督管理局接到药品安全突发事件报告后，应立即组织有关人员赶赴现场调查核实事件情况，研判事件发展趋势，根据核实情况和初步研判结果，</w:t>
      </w:r>
      <w:r>
        <w:rPr>
          <w:rFonts w:hint="default" w:ascii="宋体" w:hAnsi="宋体" w:eastAsia="宋体" w:cs="宋体"/>
          <w:b w:val="0"/>
          <w:bCs/>
          <w:sz w:val="32"/>
          <w:szCs w:val="32"/>
          <w:lang w:val="en-US" w:eastAsia="zh-CN"/>
        </w:rPr>
        <w:t>30</w:t>
      </w:r>
      <w:r>
        <w:rPr>
          <w:rFonts w:hint="eastAsia" w:ascii="宋体" w:hAnsi="宋体" w:eastAsia="宋体" w:cs="宋体"/>
          <w:b w:val="0"/>
          <w:bCs/>
          <w:sz w:val="32"/>
          <w:szCs w:val="32"/>
          <w:lang w:val="en-US" w:eastAsia="zh-CN"/>
        </w:rPr>
        <w:t>分钟内电话报告、</w:t>
      </w:r>
      <w:r>
        <w:rPr>
          <w:rFonts w:hint="default" w:ascii="宋体" w:hAnsi="宋体" w:eastAsia="宋体" w:cs="宋体"/>
          <w:b w:val="0"/>
          <w:bCs/>
          <w:sz w:val="32"/>
          <w:szCs w:val="32"/>
          <w:lang w:val="en-US" w:eastAsia="zh-CN"/>
        </w:rPr>
        <w:t>1</w:t>
      </w:r>
      <w:r>
        <w:rPr>
          <w:rFonts w:hint="eastAsia" w:ascii="宋体" w:hAnsi="宋体" w:eastAsia="宋体" w:cs="宋体"/>
          <w:b w:val="0"/>
          <w:bCs/>
          <w:sz w:val="32"/>
          <w:szCs w:val="32"/>
          <w:lang w:val="en-US" w:eastAsia="zh-CN"/>
        </w:rPr>
        <w:t xml:space="preserve">小时内书面向沙湾市政府和地区市场监督管理局报告，并通报有关部门。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w:t>
      </w:r>
      <w:r>
        <w:rPr>
          <w:rFonts w:hint="default" w:ascii="宋体" w:hAnsi="宋体" w:eastAsia="宋体" w:cs="宋体"/>
          <w:b w:val="0"/>
          <w:bCs/>
          <w:sz w:val="32"/>
          <w:szCs w:val="32"/>
          <w:lang w:val="en-US" w:eastAsia="zh-CN"/>
        </w:rPr>
        <w:t>3</w:t>
      </w:r>
      <w:r>
        <w:rPr>
          <w:rFonts w:hint="eastAsia" w:ascii="宋体" w:hAnsi="宋体" w:eastAsia="宋体" w:cs="宋体"/>
          <w:b w:val="0"/>
          <w:bCs/>
          <w:sz w:val="32"/>
          <w:szCs w:val="32"/>
          <w:lang w:val="en-US" w:eastAsia="zh-CN"/>
        </w:rPr>
        <w:t xml:space="preserve">）接到报告的市场监督管理局根据药品安全突发事件研判结果，按照响应分级要求逐级报告。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w:t>
      </w:r>
      <w:r>
        <w:rPr>
          <w:rFonts w:hint="default" w:ascii="宋体" w:hAnsi="宋体" w:eastAsia="宋体" w:cs="宋体"/>
          <w:b w:val="0"/>
          <w:bCs/>
          <w:sz w:val="32"/>
          <w:szCs w:val="32"/>
          <w:lang w:val="en-US" w:eastAsia="zh-CN"/>
        </w:rPr>
        <w:t>4</w:t>
      </w:r>
      <w:r>
        <w:rPr>
          <w:rFonts w:hint="eastAsia" w:ascii="宋体" w:hAnsi="宋体" w:eastAsia="宋体" w:cs="宋体"/>
          <w:b w:val="0"/>
          <w:bCs/>
          <w:sz w:val="32"/>
          <w:szCs w:val="32"/>
          <w:lang w:val="en-US" w:eastAsia="zh-CN"/>
        </w:rPr>
        <w:t xml:space="preserve">）特殊情况下，对可能造成重大社会影响的药品安全突发事件，药品不良反应监测机构及药品生产经营企业、医疗机构等可越级报告市政府和地区市场监督管理局。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w:t>
      </w:r>
      <w:r>
        <w:rPr>
          <w:rFonts w:hint="default" w:ascii="宋体" w:hAnsi="宋体" w:eastAsia="宋体" w:cs="宋体"/>
          <w:b w:val="0"/>
          <w:bCs/>
          <w:sz w:val="32"/>
          <w:szCs w:val="32"/>
          <w:lang w:val="en-US" w:eastAsia="zh-CN"/>
        </w:rPr>
        <w:t>5</w:t>
      </w:r>
      <w:r>
        <w:rPr>
          <w:rFonts w:hint="eastAsia" w:ascii="宋体" w:hAnsi="宋体" w:eastAsia="宋体" w:cs="宋体"/>
          <w:b w:val="0"/>
          <w:bCs/>
          <w:sz w:val="32"/>
          <w:szCs w:val="32"/>
          <w:lang w:val="en-US" w:eastAsia="zh-CN"/>
        </w:rPr>
        <w:t xml:space="preserve">）涉及特殊药品滥用的事件，市场监督管理局和公安局应分别向上一级主管部门报告。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w:t>
      </w:r>
      <w:r>
        <w:rPr>
          <w:rFonts w:hint="default" w:ascii="宋体" w:hAnsi="宋体" w:eastAsia="宋体" w:cs="宋体"/>
          <w:b w:val="0"/>
          <w:bCs/>
          <w:sz w:val="32"/>
          <w:szCs w:val="32"/>
          <w:lang w:val="en-US" w:eastAsia="zh-CN"/>
        </w:rPr>
        <w:t>6</w:t>
      </w:r>
      <w:r>
        <w:rPr>
          <w:rFonts w:hint="eastAsia" w:ascii="宋体" w:hAnsi="宋体" w:eastAsia="宋体" w:cs="宋体"/>
          <w:b w:val="0"/>
          <w:bCs/>
          <w:sz w:val="32"/>
          <w:szCs w:val="32"/>
          <w:lang w:val="en-US" w:eastAsia="zh-CN"/>
        </w:rPr>
        <w:t xml:space="preserve">）药品安全突发事件已经或者可能涉及相邻行政区域的，市场监督管理局应当及时通报相邻行政区域市场监管部门。 </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w:t>
      </w:r>
      <w:r>
        <w:rPr>
          <w:rFonts w:hint="default" w:ascii="宋体" w:hAnsi="宋体" w:eastAsia="宋体" w:cs="宋体"/>
          <w:b w:val="0"/>
          <w:bCs/>
          <w:sz w:val="32"/>
          <w:szCs w:val="32"/>
          <w:lang w:val="en-US" w:eastAsia="zh-CN"/>
        </w:rPr>
        <w:t>7</w:t>
      </w:r>
      <w:r>
        <w:rPr>
          <w:rFonts w:hint="eastAsia" w:ascii="宋体" w:hAnsi="宋体" w:eastAsia="宋体" w:cs="宋体"/>
          <w:b w:val="0"/>
          <w:bCs/>
          <w:sz w:val="32"/>
          <w:szCs w:val="32"/>
          <w:lang w:val="en-US" w:eastAsia="zh-CN"/>
        </w:rPr>
        <w:t xml:space="preserve">）市场监督管理局须向地区市场监管局（自治区药品监督管理局）报告的药品安全突发事件信息主要包括：本预案规定 </w:t>
      </w:r>
    </w:p>
    <w:p>
      <w:pPr>
        <w:numPr>
          <w:ilvl w:val="0"/>
          <w:numId w:val="0"/>
        </w:numPr>
        <w:spacing w:line="600" w:lineRule="exac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 xml:space="preserve">的较大（Ⅲ级）及以上级别药品安全突发事件；涉及 </w:t>
      </w:r>
      <w:r>
        <w:rPr>
          <w:rFonts w:hint="default" w:ascii="宋体" w:hAnsi="宋体" w:eastAsia="宋体" w:cs="宋体"/>
          <w:b w:val="0"/>
          <w:bCs/>
          <w:sz w:val="32"/>
          <w:szCs w:val="32"/>
          <w:lang w:val="en-US" w:eastAsia="zh-CN"/>
        </w:rPr>
        <w:t xml:space="preserve">3 </w:t>
      </w:r>
      <w:r>
        <w:rPr>
          <w:rFonts w:hint="eastAsia" w:ascii="宋体" w:hAnsi="宋体" w:eastAsia="宋体" w:cs="宋体"/>
          <w:b w:val="0"/>
          <w:bCs/>
          <w:sz w:val="32"/>
          <w:szCs w:val="32"/>
          <w:lang w:val="en-US" w:eastAsia="zh-CN"/>
        </w:rPr>
        <w:t>名（含）学生、婴幼儿、孕妇等特殊人群的药品安全突发事件；在短时间内连续发生多起可能存在关联性的药品安全突发事件；其他突发事件中出现严重伤残、死亡情况，且可能涉及药品安全的；发生重大疫情或重大灾情，需要提供药品安全保障的；本单位认为可能引起社会广泛关注且应当向地区市场监管局（自治区药品监督管理局）报告的其他药品安全信息。</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3.3.1.3报告内容</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按照事件的发生、发展和控制过程，药品安全突发事件报告分为首次报告、进程报告和结案报告。</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首次报告：事件发生地市场监督管理部门在获知突发事件后进行首次报告，内容包括：事件名称、事件性质、所涉药品的生产企业名称、产品规格、包装及批号等信息，事件发生的时间、地点、信息来源、涉及的地域范围和人数、受害者基本信息、主要症状与体征、可能的原因及责任归属、已经采取的措施、事件的发展趋势和潜在的危害程度、应急响应启动和下一步工作建议、需要帮助解决的问题以及报告单位、联络员及通讯方式。</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进程报告：事发地市场监督管理部门根据收集到的事件进展信息报告，主要内容包括：事件的发展与变化、处置进程、事件成因调查情况和结果、产品控制情况、采取的系列控制措施、事件影响和势态评估等，并对前次报告的内容进行补充和修正，可多次报告。</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特别重大（Ⅰ级）、重大（Ⅱ级）药品安全突发事件应每日报告事件进展情况，重要情况须随时上报。</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结案报告：事发地市场监督管理部门在事件结束后，应报送结案报告。主要内容包括：应急响应终止、对事件的起因、性质、影响、责任、应对措施等进行全面分析，对事件应对过程中的问题和经验进行总结，并提出今后应对此类事件的有关建议。结案报告应在事件应急响应终止后7个工作日内报送。</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3.3.1.4报告途径</w:t>
      </w:r>
    </w:p>
    <w:p>
      <w:pPr>
        <w:numPr>
          <w:ilvl w:val="0"/>
          <w:numId w:val="0"/>
        </w:numPr>
        <w:spacing w:line="600" w:lineRule="exact"/>
        <w:ind w:firstLine="640" w:firstLineChars="200"/>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事发地市场监督管理部门可通过重大信息只报系统、电子信箱、传真等方式向塔城地区市场监督管理局和 市人民政府首次报告和进程报告，紧急情况下，可先通过电话口头报告，后补报文字报告。结案报告通过书面形式报告，报告内容涉密的，须通过机要渠道报送。</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3.3.2先期应对</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药品安全突发事件发生后，事发地卫生健康部门应当在沙湾市应急指挥机构的同一指挥下实施救治。市场监督管理部门要对事发现场进行初步调查核实，依法封存相关药品及其原料等相关产品，根据情况在本行政区域内采取涉事药品暂停销售、使用等紧急控制措施，组织进行应急抽验。</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3.3.3指挥协调</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进入</w:t>
      </w:r>
      <w:r>
        <w:rPr>
          <w:rFonts w:hint="eastAsia" w:ascii="宋体" w:hAnsi="宋体" w:eastAsia="宋体" w:cs="宋体"/>
          <w:b w:val="0"/>
          <w:bCs/>
          <w:color w:val="auto"/>
          <w:sz w:val="32"/>
          <w:szCs w:val="32"/>
          <w:lang w:val="en-US" w:eastAsia="zh-CN"/>
        </w:rPr>
        <w:t>一般（</w:t>
      </w:r>
      <w:r>
        <w:rPr>
          <w:rFonts w:hint="eastAsia" w:ascii="宋体" w:hAnsi="宋体" w:eastAsia="宋体" w:cs="宋体"/>
          <w:sz w:val="32"/>
          <w:szCs w:val="32"/>
          <w:lang w:eastAsia="zh-CN"/>
        </w:rPr>
        <w:t>Ⅳ级</w:t>
      </w:r>
      <w:r>
        <w:rPr>
          <w:rFonts w:hint="eastAsia" w:ascii="宋体" w:hAnsi="宋体" w:eastAsia="宋体" w:cs="宋体"/>
          <w:b w:val="0"/>
          <w:bCs/>
          <w:color w:val="auto"/>
          <w:sz w:val="32"/>
          <w:szCs w:val="32"/>
          <w:lang w:val="en-US" w:eastAsia="zh-CN"/>
        </w:rPr>
        <w:t>）</w:t>
      </w:r>
      <w:r>
        <w:rPr>
          <w:rFonts w:hint="eastAsia" w:ascii="宋体" w:hAnsi="宋体" w:eastAsia="宋体" w:cs="宋体"/>
          <w:b w:val="0"/>
          <w:bCs/>
          <w:color w:val="000000"/>
          <w:sz w:val="32"/>
          <w:szCs w:val="32"/>
          <w:lang w:val="en-US" w:eastAsia="zh-CN"/>
        </w:rPr>
        <w:t>及以上响应后，沙湾市有关部门及其专业应急救援指挥机构立即按照预案组织相关应急救援力量，配合药品安全突发事发地市场监督管理部门组织实施应急救援。</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沙湾市应急指挥部根据事件具体情况开展应急救援协调工作。有关应急队伍在现场指挥部统一指挥下，密切配合，共同实施救援和紧急处置行动。</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现场指挥部负责现场应急救援的指挥，事发单位和率先到达的应急救援队伍必须迅速、有效地实施先期处置，事发地市场监督管理部门负责协调，全力控制态势发展，果断控制或切断事件灾害链，防止次生、衍生等事件发生。</w:t>
      </w:r>
    </w:p>
    <w:p>
      <w:pPr>
        <w:numPr>
          <w:ilvl w:val="0"/>
          <w:numId w:val="0"/>
        </w:numPr>
        <w:spacing w:line="600" w:lineRule="exact"/>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3.3.4应急响应</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按照统一领导、分级负责的原则，根据药品安全突发事件的级别，药品安全突发事件的应急响应分为 I 级、</w:t>
      </w:r>
      <w:r>
        <w:rPr>
          <w:rFonts w:hint="default" w:ascii="宋体" w:hAnsi="宋体" w:eastAsia="宋体" w:cs="宋体"/>
          <w:b w:val="0"/>
          <w:bCs/>
          <w:color w:val="000000"/>
          <w:sz w:val="32"/>
          <w:szCs w:val="32"/>
          <w:lang w:val="en-US" w:eastAsia="zh-CN"/>
        </w:rPr>
        <w:t xml:space="preserve">II </w:t>
      </w:r>
      <w:r>
        <w:rPr>
          <w:rFonts w:hint="eastAsia" w:ascii="宋体" w:hAnsi="宋体" w:eastAsia="宋体" w:cs="宋体"/>
          <w:b w:val="0"/>
          <w:bCs/>
          <w:color w:val="000000"/>
          <w:sz w:val="32"/>
          <w:szCs w:val="32"/>
          <w:lang w:val="en-US" w:eastAsia="zh-CN"/>
        </w:rPr>
        <w:t>级、</w:t>
      </w:r>
      <w:r>
        <w:rPr>
          <w:rFonts w:hint="default" w:ascii="宋体" w:hAnsi="宋体" w:eastAsia="宋体" w:cs="宋体"/>
          <w:b w:val="0"/>
          <w:bCs/>
          <w:color w:val="000000"/>
          <w:sz w:val="32"/>
          <w:szCs w:val="32"/>
          <w:lang w:val="en-US" w:eastAsia="zh-CN"/>
        </w:rPr>
        <w:t xml:space="preserve">III </w:t>
      </w:r>
      <w:r>
        <w:rPr>
          <w:rFonts w:hint="eastAsia" w:ascii="宋体" w:hAnsi="宋体" w:eastAsia="宋体" w:cs="宋体"/>
          <w:b w:val="0"/>
          <w:bCs/>
          <w:color w:val="000000"/>
          <w:sz w:val="32"/>
          <w:szCs w:val="32"/>
          <w:lang w:val="en-US" w:eastAsia="zh-CN"/>
        </w:rPr>
        <w:t>级、</w:t>
      </w:r>
      <w:r>
        <w:rPr>
          <w:rFonts w:hint="default" w:ascii="宋体" w:hAnsi="宋体" w:eastAsia="宋体" w:cs="宋体"/>
          <w:b w:val="0"/>
          <w:bCs/>
          <w:color w:val="000000"/>
          <w:sz w:val="32"/>
          <w:szCs w:val="32"/>
          <w:lang w:val="en-US" w:eastAsia="zh-CN"/>
        </w:rPr>
        <w:t>IV</w:t>
      </w:r>
      <w:r>
        <w:rPr>
          <w:rFonts w:hint="eastAsia" w:ascii="宋体" w:hAnsi="宋体" w:eastAsia="宋体" w:cs="宋体"/>
          <w:b w:val="0"/>
          <w:bCs/>
          <w:color w:val="000000"/>
          <w:sz w:val="32"/>
          <w:szCs w:val="32"/>
          <w:lang w:val="en-US" w:eastAsia="zh-CN"/>
        </w:rPr>
        <w:t>级。</w:t>
      </w:r>
      <w:r>
        <w:rPr>
          <w:rFonts w:hint="default" w:ascii="宋体" w:hAnsi="宋体" w:eastAsia="宋体" w:cs="宋体"/>
          <w:b w:val="0"/>
          <w:bCs/>
          <w:color w:val="000000"/>
          <w:sz w:val="32"/>
          <w:szCs w:val="32"/>
          <w:lang w:val="en-US" w:eastAsia="zh-CN"/>
        </w:rPr>
        <w:t xml:space="preserve">I </w:t>
      </w:r>
      <w:r>
        <w:rPr>
          <w:rFonts w:hint="eastAsia" w:ascii="宋体" w:hAnsi="宋体" w:eastAsia="宋体" w:cs="宋体"/>
          <w:b w:val="0"/>
          <w:bCs/>
          <w:color w:val="000000"/>
          <w:sz w:val="32"/>
          <w:szCs w:val="32"/>
          <w:lang w:val="en-US" w:eastAsia="zh-CN"/>
        </w:rPr>
        <w:t>级应急响应由国家药品监督管理局启动。</w:t>
      </w:r>
      <w:r>
        <w:rPr>
          <w:rFonts w:hint="default" w:ascii="宋体" w:hAnsi="宋体" w:eastAsia="宋体" w:cs="宋体"/>
          <w:b w:val="0"/>
          <w:bCs/>
          <w:color w:val="000000"/>
          <w:sz w:val="32"/>
          <w:szCs w:val="32"/>
          <w:lang w:val="en-US" w:eastAsia="zh-CN"/>
        </w:rPr>
        <w:t xml:space="preserve">II </w:t>
      </w:r>
      <w:r>
        <w:rPr>
          <w:rFonts w:hint="eastAsia" w:ascii="宋体" w:hAnsi="宋体" w:eastAsia="宋体" w:cs="宋体"/>
          <w:b w:val="0"/>
          <w:bCs/>
          <w:color w:val="000000"/>
          <w:sz w:val="32"/>
          <w:szCs w:val="32"/>
          <w:lang w:val="en-US" w:eastAsia="zh-CN"/>
        </w:rPr>
        <w:t>级应急响应由自治区人民政府启动。</w:t>
      </w:r>
      <w:r>
        <w:rPr>
          <w:rFonts w:hint="default" w:ascii="宋体" w:hAnsi="宋体" w:eastAsia="宋体" w:cs="宋体"/>
          <w:b w:val="0"/>
          <w:bCs/>
          <w:color w:val="000000"/>
          <w:sz w:val="32"/>
          <w:szCs w:val="32"/>
          <w:lang w:val="en-US" w:eastAsia="zh-CN"/>
        </w:rPr>
        <w:t xml:space="preserve">III </w:t>
      </w:r>
      <w:r>
        <w:rPr>
          <w:rFonts w:hint="eastAsia" w:ascii="宋体" w:hAnsi="宋体" w:eastAsia="宋体" w:cs="宋体"/>
          <w:b w:val="0"/>
          <w:bCs/>
          <w:color w:val="000000"/>
          <w:sz w:val="32"/>
          <w:szCs w:val="32"/>
          <w:lang w:val="en-US" w:eastAsia="zh-CN"/>
        </w:rPr>
        <w:t>级应急响应由地区行署启动。</w:t>
      </w:r>
      <w:r>
        <w:rPr>
          <w:rFonts w:hint="default" w:ascii="宋体" w:hAnsi="宋体" w:eastAsia="宋体" w:cs="宋体"/>
          <w:b w:val="0"/>
          <w:bCs/>
          <w:color w:val="000000"/>
          <w:sz w:val="32"/>
          <w:szCs w:val="32"/>
          <w:lang w:val="en-US" w:eastAsia="zh-CN"/>
        </w:rPr>
        <w:t xml:space="preserve">IV </w:t>
      </w:r>
      <w:r>
        <w:rPr>
          <w:rFonts w:hint="eastAsia" w:ascii="宋体" w:hAnsi="宋体" w:eastAsia="宋体" w:cs="宋体"/>
          <w:b w:val="0"/>
          <w:bCs/>
          <w:color w:val="000000"/>
          <w:sz w:val="32"/>
          <w:szCs w:val="32"/>
          <w:lang w:val="en-US" w:eastAsia="zh-CN"/>
        </w:rPr>
        <w:t>级应急响应由县（市）人民政府启动。</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各级应急指挥中心根据药品安全突发事件的分类及响应机制，提出突发事件响应级别建议，根据审批权限启动应急响应，并按照响应级别开展工作。</w:t>
      </w:r>
    </w:p>
    <w:p>
      <w:pPr>
        <w:numPr>
          <w:ilvl w:val="0"/>
          <w:numId w:val="0"/>
        </w:numPr>
        <w:spacing w:line="600" w:lineRule="exact"/>
        <w:rPr>
          <w:rFonts w:hint="eastAsia" w:ascii="宋体" w:hAnsi="宋体" w:eastAsia="宋体" w:cs="宋体"/>
          <w:b/>
          <w:bCs w:val="0"/>
          <w:color w:val="000000"/>
          <w:sz w:val="32"/>
          <w:szCs w:val="32"/>
          <w:lang w:val="en-US" w:eastAsia="zh-CN"/>
        </w:rPr>
      </w:pPr>
      <w:r>
        <w:rPr>
          <w:rFonts w:hint="eastAsia" w:ascii="宋体" w:hAnsi="宋体" w:eastAsia="宋体" w:cs="宋体"/>
          <w:b w:val="0"/>
          <w:bCs/>
          <w:color w:val="000000"/>
          <w:sz w:val="32"/>
          <w:szCs w:val="32"/>
          <w:lang w:val="en-US" w:eastAsia="zh-CN"/>
        </w:rPr>
        <w:t xml:space="preserve">    </w:t>
      </w:r>
      <w:r>
        <w:rPr>
          <w:rFonts w:hint="eastAsia" w:ascii="宋体" w:hAnsi="宋体" w:eastAsia="宋体" w:cs="宋体"/>
          <w:b/>
          <w:bCs w:val="0"/>
          <w:color w:val="000000"/>
          <w:sz w:val="32"/>
          <w:szCs w:val="32"/>
          <w:lang w:val="en-US" w:eastAsia="zh-CN"/>
        </w:rPr>
        <w:t xml:space="preserve"> (一)Ⅰ级响应（特别重大药品安全突发事件）</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由国家药品监督管理局启动。</w:t>
      </w:r>
    </w:p>
    <w:p>
      <w:pPr>
        <w:numPr>
          <w:ilvl w:val="0"/>
          <w:numId w:val="0"/>
        </w:numPr>
        <w:spacing w:line="600" w:lineRule="exact"/>
        <w:rPr>
          <w:rFonts w:hint="default" w:ascii="宋体" w:hAnsi="宋体" w:eastAsia="宋体" w:cs="宋体"/>
          <w:b/>
          <w:bCs w:val="0"/>
          <w:color w:val="000000"/>
          <w:sz w:val="32"/>
          <w:szCs w:val="32"/>
          <w:lang w:val="en-US" w:eastAsia="zh-CN"/>
        </w:rPr>
      </w:pPr>
      <w:r>
        <w:rPr>
          <w:rFonts w:hint="eastAsia" w:ascii="宋体" w:hAnsi="宋体" w:eastAsia="宋体" w:cs="宋体"/>
          <w:b w:val="0"/>
          <w:bCs/>
          <w:color w:val="000000"/>
          <w:sz w:val="32"/>
          <w:szCs w:val="32"/>
          <w:lang w:val="en-US" w:eastAsia="zh-CN"/>
        </w:rPr>
        <w:t xml:space="preserve">     </w:t>
      </w:r>
      <w:r>
        <w:rPr>
          <w:rFonts w:hint="eastAsia" w:ascii="宋体" w:hAnsi="宋体" w:eastAsia="宋体" w:cs="宋体"/>
          <w:b/>
          <w:bCs w:val="0"/>
          <w:color w:val="000000"/>
          <w:sz w:val="32"/>
          <w:szCs w:val="32"/>
          <w:lang w:val="en-US" w:eastAsia="zh-CN"/>
        </w:rPr>
        <w:t>(二)Ⅱ级响应（重大药品安全突发事件）</w:t>
      </w:r>
    </w:p>
    <w:p>
      <w:pPr>
        <w:numPr>
          <w:ilvl w:val="0"/>
          <w:numId w:val="0"/>
        </w:numPr>
        <w:spacing w:line="600" w:lineRule="exact"/>
        <w:ind w:firstLine="640" w:firstLineChars="200"/>
        <w:rPr>
          <w:rFonts w:hint="default"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由自治区人民政府启动。</w:t>
      </w:r>
    </w:p>
    <w:p>
      <w:pPr>
        <w:numPr>
          <w:ilvl w:val="0"/>
          <w:numId w:val="0"/>
        </w:numPr>
        <w:spacing w:line="600" w:lineRule="exact"/>
        <w:rPr>
          <w:rFonts w:hint="default"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 xml:space="preserve">    </w:t>
      </w:r>
      <w:r>
        <w:rPr>
          <w:rFonts w:hint="eastAsia" w:ascii="宋体" w:hAnsi="宋体" w:eastAsia="宋体" w:cs="宋体"/>
          <w:b/>
          <w:bCs w:val="0"/>
          <w:color w:val="000000"/>
          <w:sz w:val="32"/>
          <w:szCs w:val="32"/>
          <w:lang w:val="en-US" w:eastAsia="zh-CN"/>
        </w:rPr>
        <w:t xml:space="preserve"> (三)Ⅲ级响应（较大药品安全突发事件）</w:t>
      </w:r>
    </w:p>
    <w:p>
      <w:pPr>
        <w:numPr>
          <w:ilvl w:val="0"/>
          <w:numId w:val="0"/>
        </w:numPr>
        <w:spacing w:line="600" w:lineRule="exact"/>
        <w:ind w:firstLine="640" w:firstLineChars="200"/>
        <w:rPr>
          <w:rFonts w:hint="default"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根据应对药品突发事件情况和实际需要，经塔城地区药品安全突发事件应急指挥中心评估认为符合Ⅲ级事件时，向塔城地区药品安全突发事件应急指挥部提出启动响应级别建议，由指挥部确认后报塔城地区行政公署批准启动，并向自治区市场监督管理局（药品监督管理局）报告情况。</w:t>
      </w:r>
    </w:p>
    <w:p>
      <w:pPr>
        <w:numPr>
          <w:ilvl w:val="0"/>
          <w:numId w:val="0"/>
        </w:numPr>
        <w:spacing w:line="600" w:lineRule="exact"/>
        <w:rPr>
          <w:rFonts w:hint="default"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 xml:space="preserve">   </w:t>
      </w:r>
      <w:r>
        <w:rPr>
          <w:rFonts w:hint="eastAsia" w:ascii="宋体" w:hAnsi="宋体" w:eastAsia="宋体" w:cs="宋体"/>
          <w:b/>
          <w:bCs w:val="0"/>
          <w:color w:val="000000"/>
          <w:sz w:val="32"/>
          <w:szCs w:val="32"/>
          <w:lang w:val="en-US" w:eastAsia="zh-CN"/>
        </w:rPr>
        <w:t xml:space="preserve">  (四)Ⅳ级响应（一般药品安全突发事件）</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沙湾市根据应对药品安全突发事件情况和实际需要，经沙湾市应急指挥中心评估认为符合Ⅳ级事件时，向沙湾市应急指挥部提出启动响应级别建议，由指挥部确认后报沙湾市人民政府批准启动，并向塔城地区市场监督管理局报告情况。</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各级政府根据突发事件处置情况，可对响应级别进行调整。药品安全突发事件危害和影响持续扩大蔓延，情况复杂难以控制时，沙湾市应急指挥部及时评估提出提升响应级别建议，按程序报请提高响应级别。事件危害得到有效控制，经塔城地区应急指挥中心评估，危害和影响已降至原级别标准时，可以恢复原响应级别，直到响应终止。</w:t>
      </w:r>
    </w:p>
    <w:p>
      <w:pPr>
        <w:numPr>
          <w:ilvl w:val="0"/>
          <w:numId w:val="0"/>
        </w:numPr>
        <w:spacing w:line="600" w:lineRule="exact"/>
        <w:ind w:firstLine="643" w:firstLineChars="200"/>
        <w:rPr>
          <w:rFonts w:hint="eastAsia" w:ascii="宋体" w:hAnsi="宋体" w:eastAsia="宋体" w:cs="宋体"/>
          <w:b/>
          <w:bCs w:val="0"/>
          <w:color w:val="000000"/>
          <w:sz w:val="32"/>
          <w:szCs w:val="32"/>
          <w:lang w:val="en-US" w:eastAsia="zh-CN"/>
        </w:rPr>
      </w:pPr>
      <w:r>
        <w:rPr>
          <w:rFonts w:hint="eastAsia" w:ascii="宋体" w:hAnsi="宋体" w:eastAsia="宋体" w:cs="宋体"/>
          <w:b/>
          <w:bCs w:val="0"/>
          <w:color w:val="000000"/>
          <w:sz w:val="32"/>
          <w:szCs w:val="32"/>
          <w:lang w:val="en-US" w:eastAsia="zh-CN"/>
        </w:rPr>
        <w:t>3.3.5信息发布</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药品安全突发事件信息发布应坚持实事求是、及时准确、客观全面、科学公正的原则。信息发布包括举行新闻发布会、组织媒体报道、提供新闻通稿等多种形式。药品安全事件信息由沙湾市应急指挥部按程序报请有关部门发布。</w:t>
      </w:r>
    </w:p>
    <w:p>
      <w:pPr>
        <w:numPr>
          <w:ilvl w:val="0"/>
          <w:numId w:val="0"/>
        </w:numPr>
        <w:spacing w:line="600" w:lineRule="exact"/>
        <w:ind w:firstLine="640" w:firstLineChars="200"/>
        <w:rPr>
          <w:rFonts w:hint="eastAsia" w:ascii="宋体" w:hAnsi="宋体" w:eastAsia="宋体" w:cs="宋体"/>
          <w:b w:val="0"/>
          <w:bCs/>
          <w:color w:val="000000"/>
          <w:sz w:val="32"/>
          <w:szCs w:val="32"/>
          <w:lang w:val="en-US" w:eastAsia="zh-CN"/>
        </w:rPr>
      </w:pPr>
      <w:r>
        <w:rPr>
          <w:rFonts w:hint="eastAsia" w:ascii="宋体" w:hAnsi="宋体" w:eastAsia="宋体" w:cs="宋体"/>
          <w:b w:val="0"/>
          <w:bCs/>
          <w:color w:val="000000"/>
          <w:sz w:val="32"/>
          <w:szCs w:val="32"/>
          <w:lang w:val="en-US" w:eastAsia="zh-CN"/>
        </w:rPr>
        <w:t>药品安全突发事件发生后，应及时向社会发布简要信息，回应社会关切，并根据事件发展情况做好后续信息发布</w:t>
      </w:r>
      <w:bookmarkStart w:id="0" w:name="_GoBack"/>
      <w:bookmarkEnd w:id="0"/>
      <w:r>
        <w:rPr>
          <w:rFonts w:hint="eastAsia" w:ascii="宋体" w:hAnsi="宋体" w:eastAsia="宋体" w:cs="宋体"/>
          <w:b w:val="0"/>
          <w:bCs/>
          <w:color w:val="000000"/>
          <w:sz w:val="32"/>
          <w:szCs w:val="32"/>
          <w:lang w:val="en-US" w:eastAsia="zh-CN"/>
        </w:rPr>
        <w:t>工作。</w:t>
      </w:r>
    </w:p>
    <w:p>
      <w:pPr>
        <w:numPr>
          <w:ilvl w:val="0"/>
          <w:numId w:val="0"/>
        </w:numPr>
        <w:spacing w:line="600" w:lineRule="exact"/>
        <w:ind w:firstLine="643" w:firstLineChars="200"/>
        <w:rPr>
          <w:rFonts w:hint="eastAsia" w:ascii="宋体" w:hAnsi="宋体" w:eastAsia="宋体" w:cs="宋体"/>
          <w:b/>
          <w:bCs w:val="0"/>
          <w:color w:val="auto"/>
          <w:sz w:val="32"/>
          <w:szCs w:val="32"/>
          <w:lang w:val="en-US" w:eastAsia="zh-CN"/>
        </w:rPr>
      </w:pPr>
      <w:r>
        <w:rPr>
          <w:rFonts w:hint="eastAsia" w:ascii="宋体" w:hAnsi="宋体" w:eastAsia="宋体" w:cs="宋体"/>
          <w:b/>
          <w:bCs w:val="0"/>
          <w:color w:val="000000"/>
          <w:sz w:val="32"/>
          <w:szCs w:val="32"/>
          <w:lang w:val="en-US" w:eastAsia="zh-CN"/>
        </w:rPr>
        <w:t>3.3.6</w:t>
      </w:r>
      <w:r>
        <w:rPr>
          <w:rFonts w:hint="eastAsia" w:ascii="宋体" w:hAnsi="宋体" w:eastAsia="宋体" w:cs="宋体"/>
          <w:b/>
          <w:bCs w:val="0"/>
          <w:color w:val="auto"/>
          <w:sz w:val="32"/>
          <w:szCs w:val="32"/>
          <w:lang w:val="en-US" w:eastAsia="zh-CN"/>
        </w:rPr>
        <w:t>应急终止</w:t>
      </w:r>
    </w:p>
    <w:p>
      <w:pPr>
        <w:numPr>
          <w:ilvl w:val="0"/>
          <w:numId w:val="0"/>
        </w:numPr>
        <w:spacing w:line="600" w:lineRule="exact"/>
        <w:ind w:firstLine="640" w:firstLineChars="200"/>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药品安全突发事件应急响应终止遵循“谁启动谁终止”原则，在突发事件应急处置结束或相关危险因素消除后，由应急指挥中心组织专家进行评估论证，根据有关权限和程序，终止应急响应，并向上一级应急指挥中心报告。</w:t>
      </w:r>
    </w:p>
    <w:p>
      <w:pPr>
        <w:numPr>
          <w:ilvl w:val="0"/>
          <w:numId w:val="0"/>
        </w:numPr>
        <w:spacing w:line="600" w:lineRule="exact"/>
        <w:ind w:firstLine="640" w:firstLineChars="200"/>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终止应急响应需符合以下条件：突发事件隐患或危险因素消除；发生突发事件的药品医疗器械产品全部得到有效控制；入院患者不足涉事人员的5%。</w:t>
      </w:r>
    </w:p>
    <w:p>
      <w:pPr>
        <w:numPr>
          <w:ilvl w:val="0"/>
          <w:numId w:val="0"/>
        </w:numPr>
        <w:spacing w:line="600" w:lineRule="exact"/>
        <w:ind w:firstLine="643" w:firstLineChars="200"/>
        <w:rPr>
          <w:rFonts w:hint="eastAsia" w:ascii="宋体" w:hAnsi="宋体" w:eastAsia="宋体" w:cs="宋体"/>
          <w:b/>
          <w:bCs w:val="0"/>
          <w:color w:val="000000"/>
          <w:sz w:val="32"/>
          <w:szCs w:val="32"/>
          <w:lang w:val="en-US" w:eastAsia="zh-CN"/>
        </w:rPr>
      </w:pPr>
      <w:r>
        <w:rPr>
          <w:rFonts w:hint="eastAsia" w:ascii="宋体" w:hAnsi="宋体" w:eastAsia="宋体" w:cs="宋体"/>
          <w:b/>
          <w:bCs w:val="0"/>
          <w:color w:val="000000"/>
          <w:sz w:val="32"/>
          <w:szCs w:val="32"/>
          <w:lang w:val="en-US" w:eastAsia="zh-CN"/>
        </w:rPr>
        <w:t>3.4恢复与重建</w:t>
      </w:r>
    </w:p>
    <w:p>
      <w:pPr>
        <w:numPr>
          <w:ilvl w:val="0"/>
          <w:numId w:val="0"/>
        </w:numPr>
        <w:spacing w:line="600" w:lineRule="exact"/>
        <w:ind w:firstLine="643" w:firstLineChars="200"/>
        <w:rPr>
          <w:rFonts w:hint="eastAsia" w:ascii="宋体" w:hAnsi="宋体" w:eastAsia="宋体" w:cs="宋体"/>
          <w:b/>
          <w:bCs w:val="0"/>
          <w:color w:val="000000"/>
          <w:sz w:val="32"/>
          <w:szCs w:val="32"/>
          <w:lang w:val="en-US" w:eastAsia="zh-CN"/>
        </w:rPr>
      </w:pPr>
      <w:r>
        <w:rPr>
          <w:rFonts w:hint="eastAsia" w:ascii="宋体" w:hAnsi="宋体" w:eastAsia="宋体" w:cs="宋体"/>
          <w:b/>
          <w:bCs w:val="0"/>
          <w:color w:val="000000"/>
          <w:sz w:val="32"/>
          <w:szCs w:val="32"/>
          <w:lang w:val="en-US" w:eastAsia="zh-CN"/>
        </w:rPr>
        <w:t>3.4.1后期处置</w:t>
      </w:r>
    </w:p>
    <w:p>
      <w:pPr>
        <w:numPr>
          <w:ilvl w:val="0"/>
          <w:numId w:val="0"/>
        </w:numPr>
        <w:spacing w:line="600" w:lineRule="exact"/>
        <w:ind w:firstLine="640" w:firstLineChars="200"/>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按照事件级别，由相应的市场监督管理部门根据调查结果和认定结论，依法对相关责任单位、责任人员采取处理措施。</w:t>
      </w:r>
    </w:p>
    <w:p>
      <w:pPr>
        <w:numPr>
          <w:ilvl w:val="0"/>
          <w:numId w:val="4"/>
        </w:numPr>
        <w:spacing w:line="600" w:lineRule="exact"/>
        <w:ind w:firstLine="640" w:firstLineChars="200"/>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涉嫌生产、销售假劣药品并构成犯罪的，及时移交公安机关并协助开展案件调查工作。</w:t>
      </w:r>
    </w:p>
    <w:p>
      <w:pPr>
        <w:numPr>
          <w:ilvl w:val="0"/>
          <w:numId w:val="4"/>
        </w:numPr>
        <w:spacing w:line="600" w:lineRule="exact"/>
        <w:ind w:firstLine="640" w:firstLineChars="200"/>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确定是药品质量导致的，依法联系对有关药品生产经营企业所属的市场监督管理部门进行查处。</w:t>
      </w:r>
    </w:p>
    <w:p>
      <w:pPr>
        <w:numPr>
          <w:ilvl w:val="0"/>
          <w:numId w:val="4"/>
        </w:numPr>
        <w:spacing w:line="600" w:lineRule="exact"/>
        <w:ind w:firstLine="640" w:firstLineChars="200"/>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确定是临床用药不合理或错误导致的，移交卫生健康部门对有关医疗机构依法依规处理。</w:t>
      </w:r>
    </w:p>
    <w:p>
      <w:pPr>
        <w:numPr>
          <w:ilvl w:val="0"/>
          <w:numId w:val="4"/>
        </w:numPr>
        <w:spacing w:line="600" w:lineRule="exact"/>
        <w:ind w:firstLine="640" w:firstLineChars="200"/>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确定为新的药品严重不良反应的，上报地区市场监督管理局，由自治区市场监督管理局（药品监督管理局）统一报请国家市场监督管理总局、国家药品监督管理局组织开展安全性再评价，根据再评价结果调整生产和使用政策。</w:t>
      </w:r>
    </w:p>
    <w:p>
      <w:pPr>
        <w:numPr>
          <w:ilvl w:val="0"/>
          <w:numId w:val="4"/>
        </w:numPr>
        <w:spacing w:line="600" w:lineRule="exact"/>
        <w:ind w:firstLine="640" w:firstLineChars="200"/>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对瞒报、谎报、迟报和漏报药品安全突发事件重要信息或应急处置工作中有其他失职、渎职行为的，依法依规追究有关部门、人员的责任；涉嫌犯罪的移交司法机关依法处理。</w:t>
      </w:r>
    </w:p>
    <w:p>
      <w:pPr>
        <w:numPr>
          <w:ilvl w:val="0"/>
          <w:numId w:val="0"/>
        </w:numPr>
        <w:spacing w:line="600" w:lineRule="exact"/>
        <w:ind w:firstLine="643" w:firstLineChars="200"/>
        <w:rPr>
          <w:rFonts w:hint="eastAsia" w:ascii="宋体" w:hAnsi="宋体" w:eastAsia="宋体" w:cs="宋体"/>
          <w:b/>
          <w:bCs w:val="0"/>
          <w:color w:val="000000"/>
          <w:sz w:val="32"/>
          <w:szCs w:val="32"/>
          <w:lang w:val="en-US" w:eastAsia="zh-CN"/>
        </w:rPr>
      </w:pPr>
      <w:r>
        <w:rPr>
          <w:rFonts w:hint="eastAsia" w:ascii="宋体" w:hAnsi="宋体" w:eastAsia="宋体" w:cs="宋体"/>
          <w:b/>
          <w:bCs w:val="0"/>
          <w:color w:val="000000"/>
          <w:sz w:val="32"/>
          <w:szCs w:val="32"/>
          <w:lang w:val="en-US" w:eastAsia="zh-CN"/>
        </w:rPr>
        <w:t>3.4.2调查与评估</w:t>
      </w:r>
    </w:p>
    <w:p>
      <w:pPr>
        <w:numPr>
          <w:ilvl w:val="0"/>
          <w:numId w:val="0"/>
        </w:numPr>
        <w:spacing w:line="600" w:lineRule="exact"/>
        <w:ind w:firstLine="640" w:firstLineChars="200"/>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药品安全突发事件处置工作结束后，根据事件级别由相应的市场监督管理部门组织有关人员及时对突发事件处置情况进行评估。主要内容包括：事件概况、现场调查处理情况、患者救治情况、；所采取措施效果评价、应急处置过程中存在的问题、取得的经验及改进建议。沙湾市应急指挥中心依据评估结果和事件处置的全过程形成结案报告，报送沙湾市人民政府和塔城地区市场监督管理局。</w:t>
      </w:r>
    </w:p>
    <w:p>
      <w:pPr>
        <w:numPr>
          <w:ilvl w:val="0"/>
          <w:numId w:val="0"/>
        </w:numPr>
        <w:spacing w:line="600" w:lineRule="exact"/>
        <w:ind w:firstLine="643" w:firstLineChars="200"/>
        <w:rPr>
          <w:rFonts w:hint="eastAsia" w:ascii="宋体" w:hAnsi="宋体" w:eastAsia="宋体" w:cs="宋体"/>
          <w:b/>
          <w:bCs w:val="0"/>
          <w:color w:val="000000"/>
          <w:sz w:val="32"/>
          <w:szCs w:val="32"/>
          <w:lang w:val="en-US" w:eastAsia="zh-CN"/>
        </w:rPr>
      </w:pPr>
      <w:r>
        <w:rPr>
          <w:rFonts w:hint="eastAsia" w:ascii="宋体" w:hAnsi="宋体" w:eastAsia="宋体" w:cs="宋体"/>
          <w:b/>
          <w:bCs w:val="0"/>
          <w:color w:val="000000"/>
          <w:sz w:val="32"/>
          <w:szCs w:val="32"/>
          <w:lang w:val="en-US" w:eastAsia="zh-CN"/>
        </w:rPr>
        <w:t>3.4.3恢复重建</w:t>
      </w:r>
    </w:p>
    <w:p>
      <w:pPr>
        <w:numPr>
          <w:ilvl w:val="0"/>
          <w:numId w:val="0"/>
        </w:numPr>
        <w:spacing w:line="600" w:lineRule="exact"/>
        <w:ind w:firstLine="640" w:firstLineChars="200"/>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突发事件的威胁和危害得到控制后者消除后，沙湾市人民政府应采取事件监控、宣传疏导等措施，防止发生次生、衍生等事件。按照短期恢复与长远发展并重的原则，科学编制恢复重建规划，制定康复、补偿、抚恤、安置等善后工作计划并组织实施。设置过渡性安置场所，组织开展过渡性安置工作。组织有关专业机构和人员对受突发事件影响的公民开展心理咨询活动，进行心理干预，提供法律和公共文化服务。</w:t>
      </w:r>
    </w:p>
    <w:p>
      <w:pPr>
        <w:numPr>
          <w:ilvl w:val="0"/>
          <w:numId w:val="0"/>
        </w:numPr>
        <w:spacing w:line="600" w:lineRule="exact"/>
        <w:ind w:firstLine="640" w:firstLineChars="200"/>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受突发事件影响地区的公民应当服从当地人民政府的指挥和安排，配合当地市场监督管理局部门实施的应急措施，积极参加恢复与重建工作。</w:t>
      </w:r>
    </w:p>
    <w:p>
      <w:pPr>
        <w:numPr>
          <w:ilvl w:val="0"/>
          <w:numId w:val="0"/>
        </w:numPr>
        <w:spacing w:line="600" w:lineRule="exact"/>
        <w:ind w:firstLine="640" w:firstLineChars="200"/>
        <w:rPr>
          <w:rFonts w:hint="default" w:ascii="宋体" w:hAnsi="宋体" w:eastAsia="宋体" w:cs="宋体"/>
          <w:b w:val="0"/>
          <w:bCs/>
          <w:sz w:val="32"/>
          <w:szCs w:val="32"/>
          <w:lang w:val="en-US" w:eastAsia="zh-CN"/>
        </w:rPr>
      </w:pPr>
      <w:r>
        <w:rPr>
          <w:rFonts w:hint="eastAsia" w:ascii="宋体" w:hAnsi="宋体" w:eastAsia="宋体" w:cs="宋体"/>
          <w:b w:val="0"/>
          <w:bCs/>
          <w:color w:val="auto"/>
          <w:sz w:val="32"/>
          <w:szCs w:val="32"/>
          <w:lang w:val="en-US" w:eastAsia="zh-CN"/>
        </w:rPr>
        <w:t>沙湾市市场监督管理局应当建立突发事件应急工作档案管理制度。应急处置工作结束后，对突发事件应急工作的原始记录等有关资料进行收集、整理和归档。</w:t>
      </w: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lang w:val="en-US" w:eastAsia="zh-CN"/>
        </w:rPr>
        <w:t>4</w:t>
      </w:r>
      <w:r>
        <w:rPr>
          <w:rFonts w:hint="eastAsia" w:ascii="宋体" w:hAnsi="宋体" w:eastAsia="宋体" w:cs="宋体"/>
          <w:b/>
          <w:sz w:val="32"/>
          <w:szCs w:val="32"/>
        </w:rPr>
        <w:t>　应急保障</w:t>
      </w:r>
    </w:p>
    <w:p>
      <w:pPr>
        <w:spacing w:line="600" w:lineRule="exact"/>
        <w:ind w:firstLine="630" w:firstLineChars="196"/>
        <w:rPr>
          <w:rFonts w:hint="eastAsia" w:ascii="宋体" w:hAnsi="宋体" w:eastAsia="宋体" w:cs="宋体"/>
          <w:b/>
          <w:sz w:val="32"/>
          <w:szCs w:val="32"/>
        </w:rPr>
      </w:pPr>
      <w:r>
        <w:rPr>
          <w:rFonts w:hint="eastAsia" w:ascii="宋体" w:hAnsi="宋体" w:eastAsia="宋体" w:cs="宋体"/>
          <w:b/>
          <w:sz w:val="32"/>
          <w:szCs w:val="32"/>
          <w:lang w:val="en-US" w:eastAsia="zh-CN"/>
        </w:rPr>
        <w:t>4</w:t>
      </w:r>
      <w:r>
        <w:rPr>
          <w:rFonts w:hint="eastAsia" w:ascii="宋体" w:hAnsi="宋体" w:eastAsia="宋体" w:cs="宋体"/>
          <w:b/>
          <w:sz w:val="32"/>
          <w:szCs w:val="32"/>
        </w:rPr>
        <w:t>.1　</w:t>
      </w:r>
      <w:r>
        <w:rPr>
          <w:rFonts w:hint="eastAsia" w:ascii="宋体" w:hAnsi="宋体" w:eastAsia="宋体" w:cs="宋体"/>
          <w:b/>
          <w:sz w:val="32"/>
          <w:szCs w:val="32"/>
          <w:lang w:eastAsia="zh-CN"/>
        </w:rPr>
        <w:t>医疗</w:t>
      </w:r>
      <w:r>
        <w:rPr>
          <w:rFonts w:hint="eastAsia" w:ascii="宋体" w:hAnsi="宋体" w:eastAsia="宋体" w:cs="宋体"/>
          <w:b/>
          <w:sz w:val="32"/>
          <w:szCs w:val="32"/>
        </w:rPr>
        <w:t>保障</w:t>
      </w:r>
    </w:p>
    <w:p>
      <w:pPr>
        <w:spacing w:line="600" w:lineRule="exact"/>
        <w:ind w:firstLine="627" w:firstLineChars="196"/>
        <w:rPr>
          <w:rFonts w:hint="eastAsia" w:ascii="宋体" w:hAnsi="宋体" w:eastAsia="宋体" w:cs="宋体"/>
          <w:b w:val="0"/>
          <w:bCs/>
          <w:sz w:val="32"/>
          <w:szCs w:val="32"/>
          <w:lang w:eastAsia="zh-CN"/>
        </w:rPr>
      </w:pPr>
      <w:r>
        <w:rPr>
          <w:rFonts w:hint="eastAsia" w:ascii="宋体" w:hAnsi="宋体" w:eastAsia="宋体" w:cs="宋体"/>
          <w:b w:val="0"/>
          <w:bCs/>
          <w:sz w:val="32"/>
          <w:szCs w:val="32"/>
          <w:lang w:eastAsia="zh-CN"/>
        </w:rPr>
        <w:t>沙湾市卫生健康部门负责组建医疗卫生救治应急专业技术队伍，拟定医疗救护保障方案，根据需要及时赶赴现场开展医疗救治、疾病预防控制等应急工作。</w:t>
      </w:r>
    </w:p>
    <w:p>
      <w:pPr>
        <w:spacing w:line="600" w:lineRule="exact"/>
        <w:ind w:firstLine="630" w:firstLineChars="196"/>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4.2经费保障</w:t>
      </w:r>
    </w:p>
    <w:p>
      <w:pPr>
        <w:spacing w:line="600" w:lineRule="exact"/>
        <w:ind w:firstLine="627" w:firstLineChars="196"/>
      </w:pPr>
      <w:r>
        <w:rPr>
          <w:rFonts w:hint="eastAsia" w:ascii="宋体" w:hAnsi="宋体" w:eastAsia="宋体" w:cs="宋体"/>
          <w:b w:val="0"/>
          <w:bCs/>
          <w:sz w:val="32"/>
          <w:szCs w:val="32"/>
          <w:lang w:val="en-US" w:eastAsia="zh-CN"/>
        </w:rPr>
        <w:t>药品安全突发事件应急处置、产品抽样、检验监测、风险评估、培训、演练等工作所需经费应列入年度财政预算予以保障。</w:t>
      </w:r>
      <w:r>
        <w:rPr>
          <w:rFonts w:ascii="仿宋_GB2312" w:hAnsi="仿宋_GB2312" w:eastAsia="仿宋_GB2312" w:cs="仿宋_GB2312"/>
          <w:color w:val="000000"/>
          <w:kern w:val="0"/>
          <w:sz w:val="31"/>
          <w:szCs w:val="31"/>
          <w:lang w:val="en-US" w:eastAsia="zh-CN" w:bidi="ar"/>
        </w:rPr>
        <w:t xml:space="preserve"> </w:t>
      </w:r>
    </w:p>
    <w:p>
      <w:pPr>
        <w:spacing w:line="600" w:lineRule="exac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 xml:space="preserve">    </w:t>
      </w:r>
      <w:r>
        <w:rPr>
          <w:rFonts w:hint="eastAsia" w:ascii="宋体" w:hAnsi="宋体" w:eastAsia="宋体" w:cs="宋体"/>
          <w:b/>
          <w:sz w:val="32"/>
          <w:szCs w:val="32"/>
          <w:lang w:val="en-US" w:eastAsia="zh-CN"/>
        </w:rPr>
        <w:t>4.3物资保障</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按照分级负责的原则，各级人民政府负责药品安全突发事件应急处置所需设施、设备、物资（包括控制药品安全事件所需药品、试剂、检测设施等）的储备、调拨补充与供应保障。</w:t>
      </w:r>
    </w:p>
    <w:p>
      <w:pPr>
        <w:spacing w:line="600" w:lineRule="exact"/>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 xml:space="preserve">    4.4通信保障</w:t>
      </w:r>
    </w:p>
    <w:p>
      <w:p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各级人民政府应建立健全应急通信保障机制，完善公用通信网络，建立有线和无线相结合、基础电信网络与机动通信系统相配套的应急通信体系，确保通信畅通。市场监督管理局要加强应急值班值守，确保应急状态下的通信畅通。</w:t>
      </w:r>
    </w:p>
    <w:p>
      <w:pPr>
        <w:spacing w:line="600" w:lineRule="exact"/>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 xml:space="preserve">    4.5技术保障</w:t>
      </w:r>
    </w:p>
    <w:p>
      <w:pPr>
        <w:spacing w:line="600" w:lineRule="exact"/>
        <w:ind w:firstLine="627" w:firstLineChars="196"/>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市场监督管理局应会同沙湾市卫生健康委员</w:t>
      </w:r>
      <w:r>
        <w:rPr>
          <w:rFonts w:hint="eastAsia" w:ascii="宋体" w:hAnsi="宋体" w:eastAsia="宋体" w:cs="宋体"/>
          <w:b w:val="0"/>
          <w:bCs/>
          <w:color w:val="auto"/>
          <w:sz w:val="32"/>
          <w:szCs w:val="32"/>
          <w:lang w:val="en-US" w:eastAsia="zh-CN"/>
        </w:rPr>
        <w:t>会建立相应的专家库，制定药品安全突发事件专家管理办法，加强</w:t>
      </w:r>
      <w:r>
        <w:rPr>
          <w:rFonts w:hint="eastAsia" w:ascii="宋体" w:hAnsi="宋体" w:eastAsia="宋体" w:cs="宋体"/>
          <w:b w:val="0"/>
          <w:bCs/>
          <w:sz w:val="32"/>
          <w:szCs w:val="32"/>
          <w:lang w:val="en-US" w:eastAsia="zh-CN"/>
        </w:rPr>
        <w:t>应急处置技术培训，配齐应急装备；各级政府应加强药品不良反应监测机构、检验检测机构建设，确保设施、设备、人员、职能四到位。</w:t>
      </w:r>
    </w:p>
    <w:p>
      <w:pPr>
        <w:spacing w:line="600" w:lineRule="exact"/>
        <w:ind w:firstLine="630" w:firstLineChars="196"/>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5 预案管理</w:t>
      </w:r>
    </w:p>
    <w:p>
      <w:pPr>
        <w:spacing w:line="600" w:lineRule="exact"/>
        <w:ind w:firstLine="630" w:firstLineChars="196"/>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5.1预案编制</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sz w:val="32"/>
          <w:szCs w:val="32"/>
          <w:lang w:val="en-US" w:eastAsia="zh-CN"/>
        </w:rPr>
        <w:t>沙湾市编制药品安全突发事件专项应急预案应当在风险评估和应急资源调查的基础上进行，确保预案的科学性、实用性和可操作性，编制过程中应广泛听取有关部门、单位和专家的意见，</w:t>
      </w:r>
      <w:r>
        <w:rPr>
          <w:rFonts w:hint="eastAsia" w:ascii="宋体" w:hAnsi="宋体" w:eastAsia="宋体" w:cs="宋体"/>
          <w:b w:val="0"/>
          <w:bCs/>
          <w:color w:val="auto"/>
          <w:sz w:val="32"/>
          <w:szCs w:val="32"/>
          <w:lang w:val="en-US" w:eastAsia="zh-CN"/>
        </w:rPr>
        <w:t>涉及其他单位职责的应当书面征求意见。</w:t>
      </w:r>
    </w:p>
    <w:p>
      <w:pPr>
        <w:spacing w:line="600" w:lineRule="exact"/>
        <w:ind w:firstLine="630" w:firstLineChars="196"/>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5.2预案审批与衔接</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沙湾市药品安全突发事件专项应急预案，报沙湾市人民政府审批后印发实施，并报塔城地区市场监督管理局备案。各级药品安全突发事件应急预案衔接应当遵循“下级服从上级，预案之间不得相互矛盾”的原则。</w:t>
      </w:r>
    </w:p>
    <w:p>
      <w:pPr>
        <w:spacing w:line="600" w:lineRule="exact"/>
        <w:ind w:firstLine="630" w:firstLineChars="196"/>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5.3预案演练</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沙湾市应急指挥部采取定期和不定期相结合的方式，每2年至少组织开展一次药品安全突发事件应急演练，检验和强化应急准备和应急响应能力，并对演练进行总结评估，根据评估结果进一步完善应急预案。</w:t>
      </w:r>
    </w:p>
    <w:p>
      <w:pPr>
        <w:spacing w:line="600" w:lineRule="exact"/>
        <w:ind w:firstLine="630" w:firstLineChars="196"/>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5.4预案评估与修订</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当与药品安全事件处置有关的法律法规修订、部门职责或应急资源发生变化、应急预案在演练和实施过程中出现新情况或新问题时，应结合实际及时修订完善预案。</w:t>
      </w:r>
    </w:p>
    <w:p>
      <w:pPr>
        <w:spacing w:line="600" w:lineRule="exact"/>
        <w:ind w:firstLine="630" w:firstLineChars="196"/>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5.5宣传与培训</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沙湾市人民政府和有关部门要加大药品安全知识宣传和培训力度，引导公众正确认识和对待药品不良反应，提高药品不良反应报告意识。开展合理用药用械用妆宣传，防止发生因不合理用药用械用妆而发生药品安全事件。引导媒体正确宣传药品、医疗器械、化妆品不良反应事件，避免社会恐慌。</w:t>
      </w:r>
    </w:p>
    <w:p>
      <w:pPr>
        <w:spacing w:line="600" w:lineRule="exact"/>
        <w:ind w:firstLine="630" w:firstLineChars="196"/>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5.6责任与奖惩</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对药品安全突发事件应急处置工作中突出贡献的集体和个人，按有关规定予以表彰。</w:t>
      </w:r>
    </w:p>
    <w:p>
      <w:p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市场监督管理部门及其他部门违反本预案规定，有下列情形之一的，由上级部门或报请纪检监察部门给予有关人员相应处分：</w:t>
      </w:r>
    </w:p>
    <w:p>
      <w:pPr>
        <w:numPr>
          <w:ilvl w:val="0"/>
          <w:numId w:val="5"/>
        </w:numPr>
        <w:spacing w:line="600" w:lineRule="exact"/>
        <w:ind w:firstLine="627" w:firstLineChars="196"/>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未制定、适时修订、报送备案突发事件应急预案的；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未建立应急救援队伍或者开展应急演练的；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未建立物资储备的；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迟报、谎报、瞒报、漏报突发事件信息的；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据不服从现场指挥长的调度和指挥的；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拒绝或者拖延执行有关应对突发事件决定、命令的；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玩忽职守导致突发事件发生或者危害扩大的；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截流、挪用应急专项资金、物资的；</w:t>
      </w:r>
    </w:p>
    <w:p>
      <w:pPr>
        <w:numPr>
          <w:ilvl w:val="0"/>
          <w:numId w:val="5"/>
        </w:numPr>
        <w:spacing w:line="600" w:lineRule="exact"/>
        <w:ind w:firstLine="627" w:firstLineChars="196"/>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药品安全突发事件发生后采取歪曲、掩盖事实等手段逃避法律追究，或者包庇对突发事件负有责任的单位或个人的；</w:t>
      </w:r>
    </w:p>
    <w:p>
      <w:pPr>
        <w:numPr>
          <w:ilvl w:val="0"/>
          <w:numId w:val="5"/>
        </w:numPr>
        <w:spacing w:line="600" w:lineRule="exact"/>
        <w:ind w:firstLine="627" w:firstLineChars="196"/>
        <w:rPr>
          <w:rFonts w:hint="eastAsia" w:ascii="宋体" w:hAnsi="宋体" w:eastAsia="宋体" w:cs="宋体"/>
          <w:b/>
          <w:sz w:val="32"/>
          <w:lang w:val="en-US" w:eastAsia="zh-CN"/>
        </w:rPr>
      </w:pPr>
      <w:r>
        <w:rPr>
          <w:rFonts w:hint="eastAsia" w:ascii="宋体" w:hAnsi="宋体" w:eastAsia="宋体" w:cs="宋体"/>
          <w:b w:val="0"/>
          <w:bCs/>
          <w:color w:val="auto"/>
          <w:sz w:val="32"/>
          <w:szCs w:val="32"/>
          <w:lang w:val="en-US" w:eastAsia="zh-CN"/>
        </w:rPr>
        <w:t>违反相关规定，编造并传播有关突发事件事态发展或者应急处置工作的虚假信息；明知是有关药品安全突发事件事态发展或应急处置工作的虚假信息而进行传播的。涉嫌违法犯罪的，由公安机关依法依规予以处理。违反法律法规规定，应当承担法律责任的其他违法行为，依照有关法律法规规定执行。</w:t>
      </w:r>
    </w:p>
    <w:p>
      <w:pPr>
        <w:spacing w:line="600" w:lineRule="exact"/>
        <w:ind w:firstLine="630" w:firstLineChars="196"/>
        <w:rPr>
          <w:rFonts w:hint="eastAsia" w:ascii="宋体" w:hAnsi="宋体" w:eastAsia="宋体" w:cs="宋体"/>
          <w:b/>
          <w:sz w:val="32"/>
        </w:rPr>
      </w:pPr>
      <w:r>
        <w:rPr>
          <w:rFonts w:hint="eastAsia" w:ascii="宋体" w:hAnsi="宋体" w:eastAsia="宋体" w:cs="宋体"/>
          <w:b/>
          <w:sz w:val="32"/>
          <w:lang w:val="en-US" w:eastAsia="zh-CN"/>
        </w:rPr>
        <w:t>6</w:t>
      </w:r>
      <w:r>
        <w:rPr>
          <w:rFonts w:hint="eastAsia" w:ascii="宋体" w:hAnsi="宋体" w:eastAsia="宋体" w:cs="宋体"/>
          <w:b/>
          <w:sz w:val="32"/>
        </w:rPr>
        <w:t>　附则</w:t>
      </w:r>
    </w:p>
    <w:p>
      <w:pPr>
        <w:spacing w:line="600" w:lineRule="exact"/>
        <w:ind w:firstLine="630" w:firstLineChars="196"/>
        <w:rPr>
          <w:rFonts w:hint="eastAsia" w:ascii="宋体" w:hAnsi="宋体" w:eastAsia="宋体" w:cs="宋体"/>
          <w:b/>
          <w:sz w:val="32"/>
        </w:rPr>
      </w:pPr>
      <w:r>
        <w:rPr>
          <w:rFonts w:hint="eastAsia" w:ascii="宋体" w:hAnsi="宋体" w:eastAsia="宋体" w:cs="宋体"/>
          <w:b/>
          <w:sz w:val="32"/>
          <w:lang w:val="en-US" w:eastAsia="zh-CN"/>
        </w:rPr>
        <w:t>6</w:t>
      </w:r>
      <w:r>
        <w:rPr>
          <w:rFonts w:hint="eastAsia" w:ascii="宋体" w:hAnsi="宋体" w:eastAsia="宋体" w:cs="宋体"/>
          <w:b/>
          <w:sz w:val="32"/>
        </w:rPr>
        <w:t>.1　名词术语</w:t>
      </w:r>
    </w:p>
    <w:p>
      <w:pPr>
        <w:spacing w:line="600" w:lineRule="exact"/>
        <w:ind w:firstLine="627" w:firstLineChars="196"/>
        <w:rPr>
          <w:rFonts w:hint="eastAsia" w:ascii="宋体" w:hAnsi="宋体" w:eastAsia="宋体" w:cs="宋体"/>
          <w:sz w:val="32"/>
          <w:lang w:eastAsia="zh-CN"/>
        </w:rPr>
      </w:pPr>
      <w:r>
        <w:rPr>
          <w:rFonts w:hint="eastAsia" w:ascii="宋体" w:hAnsi="宋体" w:eastAsia="宋体" w:cs="宋体"/>
          <w:sz w:val="32"/>
          <w:lang w:eastAsia="zh-CN"/>
        </w:rPr>
        <w:t>药品安全突发事件：是指同一企业的同一药品（含医疗器械、化妆品）在预防、诊断、治疗、使用过程中，在同一时段内多人发生怀疑与该药品有关的临床症状相似的异常有害反应的紧急事件。麻醉、精神药品群体性滥用事件：指医疗用麻醉、精神药品用于非医疗目的过程中所造成的多人以上群体不良反应事件。</w:t>
      </w:r>
    </w:p>
    <w:p>
      <w:pPr>
        <w:spacing w:line="600" w:lineRule="exact"/>
        <w:ind w:firstLine="630" w:firstLineChars="196"/>
        <w:rPr>
          <w:rFonts w:hint="eastAsia" w:ascii="宋体" w:hAnsi="宋体" w:eastAsia="宋体" w:cs="宋体"/>
          <w:b/>
          <w:sz w:val="32"/>
          <w:lang w:eastAsia="zh-CN"/>
        </w:rPr>
      </w:pPr>
      <w:r>
        <w:rPr>
          <w:rFonts w:hint="eastAsia" w:ascii="宋体" w:hAnsi="宋体" w:eastAsia="宋体" w:cs="宋体"/>
          <w:b/>
          <w:sz w:val="32"/>
          <w:lang w:val="en-US" w:eastAsia="zh-CN"/>
        </w:rPr>
        <w:t>6</w:t>
      </w:r>
      <w:r>
        <w:rPr>
          <w:rFonts w:hint="eastAsia" w:ascii="宋体" w:hAnsi="宋体" w:eastAsia="宋体" w:cs="宋体"/>
          <w:b/>
          <w:sz w:val="32"/>
        </w:rPr>
        <w:t>.2　预案</w:t>
      </w:r>
      <w:r>
        <w:rPr>
          <w:rFonts w:hint="eastAsia" w:ascii="宋体" w:hAnsi="宋体" w:eastAsia="宋体" w:cs="宋体"/>
          <w:b/>
          <w:sz w:val="32"/>
          <w:lang w:eastAsia="zh-CN"/>
        </w:rPr>
        <w:t>解释部门</w:t>
      </w:r>
    </w:p>
    <w:p>
      <w:pPr>
        <w:spacing w:line="600" w:lineRule="exact"/>
        <w:ind w:firstLine="640" w:firstLineChars="200"/>
        <w:rPr>
          <w:rFonts w:hint="eastAsia" w:ascii="宋体" w:hAnsi="宋体" w:eastAsia="宋体" w:cs="宋体"/>
          <w:sz w:val="32"/>
          <w:lang w:eastAsia="zh-CN"/>
        </w:rPr>
      </w:pPr>
      <w:r>
        <w:rPr>
          <w:rFonts w:hint="eastAsia" w:ascii="宋体" w:hAnsi="宋体" w:eastAsia="宋体" w:cs="宋体"/>
          <w:sz w:val="32"/>
          <w:lang w:eastAsia="zh-CN"/>
        </w:rPr>
        <w:t>本预案由沙湾市应急指挥中心负责解释。</w:t>
      </w:r>
    </w:p>
    <w:p>
      <w:pPr>
        <w:spacing w:line="600" w:lineRule="exact"/>
        <w:ind w:firstLine="643" w:firstLineChars="200"/>
        <w:rPr>
          <w:rFonts w:hint="eastAsia" w:ascii="宋体" w:hAnsi="宋体" w:eastAsia="宋体" w:cs="宋体"/>
          <w:b/>
          <w:bCs/>
          <w:sz w:val="32"/>
          <w:lang w:val="en-US" w:eastAsia="zh-CN"/>
        </w:rPr>
      </w:pPr>
      <w:r>
        <w:rPr>
          <w:rFonts w:hint="eastAsia" w:ascii="宋体" w:hAnsi="宋体" w:eastAsia="宋体" w:cs="宋体"/>
          <w:b/>
          <w:bCs/>
          <w:sz w:val="32"/>
          <w:lang w:val="en-US" w:eastAsia="zh-CN"/>
        </w:rPr>
        <w:t>6.3预案实施</w:t>
      </w:r>
    </w:p>
    <w:p>
      <w:pPr>
        <w:spacing w:line="600" w:lineRule="exact"/>
        <w:ind w:firstLine="640" w:firstLineChars="200"/>
      </w:pPr>
      <w:r>
        <w:rPr>
          <w:rFonts w:hint="eastAsia" w:ascii="宋体" w:hAnsi="宋体" w:eastAsia="宋体" w:cs="宋体"/>
          <w:sz w:val="32"/>
        </w:rPr>
        <w:t>本预案自印发之日起实施。</w:t>
      </w:r>
    </w:p>
    <w:sectPr>
      <w:footerReference r:id="rId3" w:type="default"/>
      <w:footerReference r:id="rId4" w:type="even"/>
      <w:pgSz w:w="11907" w:h="16840"/>
      <w:pgMar w:top="1304" w:right="1304" w:bottom="1304"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40001" w:csb1="00000000"/>
  </w:font>
  <w:font w:name="FZXBSJW--GB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6DAEB5"/>
    <w:multiLevelType w:val="singleLevel"/>
    <w:tmpl w:val="BC6DAEB5"/>
    <w:lvl w:ilvl="0" w:tentative="0">
      <w:start w:val="3"/>
      <w:numFmt w:val="decimal"/>
      <w:suff w:val="nothing"/>
      <w:lvlText w:val="%1　"/>
      <w:lvlJc w:val="left"/>
    </w:lvl>
  </w:abstractNum>
  <w:abstractNum w:abstractNumId="1">
    <w:nsid w:val="C2381EAB"/>
    <w:multiLevelType w:val="singleLevel"/>
    <w:tmpl w:val="C2381EAB"/>
    <w:lvl w:ilvl="0" w:tentative="0">
      <w:start w:val="1"/>
      <w:numFmt w:val="decimal"/>
      <w:suff w:val="nothing"/>
      <w:lvlText w:val="（%1）"/>
      <w:lvlJc w:val="left"/>
    </w:lvl>
  </w:abstractNum>
  <w:abstractNum w:abstractNumId="2">
    <w:nsid w:val="0F274B2E"/>
    <w:multiLevelType w:val="singleLevel"/>
    <w:tmpl w:val="0F274B2E"/>
    <w:lvl w:ilvl="0" w:tentative="0">
      <w:start w:val="1"/>
      <w:numFmt w:val="decimal"/>
      <w:suff w:val="nothing"/>
      <w:lvlText w:val="（%1）"/>
      <w:lvlJc w:val="left"/>
    </w:lvl>
  </w:abstractNum>
  <w:abstractNum w:abstractNumId="3">
    <w:nsid w:val="387813FB"/>
    <w:multiLevelType w:val="singleLevel"/>
    <w:tmpl w:val="387813FB"/>
    <w:lvl w:ilvl="0" w:tentative="0">
      <w:start w:val="1"/>
      <w:numFmt w:val="decimal"/>
      <w:suff w:val="nothing"/>
      <w:lvlText w:val="（%1）"/>
      <w:lvlJc w:val="left"/>
      <w:pPr>
        <w:ind w:left="3"/>
      </w:pPr>
    </w:lvl>
  </w:abstractNum>
  <w:abstractNum w:abstractNumId="4">
    <w:nsid w:val="604EC3AE"/>
    <w:multiLevelType w:val="singleLevel"/>
    <w:tmpl w:val="604EC3AE"/>
    <w:lvl w:ilvl="0" w:tentative="0">
      <w:start w:val="1"/>
      <w:numFmt w:val="decimal"/>
      <w:suff w:val="nothing"/>
      <w:lvlText w:val="（%1）"/>
      <w:lvlJc w:val="left"/>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C6DC8"/>
    <w:rsid w:val="0DAF105A"/>
    <w:rsid w:val="40CC6DC8"/>
    <w:rsid w:val="71A30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ar-SA"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left="0" w:right="0" w:firstLine="283"/>
    </w:pPr>
  </w:style>
  <w:style w:type="paragraph" w:styleId="3">
    <w:name w:val="Body Text"/>
    <w:basedOn w:val="1"/>
    <w:next w:val="4"/>
    <w:uiPriority w:val="0"/>
    <w:pPr>
      <w:spacing w:before="0" w:after="0"/>
    </w:pPr>
    <w:rPr>
      <w:szCs w:val="21"/>
    </w:rPr>
  </w:style>
  <w:style w:type="paragraph" w:styleId="4">
    <w:name w:val="Body Text Indent"/>
    <w:basedOn w:val="1"/>
    <w:uiPriority w:val="0"/>
    <w:pPr>
      <w:ind w:left="283" w:right="0" w:firstLine="0"/>
    </w:pPr>
  </w:style>
  <w:style w:type="paragraph" w:styleId="5">
    <w:name w:val="footer"/>
    <w:basedOn w:val="1"/>
    <w:qFormat/>
    <w:uiPriority w:val="0"/>
    <w:pPr>
      <w:suppressLineNumbers w:val="0"/>
      <w:tabs>
        <w:tab w:val="center" w:pos="4819"/>
        <w:tab w:val="right" w:pos="9638"/>
      </w:tabs>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3</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2026-06-23T08:51:00Z</dcterms:created>
  <dc:creator>dev1ce</dc:creator>
  <cp:lastModifiedBy>Administrator</cp:lastModifiedBy>
  <dcterms:modified xsi:type="dcterms:W3CDTF">2026-06-24T08:43:02Z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6B1C0188BC334DA685F9E7FAA61913FC_11</vt:lpwstr>
  </property>
</Properties>
</file>