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2"/>
          <w:sz w:val="32"/>
          <w:szCs w:val="32"/>
          <w:lang w:val="en-US" w:eastAsia="zh-CN" w:bidi="ar-SA"/>
        </w:rPr>
      </w:pPr>
      <w:bookmarkStart w:id="0" w:name="_GoBack"/>
      <w:r>
        <w:rPr>
          <w:rFonts w:hint="eastAsia" w:ascii="方正小标宋简体" w:hAnsi="方正小标宋简体" w:eastAsia="方正小标宋简体" w:cs="方正小标宋简体"/>
          <w:kern w:val="2"/>
          <w:sz w:val="44"/>
          <w:szCs w:val="44"/>
          <w:lang w:val="en-US" w:eastAsia="zh-CN" w:bidi="ar-SA"/>
        </w:rPr>
        <w:t>沙湾市村集体二轮家庭承包地使用国有农用地授权方案（征求意见稿）</w:t>
      </w:r>
    </w:p>
    <w:bookmarkEnd w:id="0"/>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一、授权背景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全市11个乡镇共有</w:t>
      </w:r>
      <w:r>
        <w:rPr>
          <w:rFonts w:hint="eastAsia" w:ascii="仿宋_GB2312" w:hAnsi="仿宋_GB2312" w:eastAsia="仿宋_GB2312" w:cs="仿宋_GB2312"/>
          <w:sz w:val="32"/>
          <w:szCs w:val="32"/>
          <w:lang w:val="en-US" w:eastAsia="zh-CN"/>
        </w:rPr>
        <w:t>37991.71</w:t>
      </w:r>
      <w:r>
        <w:rPr>
          <w:rFonts w:hint="eastAsia" w:ascii="仿宋_GB2312" w:hAnsi="仿宋_GB2312" w:eastAsia="仿宋_GB2312" w:cs="仿宋_GB2312"/>
          <w:sz w:val="32"/>
          <w:szCs w:val="32"/>
          <w:highlight w:val="none"/>
          <w:lang w:val="en-US" w:eastAsia="zh-CN"/>
        </w:rPr>
        <w:t>亩在二轮土地承包经营权确权登记颁证时将部分国有土地确权为二轮土地家庭承包地，并向农户颁发了《农村土地承包经营权证》并列入农村集体土地确权登记颁证“一户一档”，该类土地实际权属为国有，却承载了集体土地的承包登记属性，可能引发后续土地流转、征收补偿等环节争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二、授权事项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为进一步明确沙湾市二轮土地家庭承包地使用国有农用地的权属关系，保障农民合法权益，促进农村经济社会稳定发展，现向市人民政府提请沙湾市村集体二轮土地家庭承包地</w:t>
      </w:r>
      <w:r>
        <w:rPr>
          <w:rFonts w:hint="eastAsia" w:ascii="仿宋_GB2312" w:hAnsi="仿宋_GB2312" w:eastAsia="仿宋_GB2312" w:cs="仿宋_GB2312"/>
          <w:sz w:val="32"/>
          <w:szCs w:val="32"/>
          <w:lang w:val="en-US" w:eastAsia="zh-CN"/>
        </w:rPr>
        <w:t>37991.71</w:t>
      </w:r>
      <w:r>
        <w:rPr>
          <w:rFonts w:hint="eastAsia" w:ascii="仿宋_GB2312" w:hAnsi="仿宋_GB2312" w:eastAsia="仿宋_GB2312" w:cs="仿宋_GB2312"/>
          <w:sz w:val="32"/>
          <w:szCs w:val="32"/>
          <w:highlight w:val="none"/>
          <w:lang w:val="en-US" w:eastAsia="zh-CN"/>
        </w:rPr>
        <w:t>亩，进行授权事宜，具体情况如下：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1、安集海镇：安集海村36.88亩，</w:t>
      </w:r>
      <w:r>
        <w:rPr>
          <w:rFonts w:hint="eastAsia" w:ascii="仿宋_GB2312" w:hAnsi="仿宋_GB2312" w:eastAsia="仿宋_GB2312" w:cs="仿宋_GB2312"/>
          <w:kern w:val="2"/>
          <w:sz w:val="32"/>
          <w:szCs w:val="32"/>
          <w:highlight w:val="none"/>
          <w:lang w:val="en-US" w:eastAsia="zh-CN" w:bidi="ar-SA"/>
        </w:rPr>
        <w:t>古道村1019.19亩，</w:t>
      </w:r>
      <w:r>
        <w:rPr>
          <w:rFonts w:hint="eastAsia" w:ascii="仿宋_GB2312" w:hAnsi="仿宋_GB2312" w:eastAsia="仿宋_GB2312" w:cs="仿宋_GB2312"/>
          <w:kern w:val="2"/>
          <w:sz w:val="32"/>
          <w:szCs w:val="32"/>
          <w:lang w:val="en-US" w:eastAsia="zh-CN" w:bidi="ar-SA"/>
        </w:rPr>
        <w:t>古树村446.56亩，和平新村30.10亩，夹河子8.64亩，交通新村127.11亩，农庄村187.60亩，葡萄园子村18.31亩，四旗村1.20亩，肃州户村3.26亩，王家渠村0.92亩，元兴宫村143.36亩。</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博尔通古乡：阿克吉也克村3.46亩，阿热勒托别村292.80亩，博尔通古村145.52亩，加尔苏瓦特村155.90亩，捷勒阿尕什村64.30亩，喀拉巴斯陶村7.95亩，克孜勒阿根村411.81亩，肯阿根村78.62亩，库勒逊托亥村107.76亩，阔克柯牙村0.20亩，玛依托别村208.04亩，齐勒窝则克村0.82亩，塔斯萨依村7.57亩，下西湾村4.77亩。</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大泉乡：城郊东村6.01亩，大泉村38.00亩，东泉村85.46亩，二道河子村133.79亩，河西村148.36亩，三道沟村125.65亩，烧坊庄子村38.84亩，五道河子村133.66亩，西泉村15.71亩，杨家庄村20.48亩，叶家湖村970.67亩，中泉村1052.83亩。</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东湾镇：串庄子村22.83亩，东山沟村339.14亩，东湾村4.23亩，夹山子村1176.10亩，傢什窑村83.71亩，卡子湾村98.67亩，宽沟村254.20亩，阔克萨孜村603.80亩，宁家河村74.48亩，潘家庄村70.79亩，青山村16.35亩，双桥村7.64亩，西地村453.26亩，下东地村332.64亩，下戈壁村7.88亩，张家庄村0.44亩。</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金沟河镇：曹家坡村31.29亩，东戈壁村3.41亩，二道湾村275.57亩，洪沟村856.09亩，金沟河村67.41亩，柳树沟村116.76亩，南干渠村168.74亩，南头道河子村29.54亩，南五宫村13.72亩，泉水沟村88.24亩，三道湾村87.33亩，三角地村0.17亩，沙河子村471.41亩，兴奋村5.23亩。</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老沙湾镇：八坪口村349.50亩，白家庄村1150.14亩，包家庄村219.64亩，陈家庄村199.03亩，大梁坡村343.79亩，丁家庄村89.40亩，郭家庄村134.02亩，海子湾村150.84亩，红山庙村354.35亩，胡家海子村65.63亩，胡家渠村140.22亩，黄家庄村597.52亩，黄沙梁村309.63亩，坑湾村334.31亩，窟窿湾村350.49亩，老沙湾村235.19亩，林家庄村330.76亩，芦湾村1030.93亩，南梁村380.38亩，七角地村6.36亩，渠西村38.43亩，沙沟沿村244.98亩，</w:t>
      </w:r>
      <w:r>
        <w:rPr>
          <w:rFonts w:hint="eastAsia" w:ascii="仿宋_GB2312" w:hAnsi="仿宋_GB2312" w:eastAsia="仿宋_GB2312" w:cs="仿宋_GB2312"/>
          <w:kern w:val="2"/>
          <w:sz w:val="32"/>
          <w:szCs w:val="32"/>
          <w:highlight w:val="none"/>
          <w:lang w:val="en-US" w:eastAsia="zh-CN" w:bidi="ar-SA"/>
        </w:rPr>
        <w:t>沙窝道村99.04亩，上</w:t>
      </w:r>
      <w:r>
        <w:rPr>
          <w:rFonts w:hint="eastAsia" w:ascii="仿宋_GB2312" w:hAnsi="仿宋_GB2312" w:eastAsia="仿宋_GB2312" w:cs="仿宋_GB2312"/>
          <w:kern w:val="2"/>
          <w:sz w:val="32"/>
          <w:szCs w:val="32"/>
          <w:lang w:val="en-US" w:eastAsia="zh-CN" w:bidi="ar-SA"/>
        </w:rPr>
        <w:t>坑湾村921.38亩，十坪口村221.95亩，太平渠村420.40亩，汤家庄村3.52亩，头沟村115.39亩，魏家庄村21.88亩，西坑湾村339.77亩，西野地村1034.99亩，小东渠村38.45亩，榆树庄村75.85亩，闸板口村354.19亩，东渠村476.04亩。</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柳毛湾镇：板桥村70.86亩，窦家庄村225.11亩，二坪村2.52亩，葫芦峪村76.88亩，皇渠村29.19亩，皇渠庙村299.55亩，汇民渠村210.01亩，雷家庄村765.90亩，柳毛湾村258.17亩，秦家渠村134.86亩，沙门子村73.53亩，陶家庄村167.38亩，头坪村320.30亩，王家庄村175.51亩，新户村173.51亩，杨家湾村22.31亩，叶家庄村11.63亩。</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商户地乡：二桥村84.87亩，湖西村125.26亩，居士堂村34.83亩，蘑菇湖村1156.03亩，聂家渠村896.04亩，蒲秧沟村8.58亩，商户地西村48.67亩，五户村79.13亩，西梁村24.10亩，硝坑村539.15亩，泻水渠村92.82亩，新桥湾村351.67亩，杨李庄村1624.73亩。</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四道河子镇：下野地村29.50亩，八分地村63.81亩，北沙沟村148.31亩，邓家渠村9.75亩，东三岔坪村2.98亩，高头庄村0.04亩，河滩村639.58亩，龙口村171.79亩，桥头村38.72亩，渠边村71.91亩，三个庄子村184.15亩，沙包村49.18亩，沙梁子村145.54亩，</w:t>
      </w:r>
      <w:r>
        <w:rPr>
          <w:rFonts w:hint="eastAsia" w:ascii="仿宋_GB2312" w:hAnsi="仿宋_GB2312" w:eastAsia="仿宋_GB2312" w:cs="仿宋_GB2312"/>
          <w:kern w:val="2"/>
          <w:sz w:val="32"/>
          <w:szCs w:val="32"/>
          <w:highlight w:val="none"/>
          <w:lang w:val="en-US" w:eastAsia="zh-CN" w:bidi="ar-SA"/>
        </w:rPr>
        <w:t>沙窝道村32.10亩，</w:t>
      </w:r>
      <w:r>
        <w:rPr>
          <w:rFonts w:hint="eastAsia" w:ascii="仿宋_GB2312" w:hAnsi="仿宋_GB2312" w:eastAsia="仿宋_GB2312" w:cs="仿宋_GB2312"/>
          <w:kern w:val="2"/>
          <w:sz w:val="32"/>
          <w:szCs w:val="32"/>
          <w:lang w:val="en-US" w:eastAsia="zh-CN" w:bidi="ar-SA"/>
        </w:rPr>
        <w:t>上野地村49.10亩，四道河子村3.06亩，西大渠村12.20亩，西三岔坪村21.96亩，下八户村21.38亩，下沙门子村486.62亩，下庄子村419.31亩，小树庄村79.07亩，新地村257.95亩，新窦庄村295.90亩，新垦村11.67亩，许家庄村419.13亩，杨家道村189.51亩，野地庄村128.32亩，永胜村66.23亩，油坊庄子村133.79亩，中心村126.53亩。</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10、乌兰乌苏镇：北湖村37.12亩，城庄子村50.32亩，黄家梁村373.29亩，泉源村375.23亩，三宫店11.06亩，水磨沟村0.85亩，头浮村0.05亩，王家梁村12.06亩，下三宫村7.82亩，下四宫0.04亩，鸭子泉村0.06亩。</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lang w:val="en-US" w:eastAsia="zh-CN" w:bidi="ar-SA"/>
        </w:rPr>
        <w:t>11、西戈壁镇：白碱台子村14.46亩，白滩村339.41亩，白土崖子村1.62亩，北山村5.73亩，曾家庄村111.49亩，东山村12.21亩，独山村13.59亩，二层台子村7.34亩，夹槽子村475.13亩，上八家户村7.96亩，十三户村521.10亩。</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三、授权程序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37991.71亩</w:t>
      </w:r>
      <w:r>
        <w:rPr>
          <w:rFonts w:hint="eastAsia" w:ascii="仿宋_GB2312" w:hAnsi="仿宋_GB2312" w:eastAsia="仿宋_GB2312" w:cs="仿宋_GB2312"/>
          <w:sz w:val="32"/>
          <w:szCs w:val="32"/>
          <w:lang w:val="en-US" w:eastAsia="zh-CN"/>
        </w:rPr>
        <w:t>土地核心问题为“国有性质与集体二轮土地承包确权登记颁证冲突”，需在保障农户承包权益稳定的前提下，完成权属性质明确、证书规范及程序补正工作，具体步骤如下：</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（一）联合核查确认（10个自然日）。</w:t>
      </w:r>
      <w:r>
        <w:rPr>
          <w:rFonts w:hint="eastAsia" w:ascii="Times New Roman" w:hAnsi="Times New Roman" w:eastAsia="仿宋_GB2312" w:cs="仿宋_GB2312"/>
          <w:sz w:val="32"/>
          <w:szCs w:val="32"/>
          <w:lang w:val="en-US" w:eastAsia="zh-CN"/>
        </w:rPr>
        <w:t>由农业农村局牵头，联合林业和草原局、自然资源局、各乡镇政府组建专项工作组。以2023年度国土变更调查成果、确权登记颁证档案为基础，逐地块核</w:t>
      </w:r>
      <w:r>
        <w:rPr>
          <w:rFonts w:hint="eastAsia" w:ascii="Times New Roman" w:hAnsi="Times New Roman" w:eastAsia="仿宋_GB2312" w:cs="仿宋_GB2312"/>
          <w:sz w:val="32"/>
          <w:szCs w:val="32"/>
          <w:highlight w:val="none"/>
          <w:lang w:val="en-US" w:eastAsia="zh-CN"/>
        </w:rPr>
        <w:t>实</w:t>
      </w:r>
      <w:r>
        <w:rPr>
          <w:rFonts w:hint="eastAsia" w:ascii="仿宋_GB2312" w:hAnsi="仿宋_GB2312" w:eastAsia="仿宋_GB2312" w:cs="仿宋_GB2312"/>
          <w:sz w:val="32"/>
          <w:szCs w:val="32"/>
          <w:highlight w:val="none"/>
          <w:lang w:val="en-US" w:eastAsia="zh-CN"/>
        </w:rPr>
        <w:t>37991.71</w:t>
      </w:r>
      <w:r>
        <w:rPr>
          <w:rFonts w:hint="eastAsia" w:ascii="Times New Roman" w:hAnsi="Times New Roman" w:eastAsia="仿宋_GB2312" w:cs="仿宋_GB2312"/>
          <w:sz w:val="32"/>
          <w:szCs w:val="32"/>
          <w:highlight w:val="none"/>
          <w:lang w:val="en-US" w:eastAsia="zh-CN"/>
        </w:rPr>
        <w:t>亩</w:t>
      </w:r>
      <w:r>
        <w:rPr>
          <w:rFonts w:hint="eastAsia" w:ascii="Times New Roman" w:hAnsi="Times New Roman" w:eastAsia="仿宋_GB2312" w:cs="仿宋_GB2312"/>
          <w:sz w:val="32"/>
          <w:szCs w:val="32"/>
          <w:lang w:val="en-US" w:eastAsia="zh-CN"/>
        </w:rPr>
        <w:t>土地的四至范围、实际种植情况、承包户信息及权属来源。对地块权属无争议的，形成《国有农用地权属确认表》，经承包户、集体经济组织、乡镇人民政府签字确认后公示，公示期不少于5个工作日。</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（二）证书规范与权益保障（10个自然日）。</w:t>
      </w:r>
      <w:r>
        <w:rPr>
          <w:rFonts w:hint="eastAsia" w:ascii="Times New Roman" w:hAnsi="Times New Roman" w:eastAsia="仿宋_GB2312" w:cs="仿宋_GB2312"/>
          <w:sz w:val="32"/>
          <w:szCs w:val="32"/>
          <w:lang w:val="en-US" w:eastAsia="zh-CN"/>
        </w:rPr>
        <w:t>参照《不动产登记暂行条例实施细则》相关规定，对已颁发的《农村土地承包经营权证》进行规范。采取“不变更承包关系、仅完善权属备注”的方式，由市不动产登记中心在原证书上注明“土地权属为国有，由农村集体经济组织依法使用”，或换发注明权属性质的新证书，确保证书信息与土地实际权属一致。同时，明确承包户的承包经营权不受土地权属性质明确的影响，原承包合同继续有效，稳定农户预期。</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（三）完善授权管理（5个自然日）。</w:t>
      </w:r>
      <w:r>
        <w:rPr>
          <w:rFonts w:hint="eastAsia" w:ascii="Times New Roman" w:hAnsi="Times New Roman" w:eastAsia="仿宋_GB2312" w:cs="仿宋_GB2312"/>
          <w:sz w:val="32"/>
          <w:szCs w:val="32"/>
          <w:lang w:val="en-US" w:eastAsia="zh-CN"/>
        </w:rPr>
        <w:t>由市自然资源局依据核查结果，编制《沙湾市国有农用地授权村集体管理清单》，明确该批次土地的面积、四至、用途及管理权限。市政府据此下发专项授权文件，正式授权相关村集体对该类土地进行经营管理。</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（四）争议调处与资料归档。</w:t>
      </w:r>
      <w:r>
        <w:rPr>
          <w:rFonts w:hint="eastAsia" w:ascii="Times New Roman" w:hAnsi="Times New Roman" w:eastAsia="仿宋_GB2312" w:cs="仿宋_GB2312"/>
          <w:sz w:val="32"/>
          <w:szCs w:val="32"/>
          <w:lang w:val="en-US" w:eastAsia="zh-CN"/>
        </w:rPr>
        <w:t>对核查中发现的权属争议地块，参照《土地权属争议调查处理办法》，由乡镇人民政府先行组织调解；调解不成的，由自然资源局会同农业农村局提出处理意见，报市人民政府裁决，争议解决前暂缓证书规范工作。全部工作完成后，将核查资料、公示记录、授权文件等整理归档，形成“一地块一档案”。</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32"/>
          <w:szCs w:val="32"/>
          <w:highlight w:val="none"/>
          <w:lang w:val="en-US" w:eastAsia="zh-CN"/>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sectPr>
      <w:pgSz w:w="11906" w:h="16838"/>
      <w:pgMar w:top="2098"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E038C"/>
    <w:rsid w:val="1A3D7B88"/>
    <w:rsid w:val="1C2D1C8B"/>
    <w:rsid w:val="499A5844"/>
    <w:rsid w:val="522D51B0"/>
    <w:rsid w:val="5A5D6499"/>
    <w:rsid w:val="71237A52"/>
    <w:rsid w:val="743D52CE"/>
    <w:rsid w:val="75682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41"/>
    <w:basedOn w:val="6"/>
    <w:qFormat/>
    <w:uiPriority w:val="0"/>
    <w:rPr>
      <w:rFonts w:ascii="Arial" w:hAnsi="Arial" w:cs="Arial"/>
      <w:b/>
      <w:bCs/>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3186</Words>
  <Characters>4081</Characters>
  <Lines>0</Lines>
  <Paragraphs>0</Paragraphs>
  <TotalTime>4</TotalTime>
  <ScaleCrop>false</ScaleCrop>
  <LinksUpToDate>false</LinksUpToDate>
  <CharactersWithSpaces>4089</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2026-05-18T04:57:00Z</dcterms:created>
  <dc:creator>ZDDN</dc:creator>
  <cp:lastModifiedBy>Administrator</cp:lastModifiedBy>
  <cp:lastPrinted>2026-05-19T04:43:00Z</cp:lastPrinted>
  <dcterms:modified xsi:type="dcterms:W3CDTF">2026-05-21T02:57:31Z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KSOTemplateDocerSaveRecord">
    <vt:lpwstr>eyJoZGlkIjoiYzFhNTQ1MmQ4MzQ2YjU5NDg0MDI3MjlkNjkyNDc3NWMiLCJ1c2VySWQiOiI0OTIwMjMyNDcifQ==</vt:lpwstr>
  </property>
  <property fmtid="{D5CDD505-2E9C-101B-9397-08002B2CF9AE}" pid="4" name="ICV">
    <vt:lpwstr>8DD2B17342A64BA48DD906BFC5308779</vt:lpwstr>
  </property>
</Properties>
</file>