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b/>
          <w:spacing w:val="-12"/>
          <w:sz w:val="32"/>
          <w:szCs w:val="32"/>
          <w:lang w:val="en-US" w:eastAsia="zh-CN"/>
        </w:rPr>
      </w:pPr>
      <w:bookmarkStart w:id="15" w:name="_GoBack"/>
      <w:bookmarkEnd w:id="15"/>
      <w:r>
        <w:rPr>
          <w:rFonts w:hint="eastAsia" w:ascii="黑体" w:hAnsi="黑体" w:eastAsia="黑体" w:cs="黑体"/>
          <w:b/>
          <w:spacing w:val="-12"/>
          <w:sz w:val="32"/>
          <w:szCs w:val="32"/>
          <w:lang w:val="en-US" w:eastAsia="zh-CN"/>
        </w:rPr>
        <w:t>附件1</w:t>
      </w:r>
    </w:p>
    <w:p>
      <w:pPr>
        <w:pStyle w:val="2"/>
        <w:ind w:left="0" w:leftChars="0" w:firstLine="0" w:firstLineChars="0"/>
        <w:rPr>
          <w:rFonts w:eastAsiaTheme="minorEastAsi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沙湾县金沟河镇和众砂石料厂</w:t>
      </w:r>
      <w:r>
        <w:rPr>
          <w:rFonts w:hint="eastAsia" w:ascii="方正小标宋简体" w:hAnsi="方正小标宋简体" w:eastAsia="方正小标宋简体" w:cs="方正小标宋简体"/>
          <w:sz w:val="44"/>
          <w:szCs w:val="44"/>
          <w:lang w:eastAsia="zh-CN"/>
        </w:rPr>
        <w:t>沙湾县金沟河01号建筑用砂石料矿</w:t>
      </w:r>
      <w:r>
        <w:rPr>
          <w:rFonts w:hint="eastAsia" w:ascii="方正小标宋简体" w:hAnsi="方正小标宋简体" w:eastAsia="方正小标宋简体" w:cs="方正小标宋简体"/>
          <w:sz w:val="44"/>
          <w:szCs w:val="44"/>
          <w:lang w:val="en-US" w:eastAsia="zh-CN"/>
        </w:rPr>
        <w:t>露天采场边坡治理</w:t>
      </w:r>
      <w:r>
        <w:rPr>
          <w:rFonts w:hint="eastAsia" w:ascii="方正小标宋简体" w:hAnsi="方正小标宋简体" w:eastAsia="方正小标宋简体" w:cs="方正小标宋简体"/>
          <w:sz w:val="44"/>
          <w:szCs w:val="44"/>
          <w:lang w:eastAsia="zh-CN"/>
        </w:rPr>
        <w:t>方案</w:t>
      </w:r>
      <w:r>
        <w:rPr>
          <w:rFonts w:hint="eastAsia" w:ascii="方正小标宋简体" w:hAnsi="方正小标宋简体" w:eastAsia="方正小标宋简体" w:cs="方正小标宋简体"/>
          <w:sz w:val="44"/>
          <w:szCs w:val="44"/>
        </w:rPr>
        <w:t>》</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评审意见书</w:t>
      </w: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color w:val="FFFFFF" w:themeColor="background1"/>
          <w:sz w:val="32"/>
          <w:szCs w:val="32"/>
          <w14:textFill>
            <w14:solidFill>
              <w14:schemeClr w14:val="bg1"/>
            </w14:solidFill>
          </w14:textFill>
        </w:rPr>
      </w:pPr>
      <w:r>
        <w:rPr>
          <w:rFonts w:hint="eastAsia" w:ascii="宋体" w:hAnsi="宋体" w:eastAsia="宋体" w:cs="宋体"/>
          <w:color w:val="FFFFFF" w:themeColor="background1"/>
          <w:sz w:val="32"/>
          <w:szCs w:val="32"/>
          <w14:textFill>
            <w14:solidFill>
              <w14:schemeClr w14:val="bg1"/>
            </w14:solidFill>
          </w14:textFill>
        </w:rPr>
        <w:t>新自然资开垦审发[2022]×××号</w:t>
      </w:r>
    </w:p>
    <w:p>
      <w:pPr>
        <w:spacing w:line="248" w:lineRule="auto"/>
        <w:rPr>
          <w:rFonts w:ascii="宋体" w:hAnsi="宋体" w:eastAsia="宋体" w:cs="宋体"/>
          <w:color w:val="FFFFFF" w:themeColor="background1"/>
          <w14:textFill>
            <w14:solidFill>
              <w14:schemeClr w14:val="bg1"/>
            </w14:solidFill>
          </w14:textFill>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8"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spacing w:line="249" w:lineRule="auto"/>
        <w:rPr>
          <w:rFonts w:ascii="宋体" w:hAnsi="宋体" w:eastAsia="宋体" w:cs="宋体"/>
        </w:rPr>
      </w:pPr>
    </w:p>
    <w:p>
      <w:pPr>
        <w:jc w:val="center"/>
        <w:rPr>
          <w:rFonts w:hint="eastAsia" w:ascii="宋体" w:hAnsi="宋体" w:eastAsia="宋体" w:cs="宋体"/>
          <w:b/>
          <w:spacing w:val="-12"/>
          <w:sz w:val="36"/>
          <w:szCs w:val="36"/>
          <w:lang w:val="en-US" w:eastAsia="zh-CN"/>
        </w:rPr>
      </w:pPr>
      <w:r>
        <w:rPr>
          <w:rFonts w:hint="eastAsia" w:ascii="方正仿宋_GB2312" w:hAnsi="方正仿宋_GB2312" w:eastAsia="方正仿宋_GB2312" w:cs="方正仿宋_GB2312"/>
          <w:sz w:val="32"/>
          <w:szCs w:val="32"/>
          <w:lang w:val="en-US" w:eastAsia="zh-CN"/>
        </w:rPr>
        <w:t>二○二六年四月二十日</w:t>
      </w:r>
    </w:p>
    <w:p>
      <w:pPr>
        <w:rPr>
          <w:rFonts w:ascii="宋体" w:hAnsi="宋体" w:eastAsia="宋体" w:cs="宋体"/>
        </w:rPr>
        <w:sectPr>
          <w:pgSz w:w="11905" w:h="16838"/>
          <w:pgMar w:top="2098" w:right="1474" w:bottom="1984" w:left="1587" w:header="850" w:footer="850" w:gutter="0"/>
          <w:cols w:space="0" w:num="1"/>
          <w:rtlGutter w:val="0"/>
          <w:docGrid w:linePitch="0" w:charSpace="0"/>
        </w:sectPr>
      </w:pPr>
    </w:p>
    <w:p>
      <w:pPr>
        <w:spacing w:line="560" w:lineRule="exact"/>
        <w:ind w:firstLine="564" w:firstLineChars="200"/>
        <w:rPr>
          <w:rFonts w:ascii="宋体" w:hAnsi="宋体" w:eastAsia="宋体" w:cs="宋体"/>
          <w:spacing w:val="1"/>
          <w:sz w:val="28"/>
          <w:szCs w:val="28"/>
        </w:rPr>
      </w:pP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送审单位：沙湾县金沟河镇和众砂石料厂</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编制单位：新疆光程矿业技术有限公司</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项目负责人：孙宏程</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编制人员：周长兴   何建刚  孙浩泽宇</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评审专家组长：喜英</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评审专家组成员：</w:t>
      </w:r>
      <w:bookmarkStart w:id="0" w:name="_Hlk91929016"/>
      <w:r>
        <w:rPr>
          <w:rFonts w:hint="eastAsia" w:ascii="方正仿宋_GB2312" w:hAnsi="方正仿宋_GB2312" w:eastAsia="方正仿宋_GB2312" w:cs="方正仿宋_GB2312"/>
          <w:sz w:val="32"/>
          <w:szCs w:val="32"/>
          <w:lang w:val="en-US" w:eastAsia="zh-CN"/>
        </w:rPr>
        <w:t xml:space="preserve">喜英  </w:t>
      </w:r>
      <w:bookmarkEnd w:id="0"/>
      <w:r>
        <w:rPr>
          <w:rFonts w:hint="eastAsia" w:ascii="方正仿宋_GB2312" w:hAnsi="方正仿宋_GB2312" w:eastAsia="方正仿宋_GB2312" w:cs="方正仿宋_GB2312"/>
          <w:sz w:val="32"/>
          <w:szCs w:val="32"/>
          <w:lang w:val="en-US" w:eastAsia="zh-CN"/>
        </w:rPr>
        <w:t xml:space="preserve"> 刘湘茹  陈红霞</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评审时间：2026年4月7日</w:t>
      </w:r>
    </w:p>
    <w:p>
      <w:pPr>
        <w:spacing w:line="560" w:lineRule="exact"/>
        <w:ind w:firstLine="564" w:firstLineChars="200"/>
        <w:rPr>
          <w:rFonts w:ascii="宋体" w:hAnsi="宋体" w:eastAsia="宋体" w:cs="宋体"/>
          <w:spacing w:val="1"/>
          <w:sz w:val="28"/>
          <w:szCs w:val="28"/>
        </w:rPr>
      </w:pPr>
    </w:p>
    <w:p>
      <w:pPr>
        <w:spacing w:line="204" w:lineRule="auto"/>
        <w:ind w:firstLine="429"/>
        <w:rPr>
          <w:rFonts w:ascii="宋体" w:hAnsi="宋体" w:eastAsia="宋体" w:cs="宋体"/>
          <w:sz w:val="28"/>
          <w:szCs w:val="28"/>
        </w:rPr>
      </w:pPr>
    </w:p>
    <w:p>
      <w:pPr>
        <w:rPr>
          <w:rFonts w:ascii="宋体" w:hAnsi="宋体" w:eastAsia="宋体" w:cs="宋体"/>
        </w:rPr>
        <w:sectPr>
          <w:footerReference r:id="rId3" w:type="default"/>
          <w:pgSz w:w="11905" w:h="16838"/>
          <w:pgMar w:top="2098" w:right="1474" w:bottom="1984" w:left="1587" w:header="0" w:footer="1145" w:gutter="0"/>
          <w:pgNumType w:start="1"/>
          <w:cols w:space="0" w:num="1"/>
          <w:rtlGutter w:val="0"/>
          <w:docGrid w:linePitch="0" w:charSpace="0"/>
        </w:sectPr>
      </w:pP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附注：</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1、矿区范围拐点坐标</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矿区范围拐点坐标表</w:t>
      </w:r>
    </w:p>
    <w:tbl>
      <w:tblPr>
        <w:tblStyle w:val="15"/>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74"/>
        <w:gridCol w:w="1884"/>
        <w:gridCol w:w="1800"/>
        <w:gridCol w:w="2033"/>
        <w:gridCol w:w="2167"/>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4" w:type="dxa"/>
            <w:vMerge w:val="restart"/>
            <w:tcBorders>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拐点</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坐标</w:t>
            </w:r>
          </w:p>
        </w:tc>
        <w:tc>
          <w:tcPr>
            <w:tcW w:w="3684" w:type="dxa"/>
            <w:gridSpan w:val="2"/>
            <w:tcBorders>
              <w:left w:val="single" w:color="auto" w:sz="8" w:space="0"/>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1980西安坐标系</w:t>
            </w:r>
          </w:p>
        </w:tc>
        <w:tc>
          <w:tcPr>
            <w:tcW w:w="4200" w:type="dxa"/>
            <w:gridSpan w:val="2"/>
            <w:tcBorders>
              <w:left w:val="single" w:color="auto" w:sz="8" w:space="0"/>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CGCS2000坐标系</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4" w:type="dxa"/>
            <w:vMerge w:val="continue"/>
            <w:tcBorders>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p>
        </w:tc>
        <w:tc>
          <w:tcPr>
            <w:tcW w:w="1884" w:type="dxa"/>
            <w:tcBorders>
              <w:top w:val="single" w:color="auto" w:sz="8" w:space="0"/>
              <w:left w:val="single" w:color="auto" w:sz="8" w:space="0"/>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X</w:t>
            </w:r>
          </w:p>
        </w:tc>
        <w:tc>
          <w:tcPr>
            <w:tcW w:w="1800" w:type="dxa"/>
            <w:tcBorders>
              <w:top w:val="single" w:color="auto" w:sz="8" w:space="0"/>
              <w:left w:val="single" w:color="auto" w:sz="8" w:space="0"/>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Y</w:t>
            </w:r>
          </w:p>
        </w:tc>
        <w:tc>
          <w:tcPr>
            <w:tcW w:w="2033" w:type="dxa"/>
            <w:tcBorders>
              <w:top w:val="single" w:color="auto" w:sz="8" w:space="0"/>
              <w:left w:val="single" w:color="auto" w:sz="8" w:space="0"/>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X</w:t>
            </w:r>
          </w:p>
        </w:tc>
        <w:tc>
          <w:tcPr>
            <w:tcW w:w="2167" w:type="dxa"/>
            <w:tcBorders>
              <w:top w:val="single" w:color="auto" w:sz="8" w:space="0"/>
              <w:left w:val="single" w:color="auto" w:sz="8" w:space="0"/>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Y</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4" w:type="dxa"/>
            <w:tcBorders>
              <w:top w:val="single" w:color="auto" w:sz="8" w:space="0"/>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S1</w:t>
            </w:r>
          </w:p>
        </w:tc>
        <w:tc>
          <w:tcPr>
            <w:tcW w:w="1884" w:type="dxa"/>
            <w:tcBorders>
              <w:top w:val="single" w:color="auto" w:sz="8" w:space="0"/>
              <w:left w:val="single" w:color="auto" w:sz="8" w:space="0"/>
              <w:bottom w:val="single" w:color="auto" w:sz="8" w:space="0"/>
              <w:right w:val="single" w:color="auto" w:sz="8" w:space="0"/>
            </w:tcBorders>
            <w:noWrap w:val="0"/>
            <w:vAlign w:val="top"/>
          </w:tcPr>
          <w:p>
            <w:pPr>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1800"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033"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167"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4" w:type="dxa"/>
            <w:tcBorders>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S2</w:t>
            </w:r>
          </w:p>
        </w:tc>
        <w:tc>
          <w:tcPr>
            <w:tcW w:w="1884" w:type="dxa"/>
            <w:tcBorders>
              <w:left w:val="single" w:color="auto" w:sz="8" w:space="0"/>
              <w:bottom w:val="single" w:color="auto" w:sz="8" w:space="0"/>
              <w:right w:val="single" w:color="auto" w:sz="8" w:space="0"/>
            </w:tcBorders>
            <w:noWrap w:val="0"/>
            <w:vAlign w:val="top"/>
          </w:tcPr>
          <w:p>
            <w:pPr>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1800" w:type="dxa"/>
            <w:tcBorders>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033" w:type="dxa"/>
            <w:tcBorders>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167" w:type="dxa"/>
            <w:tcBorders>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4" w:type="dxa"/>
            <w:tcBorders>
              <w:top w:val="single" w:color="auto" w:sz="8" w:space="0"/>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S3</w:t>
            </w:r>
          </w:p>
        </w:tc>
        <w:tc>
          <w:tcPr>
            <w:tcW w:w="1884"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1800"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033"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167"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4" w:type="dxa"/>
            <w:tcBorders>
              <w:top w:val="single" w:color="auto" w:sz="8" w:space="0"/>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S4</w:t>
            </w:r>
          </w:p>
        </w:tc>
        <w:tc>
          <w:tcPr>
            <w:tcW w:w="1884"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1800"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033"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167"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4" w:type="dxa"/>
            <w:tcBorders>
              <w:top w:val="single" w:color="auto" w:sz="8" w:space="0"/>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S5</w:t>
            </w:r>
          </w:p>
        </w:tc>
        <w:tc>
          <w:tcPr>
            <w:tcW w:w="1884"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1800"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033"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167"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4" w:type="dxa"/>
            <w:tcBorders>
              <w:top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S6</w:t>
            </w:r>
          </w:p>
        </w:tc>
        <w:tc>
          <w:tcPr>
            <w:tcW w:w="1884" w:type="dxa"/>
            <w:tcBorders>
              <w:top w:val="single" w:color="auto" w:sz="8" w:space="0"/>
              <w:left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1800" w:type="dxa"/>
            <w:tcBorders>
              <w:top w:val="single" w:color="auto" w:sz="8" w:space="0"/>
              <w:left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033" w:type="dxa"/>
            <w:tcBorders>
              <w:top w:val="single" w:color="auto" w:sz="8" w:space="0"/>
              <w:left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c>
          <w:tcPr>
            <w:tcW w:w="2167" w:type="dxa"/>
            <w:tcBorders>
              <w:top w:val="single" w:color="auto" w:sz="8" w:space="0"/>
              <w:left w:val="single" w:color="auto" w:sz="8" w:space="0"/>
              <w:right w:val="single" w:color="auto" w:sz="8" w:space="0"/>
            </w:tcBorders>
            <w:noWrap w:val="0"/>
            <w:vAlign w:val="top"/>
          </w:tcPr>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w:t>
            </w:r>
          </w:p>
        </w:tc>
      </w:tr>
    </w:tbl>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2、矿区面积：0.0625平方千米；开采标高：572～543米。</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3、开采矿种：建筑用砂矿。</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4、开采方式：露天开采。</w:t>
      </w: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5、生产规模：15万立方米/年。</w:t>
      </w:r>
    </w:p>
    <w:p>
      <w:pPr>
        <w:pStyle w:val="2"/>
        <w:rPr>
          <w:rFonts w:eastAsiaTheme="minorEastAsia"/>
        </w:rPr>
      </w:pPr>
    </w:p>
    <w:p>
      <w:pPr>
        <w:pStyle w:val="13"/>
        <w:rPr>
          <w:rFonts w:eastAsiaTheme="minorEastAsia"/>
        </w:rPr>
      </w:pPr>
    </w:p>
    <w:p>
      <w:pPr>
        <w:rPr>
          <w:rFonts w:eastAsiaTheme="minorEastAsia"/>
        </w:rPr>
      </w:pPr>
    </w:p>
    <w:p>
      <w:pPr>
        <w:pStyle w:val="9"/>
        <w:rPr>
          <w:rFonts w:eastAsiaTheme="minorEastAsia"/>
        </w:rPr>
      </w:pPr>
    </w:p>
    <w:p>
      <w:pPr>
        <w:pStyle w:val="9"/>
        <w:rPr>
          <w:rFonts w:eastAsiaTheme="minorEastAsia"/>
        </w:rPr>
      </w:pPr>
    </w:p>
    <w:p>
      <w:pPr>
        <w:pStyle w:val="9"/>
        <w:rPr>
          <w:rFonts w:eastAsiaTheme="minorEastAsia"/>
        </w:rPr>
      </w:pPr>
    </w:p>
    <w:p>
      <w:pPr>
        <w:pStyle w:val="9"/>
        <w:rPr>
          <w:rFonts w:eastAsiaTheme="minorEastAsia"/>
        </w:rPr>
      </w:pPr>
    </w:p>
    <w:p>
      <w:pPr>
        <w:pStyle w:val="9"/>
        <w:rPr>
          <w:rFonts w:eastAsiaTheme="minorEastAsia"/>
        </w:rPr>
      </w:pPr>
    </w:p>
    <w:p>
      <w:pPr>
        <w:pStyle w:val="9"/>
        <w:rPr>
          <w:rFonts w:eastAsiaTheme="minorEastAsia"/>
        </w:rPr>
      </w:pPr>
    </w:p>
    <w:p>
      <w:p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附件：《沙湾县金沟河镇和众砂石料厂沙湾县金沟河01号建筑用砂石料矿露天采场边坡治理方案》专家审查意见</w:t>
      </w:r>
    </w:p>
    <w:p>
      <w:pPr>
        <w:jc w:val="left"/>
        <w:rPr>
          <w:rFonts w:hint="eastAsia" w:ascii="方正仿宋_GB2312" w:hAnsi="方正仿宋_GB2312" w:eastAsia="方正仿宋_GB2312" w:cs="方正仿宋_GB2312"/>
          <w:sz w:val="32"/>
          <w:szCs w:val="32"/>
          <w:lang w:val="en-US" w:eastAsia="zh-CN"/>
        </w:rPr>
      </w:pPr>
    </w:p>
    <w:p>
      <w:pPr>
        <w:jc w:val="left"/>
        <w:rPr>
          <w:rFonts w:ascii="宋体" w:hAnsi="宋体" w:eastAsia="宋体"/>
          <w:sz w:val="28"/>
          <w:szCs w:val="28"/>
        </w:rPr>
      </w:pPr>
      <w:r>
        <w:rPr>
          <w:rFonts w:hint="eastAsia" w:ascii="方正仿宋_GB2312" w:hAnsi="方正仿宋_GB2312" w:eastAsia="方正仿宋_GB2312" w:cs="方正仿宋_GB2312"/>
          <w:sz w:val="32"/>
          <w:szCs w:val="32"/>
          <w:lang w:val="en-US" w:eastAsia="zh-CN"/>
        </w:rPr>
        <w:t>印  数：12份</w:t>
      </w:r>
    </w:p>
    <w:p>
      <w:pPr>
        <w:spacing w:line="520" w:lineRule="exact"/>
        <w:rPr>
          <w:rFonts w:ascii="宋体" w:hAnsi="宋体" w:eastAsia="宋体"/>
          <w:color w:val="FF0000"/>
          <w:sz w:val="28"/>
          <w:szCs w:val="28"/>
          <w:highlight w:val="yellow"/>
        </w:rPr>
        <w:sectPr>
          <w:pgSz w:w="11905" w:h="16838"/>
          <w:pgMar w:top="2098" w:right="1474" w:bottom="1984" w:left="1587" w:header="0" w:footer="1145"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b/>
          <w:sz w:val="30"/>
          <w:szCs w:val="30"/>
        </w:rPr>
      </w:pPr>
      <w:r>
        <w:rPr>
          <w:rFonts w:hint="eastAsia" w:ascii="宋体" w:hAnsi="宋体" w:eastAsia="宋体"/>
          <w:b/>
          <w:sz w:val="30"/>
          <w:szCs w:val="30"/>
        </w:rPr>
        <w:t>《</w:t>
      </w:r>
      <w:r>
        <w:rPr>
          <w:rFonts w:hint="eastAsia" w:ascii="宋体" w:hAnsi="宋体" w:eastAsia="宋体"/>
          <w:b/>
          <w:sz w:val="30"/>
          <w:szCs w:val="30"/>
          <w:lang w:val="en-US" w:eastAsia="zh-CN"/>
        </w:rPr>
        <w:t>沙湾县金沟河镇和众砂石料厂</w:t>
      </w:r>
      <w:r>
        <w:rPr>
          <w:rFonts w:hint="eastAsia" w:ascii="宋体" w:hAnsi="宋体" w:eastAsia="宋体"/>
          <w:b/>
          <w:sz w:val="30"/>
          <w:szCs w:val="30"/>
          <w:lang w:eastAsia="zh-CN"/>
        </w:rPr>
        <w:t>沙湾县金沟河01号建筑用砂石料矿</w:t>
      </w:r>
      <w:r>
        <w:rPr>
          <w:rFonts w:hint="eastAsia" w:ascii="宋体" w:hAnsi="宋体" w:eastAsia="宋体"/>
          <w:b/>
          <w:sz w:val="30"/>
          <w:szCs w:val="30"/>
          <w:lang w:val="en-US" w:eastAsia="zh-CN"/>
        </w:rPr>
        <w:t>露天采场边坡治理</w:t>
      </w:r>
      <w:r>
        <w:rPr>
          <w:rFonts w:hint="eastAsia" w:ascii="宋体" w:hAnsi="宋体" w:eastAsia="宋体"/>
          <w:b/>
          <w:sz w:val="30"/>
          <w:szCs w:val="30"/>
          <w:lang w:eastAsia="zh-CN"/>
        </w:rPr>
        <w:t>方案</w:t>
      </w:r>
      <w:r>
        <w:rPr>
          <w:rFonts w:hint="eastAsia" w:ascii="宋体" w:hAnsi="宋体" w:eastAsia="宋体"/>
          <w:b/>
          <w:sz w:val="30"/>
          <w:szCs w:val="30"/>
        </w:rPr>
        <w:t>》专家审查意见</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default"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2016年1月沙湾县金沟河镇和众砂石料厂委托新疆光程矿业技术有限公司编制《沙湾县金沟河镇和众砂石料厂沙湾县金沟河01号建筑用砂石料矿露天采场边坡治理方案》（以下简称《方案》），于2026年4月提交评审专家组审核，评审专家组采取函审方式对该《方案》进行了审查，并提出审查意见。编制单位根据专家意见对《方案》进行修改完善。经主审专家复核，《方案》符合规范要求。现形成评审意见如下：</w:t>
      </w:r>
    </w:p>
    <w:p>
      <w:pPr>
        <w:keepNext w:val="0"/>
        <w:keepLines w:val="0"/>
        <w:pageBreakBefore w:val="0"/>
        <w:overflowPunct/>
        <w:autoSpaceDE w:val="0"/>
        <w:autoSpaceDN w:val="0"/>
        <w:bidi w:val="0"/>
        <w:adjustRightInd w:val="0"/>
        <w:snapToGrid w:val="0"/>
        <w:spacing w:line="360" w:lineRule="auto"/>
        <w:ind w:firstLine="538" w:firstLineChars="200"/>
        <w:jc w:val="both"/>
        <w:textAlignment w:val="baseline"/>
        <w:outlineLvl w:val="0"/>
        <w:rPr>
          <w:rFonts w:ascii="宋体" w:hAnsi="宋体" w:eastAsia="宋体" w:cs="宋体"/>
          <w:b/>
          <w:bCs/>
          <w:color w:val="auto"/>
          <w:spacing w:val="-3"/>
          <w:sz w:val="28"/>
          <w:szCs w:val="28"/>
        </w:rPr>
      </w:pPr>
      <w:r>
        <w:rPr>
          <w:rFonts w:hint="eastAsia" w:ascii="宋体" w:hAnsi="宋体" w:eastAsia="宋体" w:cs="宋体"/>
          <w:b/>
          <w:bCs/>
          <w:color w:val="auto"/>
          <w:spacing w:val="-6"/>
          <w:sz w:val="28"/>
          <w:szCs w:val="28"/>
        </w:rPr>
        <w:t>一、采矿权基本情况及编制目的</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default" w:ascii="宋体" w:hAnsi="宋体" w:eastAsia="宋体" w:cs="宋体"/>
          <w:color w:val="auto"/>
          <w:spacing w:val="1"/>
          <w:sz w:val="28"/>
          <w:szCs w:val="28"/>
          <w:lang w:val="en-US" w:eastAsia="zh-CN"/>
        </w:rPr>
      </w:pPr>
      <w:r>
        <w:rPr>
          <w:rFonts w:hint="default" w:ascii="宋体" w:hAnsi="宋体" w:eastAsia="宋体" w:cs="宋体"/>
          <w:color w:val="auto"/>
          <w:spacing w:val="1"/>
          <w:sz w:val="28"/>
          <w:szCs w:val="28"/>
          <w:lang w:val="en-US" w:eastAsia="zh-CN"/>
        </w:rPr>
        <w:t>矿</w:t>
      </w:r>
      <w:r>
        <w:rPr>
          <w:rFonts w:hint="eastAsia" w:ascii="宋体" w:hAnsi="宋体" w:eastAsia="宋体" w:cs="宋体"/>
          <w:color w:val="auto"/>
          <w:spacing w:val="1"/>
          <w:sz w:val="28"/>
          <w:szCs w:val="28"/>
          <w:lang w:val="en-US" w:eastAsia="zh-CN"/>
        </w:rPr>
        <w:t>区位于金沟河镇二道湾村南部2.6公里处、合运焦化厂北侧，沙湾县东南120°方向直线距离约4.0千米处，行政划归沙湾县管辖</w:t>
      </w:r>
      <w:r>
        <w:rPr>
          <w:rFonts w:hint="default" w:ascii="宋体" w:hAnsi="宋体" w:eastAsia="宋体" w:cs="宋体"/>
          <w:color w:val="auto"/>
          <w:spacing w:val="1"/>
          <w:sz w:val="28"/>
          <w:szCs w:val="28"/>
          <w:lang w:val="en-US" w:eastAsia="zh-CN"/>
        </w:rPr>
        <w:t>。</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自沙湾县城沿县道X814公路行驶约5.2千米到达矿区南侧，然后沿矿区外简易砂石路行驶约300米即可到达矿区，矿区交通便利。</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沙湾县金沟河镇和众砂石料厂于2016年取得了沙湾县金沟河01号建筑用砂石料矿采矿权，2019年进行了采矿权延续，采矿权证号</w:t>
      </w:r>
      <w:r>
        <w:rPr>
          <w:rFonts w:hint="default" w:ascii="宋体" w:hAnsi="宋体" w:eastAsia="宋体" w:cs="宋体"/>
          <w:color w:val="auto"/>
          <w:spacing w:val="1"/>
          <w:sz w:val="28"/>
          <w:szCs w:val="28"/>
          <w:lang w:val="en-US" w:eastAsia="zh-CN"/>
        </w:rPr>
        <w:t>C65</w:t>
      </w:r>
      <w:r>
        <w:rPr>
          <w:rFonts w:hint="eastAsia" w:ascii="宋体" w:hAnsi="宋体" w:eastAsia="宋体" w:cs="宋体"/>
          <w:color w:val="auto"/>
          <w:spacing w:val="1"/>
          <w:sz w:val="28"/>
          <w:szCs w:val="28"/>
          <w:lang w:val="en-US" w:eastAsia="zh-CN"/>
        </w:rPr>
        <w:t>42232016117130143727；矿山名称：沙湾县金沟河01号建筑用砂石料矿；经济类型：有限责任公司；开采矿种：建筑用砂；开采方式：露天开采；生产规模：15万立方米/年；矿区面积：0.0625平方千米；开采标高：572～543米，有效期限：2019年5月10日至2022年12月10日。</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沙湾县金沟河镇和众砂石料厂沙湾县金沟河01号建筑用砂石料矿已经停产多年，采矿权已经过期，采矿权人也未再进行采矿权延续，至今尚未完成露天采场边坡治理工作。</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露天采场高陡边坡存在潜在安全隐患，易引发崩塌、滑坡、泥石流等地质灾害。因此沙湾县自然资源局要求，根据矿山露天采场边坡实际情况，需对沙湾县金沟河01号建筑用砂石料矿露天采场边坡进行治理。</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本次编制</w:t>
      </w:r>
      <w:bookmarkStart w:id="1" w:name="_Hlk91836438"/>
      <w:r>
        <w:rPr>
          <w:rFonts w:hint="eastAsia" w:ascii="宋体" w:hAnsi="宋体" w:eastAsia="宋体" w:cs="宋体"/>
          <w:color w:val="auto"/>
          <w:spacing w:val="1"/>
          <w:sz w:val="28"/>
          <w:szCs w:val="28"/>
          <w:lang w:val="en-US" w:eastAsia="zh-CN"/>
        </w:rPr>
        <w:t>《方案》</w:t>
      </w:r>
      <w:bookmarkEnd w:id="1"/>
      <w:r>
        <w:rPr>
          <w:rFonts w:hint="eastAsia" w:ascii="宋体" w:hAnsi="宋体" w:eastAsia="宋体" w:cs="宋体"/>
          <w:color w:val="auto"/>
          <w:spacing w:val="1"/>
          <w:sz w:val="28"/>
          <w:szCs w:val="28"/>
          <w:lang w:val="en-US" w:eastAsia="zh-CN"/>
        </w:rPr>
        <w:t>目的：通过现场调查，制定矿山露天采场边坡治理方案，消除露天采场高陡边坡存在的安全隐患，预防发生崩塌、滑坡、泥石流等地质灾害，保障区域内过往人员的人身安全，有利于后期各类建设工程。</w:t>
      </w:r>
    </w:p>
    <w:p>
      <w:pPr>
        <w:keepNext w:val="0"/>
        <w:keepLines w:val="0"/>
        <w:pageBreakBefore w:val="0"/>
        <w:overflowPunct/>
        <w:autoSpaceDE w:val="0"/>
        <w:autoSpaceDN w:val="0"/>
        <w:bidi w:val="0"/>
        <w:adjustRightInd w:val="0"/>
        <w:snapToGrid w:val="0"/>
        <w:spacing w:line="360" w:lineRule="auto"/>
        <w:ind w:firstLine="546" w:firstLineChars="200"/>
        <w:jc w:val="both"/>
        <w:textAlignment w:val="baseline"/>
        <w:outlineLvl w:val="0"/>
        <w:rPr>
          <w:rFonts w:hint="eastAsia" w:ascii="宋体" w:hAnsi="宋体" w:eastAsia="宋体" w:cs="宋体"/>
          <w:b/>
          <w:bCs/>
          <w:color w:val="auto"/>
          <w:spacing w:val="-4"/>
          <w:sz w:val="28"/>
          <w:szCs w:val="28"/>
        </w:rPr>
      </w:pPr>
      <w:r>
        <w:rPr>
          <w:rFonts w:hint="eastAsia" w:ascii="宋体" w:hAnsi="宋体" w:eastAsia="宋体" w:cs="宋体"/>
          <w:b/>
          <w:bCs/>
          <w:color w:val="auto"/>
          <w:spacing w:val="-4"/>
          <w:sz w:val="28"/>
          <w:szCs w:val="28"/>
        </w:rPr>
        <w:t>二、</w:t>
      </w:r>
      <w:r>
        <w:rPr>
          <w:rFonts w:hint="eastAsia" w:ascii="宋体" w:hAnsi="宋体" w:eastAsia="宋体" w:cs="宋体"/>
          <w:b/>
          <w:bCs/>
          <w:color w:val="auto"/>
          <w:spacing w:val="-4"/>
          <w:sz w:val="28"/>
          <w:szCs w:val="28"/>
          <w:lang w:val="en-US" w:eastAsia="zh-CN"/>
        </w:rPr>
        <w:t>本次工作概述</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（一）工作方法</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接受委托后，根据矿山开采现状，采用资料收集、野外现场调查、室内综合研究和成果编制的工作方法。</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1、资料收集阶段</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该阶段主要内容为接受业主委托后，成立方案编制项目组，开展资料收集分析，编制工作计划。项目组通过委托人、沙湾县自然资源局，收集了项目区自然地理、地质环境、社会经济及相关规划等资料，重点收集矿山前期已完成的《普查报告》、《开发利用方案》、</w:t>
      </w:r>
      <w:r>
        <w:rPr>
          <w:rFonts w:hint="eastAsia" w:ascii="宋体" w:hAnsi="宋体" w:eastAsia="宋体" w:cs="宋体"/>
          <w:color w:val="auto"/>
          <w:spacing w:val="1"/>
          <w:sz w:val="28"/>
          <w:szCs w:val="28"/>
          <w:lang w:val="zh-CN" w:eastAsia="zh-CN"/>
        </w:rPr>
        <w:t>《</w:t>
      </w:r>
      <w:r>
        <w:rPr>
          <w:rFonts w:hint="eastAsia" w:ascii="宋体" w:hAnsi="宋体" w:eastAsia="宋体" w:cs="宋体"/>
          <w:color w:val="auto"/>
          <w:spacing w:val="1"/>
          <w:sz w:val="28"/>
          <w:szCs w:val="28"/>
          <w:lang w:val="en-US" w:eastAsia="zh-CN"/>
        </w:rPr>
        <w:t>地质环境保护与治理恢复方案（代土地复垦方案）》及矿山开采历史过程等成果资料。</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2、外业调查阶段</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项目组在业主的陪同下，对矿区开采现状进行了1:2000地形地质测量，同时现场调查了露天采场内地层岩性、地质构造、岩浆岩发育情况，水工环地质条件、露天采场边坡分布范围、边坡高度、坡度及地质灾害发育情况；与矿山企业、沙湾县自然资源局相关管理部门充分沟通一致的情况下，初步确定矿山露天采场边坡治理方案。</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3、室内综合研究和方案编制阶段</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该阶段主要进行资料整理分析、技术对比研究、方案编制。对收集的各类资料和野外实地调查资料进行整理分析及技术方法等综合研究，在此基础上开展了矿山露天采场边坡治理工程设计以及投资估算，最后编制完成方案及相关图件。</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（二）完成的工作量</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收集利用区内已有地质、开采、地质环境保护与治理恢复方案等资料4份；地形地质测量0.6189平方千米，调查路线长度1.50千米，野外地质调查点6个，拍摄照片20张（编辑6张），编制了《方案》及其附图、附表。完成的主要实物工作量见下表。</w:t>
      </w:r>
    </w:p>
    <w:p>
      <w:pPr>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Times New Roman"/>
          <w:b/>
          <w:bCs/>
          <w:color w:val="auto"/>
          <w:spacing w:val="-11"/>
          <w:w w:val="100"/>
          <w:position w:val="0"/>
          <w:sz w:val="24"/>
          <w:szCs w:val="24"/>
        </w:rPr>
      </w:pPr>
      <w:r>
        <w:rPr>
          <w:rFonts w:hint="eastAsia" w:ascii="宋体" w:hAnsi="宋体" w:eastAsia="宋体" w:cs="Times New Roman"/>
          <w:b/>
          <w:bCs/>
          <w:color w:val="auto"/>
          <w:spacing w:val="-11"/>
          <w:w w:val="100"/>
          <w:position w:val="0"/>
          <w:sz w:val="24"/>
          <w:szCs w:val="24"/>
        </w:rPr>
        <w:t xml:space="preserve"> 完成工作量统计表</w:t>
      </w:r>
    </w:p>
    <w:tbl>
      <w:tblPr>
        <w:tblStyle w:val="18"/>
        <w:tblpPr w:leftFromText="180" w:rightFromText="180" w:vertAnchor="text" w:horzAnchor="page" w:tblpXSpec="center" w:tblpY="3"/>
        <w:tblOverlap w:val="never"/>
        <w:tblW w:w="501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21"/>
        <w:gridCol w:w="4068"/>
        <w:gridCol w:w="778"/>
        <w:gridCol w:w="1201"/>
        <w:gridCol w:w="12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13"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工作性质</w:t>
            </w:r>
          </w:p>
        </w:tc>
        <w:tc>
          <w:tcPr>
            <w:tcW w:w="2290"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工 作 项 目</w:t>
            </w:r>
          </w:p>
        </w:tc>
        <w:tc>
          <w:tcPr>
            <w:tcW w:w="438"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单位</w:t>
            </w:r>
          </w:p>
        </w:tc>
        <w:tc>
          <w:tcPr>
            <w:tcW w:w="676"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工作量</w:t>
            </w:r>
          </w:p>
        </w:tc>
        <w:tc>
          <w:tcPr>
            <w:tcW w:w="681"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13"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hint="eastAsia" w:ascii="宋体" w:hAnsi="宋体"/>
                <w:color w:val="auto"/>
                <w:spacing w:val="-11"/>
                <w:w w:val="100"/>
                <w:position w:val="0"/>
                <w:sz w:val="24"/>
                <w:szCs w:val="24"/>
                <w:highlight w:val="none"/>
              </w:rPr>
              <w:t>收集资料</w:t>
            </w:r>
          </w:p>
        </w:tc>
        <w:tc>
          <w:tcPr>
            <w:tcW w:w="2290"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hint="eastAsia" w:ascii="宋体" w:hAnsi="宋体"/>
                <w:color w:val="auto"/>
                <w:spacing w:val="-11"/>
                <w:w w:val="100"/>
                <w:position w:val="0"/>
                <w:sz w:val="24"/>
                <w:szCs w:val="24"/>
                <w:highlight w:val="none"/>
                <w:lang w:val="en-US" w:eastAsia="zh-CN"/>
              </w:rPr>
              <w:t>资</w:t>
            </w:r>
            <w:r>
              <w:rPr>
                <w:rFonts w:hint="eastAsia" w:ascii="宋体" w:hAnsi="宋体"/>
                <w:color w:val="auto"/>
                <w:spacing w:val="-11"/>
                <w:w w:val="100"/>
                <w:position w:val="0"/>
                <w:sz w:val="24"/>
                <w:szCs w:val="24"/>
                <w:highlight w:val="none"/>
              </w:rPr>
              <w:t>料收集与分析</w:t>
            </w:r>
          </w:p>
        </w:tc>
        <w:tc>
          <w:tcPr>
            <w:tcW w:w="438" w:type="pct"/>
            <w:tcBorders>
              <w:tl2br w:val="nil"/>
              <w:tr2bl w:val="nil"/>
            </w:tcBorders>
            <w:vAlign w:val="center"/>
          </w:tcPr>
          <w:p>
            <w:pPr>
              <w:pStyle w:val="32"/>
              <w:jc w:val="center"/>
              <w:rPr>
                <w:rFonts w:hint="eastAsia" w:ascii="宋体" w:hAnsi="宋体" w:eastAsia="宋体" w:cs="宋体"/>
                <w:color w:val="auto"/>
                <w:spacing w:val="-11"/>
                <w:w w:val="100"/>
                <w:position w:val="0"/>
                <w:sz w:val="24"/>
                <w:szCs w:val="24"/>
                <w:highlight w:val="none"/>
                <w:lang w:val="en-US" w:eastAsia="zh-CN"/>
              </w:rPr>
            </w:pPr>
            <w:r>
              <w:rPr>
                <w:rFonts w:hint="eastAsia" w:ascii="宋体" w:hAnsi="宋体" w:cs="宋体"/>
                <w:color w:val="auto"/>
                <w:spacing w:val="-11"/>
                <w:w w:val="100"/>
                <w:position w:val="0"/>
                <w:sz w:val="24"/>
                <w:szCs w:val="24"/>
                <w:highlight w:val="none"/>
                <w:lang w:val="en-US" w:eastAsia="zh-CN"/>
              </w:rPr>
              <w:t>份</w:t>
            </w:r>
          </w:p>
        </w:tc>
        <w:tc>
          <w:tcPr>
            <w:tcW w:w="676" w:type="pct"/>
            <w:tcBorders>
              <w:tl2br w:val="nil"/>
              <w:tr2bl w:val="nil"/>
            </w:tcBorders>
            <w:vAlign w:val="center"/>
          </w:tcPr>
          <w:p>
            <w:pPr>
              <w:pStyle w:val="32"/>
              <w:jc w:val="center"/>
              <w:rPr>
                <w:rFonts w:hint="eastAsia" w:ascii="宋体" w:hAnsi="宋体" w:eastAsia="宋体" w:cs="宋体"/>
                <w:color w:val="auto"/>
                <w:spacing w:val="-11"/>
                <w:w w:val="100"/>
                <w:position w:val="0"/>
                <w:sz w:val="24"/>
                <w:szCs w:val="24"/>
                <w:highlight w:val="none"/>
                <w:lang w:val="en-US" w:eastAsia="zh-CN"/>
              </w:rPr>
            </w:pPr>
            <w:r>
              <w:rPr>
                <w:rFonts w:hint="eastAsia" w:ascii="宋体" w:hAnsi="宋体" w:cs="宋体"/>
                <w:color w:val="auto"/>
                <w:spacing w:val="-11"/>
                <w:w w:val="100"/>
                <w:position w:val="0"/>
                <w:sz w:val="24"/>
                <w:szCs w:val="24"/>
                <w:highlight w:val="none"/>
                <w:lang w:val="en-US" w:eastAsia="zh-CN"/>
              </w:rPr>
              <w:t>4</w:t>
            </w:r>
          </w:p>
        </w:tc>
        <w:tc>
          <w:tcPr>
            <w:tcW w:w="681" w:type="pct"/>
            <w:tcBorders>
              <w:tl2br w:val="nil"/>
              <w:tr2bl w:val="nil"/>
            </w:tcBorders>
            <w:vAlign w:val="center"/>
          </w:tcPr>
          <w:p>
            <w:pPr>
              <w:pStyle w:val="32"/>
              <w:jc w:val="center"/>
              <w:rPr>
                <w:rFonts w:hint="eastAsia" w:ascii="宋体" w:hAnsi="宋体" w:cs="宋体"/>
                <w:color w:val="auto"/>
                <w:spacing w:val="-11"/>
                <w:w w:val="100"/>
                <w:position w:val="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13" w:type="pct"/>
            <w:vMerge w:val="restar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p>
          <w:p>
            <w:pPr>
              <w:pStyle w:val="32"/>
              <w:jc w:val="center"/>
              <w:rPr>
                <w:rFonts w:ascii="宋体" w:hAnsi="宋体" w:cs="宋体"/>
                <w:color w:val="auto"/>
                <w:spacing w:val="-11"/>
                <w:w w:val="100"/>
                <w:position w:val="0"/>
                <w:sz w:val="24"/>
                <w:szCs w:val="24"/>
                <w:highlight w:val="none"/>
              </w:rPr>
            </w:pPr>
          </w:p>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野外调查</w:t>
            </w:r>
          </w:p>
        </w:tc>
        <w:tc>
          <w:tcPr>
            <w:tcW w:w="2290" w:type="pct"/>
            <w:tcBorders>
              <w:tl2br w:val="nil"/>
              <w:tr2bl w:val="nil"/>
            </w:tcBorders>
            <w:shd w:val="clear" w:color="auto" w:fill="auto"/>
            <w:vAlign w:val="center"/>
          </w:tcPr>
          <w:p>
            <w:pPr>
              <w:pStyle w:val="32"/>
              <w:ind w:firstLine="0" w:firstLineChars="0"/>
              <w:jc w:val="center"/>
              <w:rPr>
                <w:rFonts w:hint="default" w:ascii="宋体" w:hAnsi="宋体" w:eastAsia="宋体" w:cs="宋体"/>
                <w:b w:val="0"/>
                <w:color w:val="auto"/>
                <w:spacing w:val="-11"/>
                <w:w w:val="100"/>
                <w:kern w:val="2"/>
                <w:position w:val="0"/>
                <w:sz w:val="24"/>
                <w:szCs w:val="24"/>
                <w:highlight w:val="none"/>
                <w:lang w:val="en-US" w:eastAsia="zh-CN" w:bidi="ar-SA"/>
              </w:rPr>
            </w:pPr>
            <w:r>
              <w:rPr>
                <w:rFonts w:hint="eastAsia" w:ascii="宋体" w:hAnsi="宋体" w:cs="宋体"/>
                <w:color w:val="auto"/>
                <w:spacing w:val="-11"/>
                <w:w w:val="100"/>
                <w:position w:val="0"/>
                <w:sz w:val="24"/>
                <w:szCs w:val="24"/>
                <w:highlight w:val="none"/>
                <w:lang w:val="en-US" w:eastAsia="zh-CN"/>
              </w:rPr>
              <w:t>地形地质测量</w:t>
            </w:r>
          </w:p>
        </w:tc>
        <w:tc>
          <w:tcPr>
            <w:tcW w:w="438" w:type="pct"/>
            <w:tcBorders>
              <w:tl2br w:val="nil"/>
              <w:tr2bl w:val="nil"/>
            </w:tcBorders>
            <w:shd w:val="clear" w:color="auto" w:fill="auto"/>
            <w:vAlign w:val="center"/>
          </w:tcPr>
          <w:p>
            <w:pPr>
              <w:pStyle w:val="32"/>
              <w:ind w:firstLine="0" w:firstLineChars="0"/>
              <w:jc w:val="center"/>
              <w:rPr>
                <w:rFonts w:hint="eastAsia" w:ascii="宋体" w:hAnsi="宋体" w:eastAsia="宋体" w:cs="宋体"/>
                <w:b w:val="0"/>
                <w:color w:val="auto"/>
                <w:spacing w:val="-11"/>
                <w:w w:val="100"/>
                <w:kern w:val="2"/>
                <w:position w:val="0"/>
                <w:sz w:val="24"/>
                <w:szCs w:val="24"/>
                <w:highlight w:val="none"/>
                <w:lang w:val="en-US" w:eastAsia="zh-CN" w:bidi="ar-SA"/>
              </w:rPr>
            </w:pPr>
            <w:r>
              <w:rPr>
                <w:rFonts w:ascii="宋体" w:hAnsi="宋体" w:cs="宋体"/>
                <w:color w:val="auto"/>
                <w:spacing w:val="-11"/>
                <w:w w:val="100"/>
                <w:position w:val="0"/>
                <w:sz w:val="24"/>
                <w:szCs w:val="24"/>
                <w:highlight w:val="none"/>
              </w:rPr>
              <w:t>km2</w:t>
            </w:r>
          </w:p>
        </w:tc>
        <w:tc>
          <w:tcPr>
            <w:tcW w:w="676" w:type="pct"/>
            <w:tcBorders>
              <w:tl2br w:val="nil"/>
              <w:tr2bl w:val="nil"/>
            </w:tcBorders>
            <w:shd w:val="clear" w:color="auto" w:fill="auto"/>
            <w:vAlign w:val="center"/>
          </w:tcPr>
          <w:p>
            <w:pPr>
              <w:pStyle w:val="32"/>
              <w:ind w:firstLine="0" w:firstLineChars="0"/>
              <w:jc w:val="center"/>
              <w:rPr>
                <w:rFonts w:hint="default" w:ascii="宋体" w:hAnsi="宋体" w:eastAsia="宋体" w:cs="宋体"/>
                <w:b w:val="0"/>
                <w:color w:val="auto"/>
                <w:spacing w:val="-11"/>
                <w:w w:val="100"/>
                <w:kern w:val="2"/>
                <w:position w:val="0"/>
                <w:sz w:val="24"/>
                <w:szCs w:val="24"/>
                <w:highlight w:val="none"/>
                <w:lang w:val="en-US" w:eastAsia="zh-CN" w:bidi="ar-SA"/>
              </w:rPr>
            </w:pPr>
            <w:r>
              <w:rPr>
                <w:rFonts w:hint="eastAsia" w:ascii="宋体" w:hAnsi="宋体" w:cs="宋体"/>
                <w:color w:val="auto"/>
                <w:spacing w:val="-11"/>
                <w:w w:val="100"/>
                <w:position w:val="0"/>
                <w:sz w:val="24"/>
                <w:szCs w:val="24"/>
                <w:highlight w:val="none"/>
                <w:lang w:eastAsia="zh-CN"/>
              </w:rPr>
              <w:t>0.</w:t>
            </w:r>
            <w:r>
              <w:rPr>
                <w:rFonts w:hint="eastAsia" w:ascii="宋体" w:hAnsi="宋体" w:cs="宋体"/>
                <w:color w:val="auto"/>
                <w:spacing w:val="-11"/>
                <w:w w:val="100"/>
                <w:position w:val="0"/>
                <w:sz w:val="24"/>
                <w:szCs w:val="24"/>
                <w:highlight w:val="none"/>
                <w:lang w:val="en-US" w:eastAsia="zh-CN"/>
              </w:rPr>
              <w:t>6189</w:t>
            </w:r>
          </w:p>
        </w:tc>
        <w:tc>
          <w:tcPr>
            <w:tcW w:w="681" w:type="pct"/>
            <w:tcBorders>
              <w:tl2br w:val="nil"/>
              <w:tr2bl w:val="nil"/>
            </w:tcBorders>
            <w:vAlign w:val="center"/>
          </w:tcPr>
          <w:p>
            <w:pPr>
              <w:pStyle w:val="32"/>
              <w:jc w:val="center"/>
              <w:rPr>
                <w:rFonts w:hint="eastAsia" w:ascii="宋体" w:hAnsi="宋体" w:cs="宋体"/>
                <w:color w:val="auto"/>
                <w:spacing w:val="-11"/>
                <w:w w:val="100"/>
                <w:position w:val="0"/>
                <w:sz w:val="24"/>
                <w:szCs w:val="24"/>
                <w:highlight w:val="none"/>
                <w:lang w:val="en-US" w:eastAsia="zh-CN"/>
              </w:rPr>
            </w:pPr>
            <w:r>
              <w:rPr>
                <w:rFonts w:hint="eastAsia" w:ascii="宋体" w:hAnsi="宋体" w:cs="宋体"/>
                <w:color w:val="auto"/>
                <w:spacing w:val="-11"/>
                <w:w w:val="100"/>
                <w:position w:val="0"/>
                <w:sz w:val="24"/>
                <w:szCs w:val="24"/>
                <w:highlight w:val="none"/>
                <w:lang w:val="en-US" w:eastAsia="zh-CN"/>
              </w:rPr>
              <w:t>1:2000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13" w:type="pct"/>
            <w:vMerge w:val="continue"/>
            <w:tcBorders>
              <w:tl2br w:val="nil"/>
              <w:tr2bl w:val="nil"/>
            </w:tcBorders>
            <w:vAlign w:val="center"/>
          </w:tcPr>
          <w:p>
            <w:pPr>
              <w:pStyle w:val="32"/>
              <w:jc w:val="center"/>
              <w:rPr>
                <w:rFonts w:ascii="宋体" w:hAnsi="宋体" w:cs="宋体"/>
                <w:color w:val="auto"/>
                <w:spacing w:val="-11"/>
                <w:w w:val="100"/>
                <w:position w:val="0"/>
                <w:sz w:val="24"/>
                <w:szCs w:val="24"/>
                <w:highlight w:val="none"/>
              </w:rPr>
            </w:pPr>
          </w:p>
        </w:tc>
        <w:tc>
          <w:tcPr>
            <w:tcW w:w="2290"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调查路线长度</w:t>
            </w:r>
          </w:p>
        </w:tc>
        <w:tc>
          <w:tcPr>
            <w:tcW w:w="438"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km</w:t>
            </w:r>
          </w:p>
        </w:tc>
        <w:tc>
          <w:tcPr>
            <w:tcW w:w="676" w:type="pct"/>
            <w:tcBorders>
              <w:tl2br w:val="nil"/>
              <w:tr2bl w:val="nil"/>
            </w:tcBorders>
            <w:vAlign w:val="center"/>
          </w:tcPr>
          <w:p>
            <w:pPr>
              <w:pStyle w:val="32"/>
              <w:jc w:val="center"/>
              <w:rPr>
                <w:rFonts w:hint="default" w:ascii="宋体" w:hAnsi="宋体" w:eastAsia="宋体" w:cs="宋体"/>
                <w:color w:val="auto"/>
                <w:spacing w:val="-11"/>
                <w:w w:val="100"/>
                <w:position w:val="0"/>
                <w:sz w:val="24"/>
                <w:szCs w:val="24"/>
                <w:highlight w:val="none"/>
                <w:lang w:val="en-US" w:eastAsia="zh-CN"/>
              </w:rPr>
            </w:pPr>
            <w:r>
              <w:rPr>
                <w:rFonts w:hint="eastAsia" w:ascii="宋体" w:hAnsi="宋体" w:cs="宋体"/>
                <w:color w:val="auto"/>
                <w:spacing w:val="-11"/>
                <w:w w:val="100"/>
                <w:position w:val="0"/>
                <w:sz w:val="24"/>
                <w:szCs w:val="24"/>
                <w:highlight w:val="none"/>
                <w:lang w:val="en-US" w:eastAsia="zh-CN"/>
              </w:rPr>
              <w:t>1</w:t>
            </w:r>
            <w:r>
              <w:rPr>
                <w:rFonts w:hint="eastAsia" w:ascii="宋体" w:hAnsi="宋体" w:eastAsia="宋体" w:cs="宋体"/>
                <w:color w:val="auto"/>
                <w:spacing w:val="-11"/>
                <w:w w:val="100"/>
                <w:position w:val="0"/>
                <w:sz w:val="24"/>
                <w:szCs w:val="24"/>
                <w:highlight w:val="none"/>
                <w:lang w:val="en-US" w:eastAsia="zh-CN"/>
              </w:rPr>
              <w:t>.50</w:t>
            </w:r>
          </w:p>
        </w:tc>
        <w:tc>
          <w:tcPr>
            <w:tcW w:w="681" w:type="pct"/>
            <w:tcBorders>
              <w:tl2br w:val="nil"/>
              <w:tr2bl w:val="nil"/>
            </w:tcBorders>
            <w:vAlign w:val="center"/>
          </w:tcPr>
          <w:p>
            <w:pPr>
              <w:pStyle w:val="32"/>
              <w:jc w:val="center"/>
              <w:rPr>
                <w:rFonts w:hint="eastAsia" w:ascii="宋体" w:hAnsi="宋体" w:cs="宋体"/>
                <w:color w:val="auto"/>
                <w:spacing w:val="-11"/>
                <w:w w:val="100"/>
                <w:position w:val="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13" w:type="pct"/>
            <w:vMerge w:val="continue"/>
            <w:tcBorders>
              <w:tl2br w:val="nil"/>
              <w:tr2bl w:val="nil"/>
            </w:tcBorders>
            <w:vAlign w:val="center"/>
          </w:tcPr>
          <w:p>
            <w:pPr>
              <w:pStyle w:val="32"/>
              <w:jc w:val="center"/>
              <w:rPr>
                <w:rFonts w:ascii="宋体" w:hAnsi="宋体" w:cs="宋体"/>
                <w:color w:val="auto"/>
                <w:spacing w:val="-11"/>
                <w:w w:val="100"/>
                <w:position w:val="0"/>
                <w:sz w:val="24"/>
                <w:szCs w:val="24"/>
                <w:highlight w:val="none"/>
              </w:rPr>
            </w:pPr>
          </w:p>
        </w:tc>
        <w:tc>
          <w:tcPr>
            <w:tcW w:w="2290"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hint="eastAsia"/>
                <w:color w:val="auto"/>
                <w:spacing w:val="-11"/>
                <w:w w:val="100"/>
                <w:position w:val="0"/>
                <w:sz w:val="24"/>
                <w:szCs w:val="24"/>
                <w:highlight w:val="none"/>
                <w:lang w:val="en-US" w:eastAsia="zh-CN"/>
              </w:rPr>
              <w:t>野外地质调查点</w:t>
            </w:r>
          </w:p>
        </w:tc>
        <w:tc>
          <w:tcPr>
            <w:tcW w:w="438"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个</w:t>
            </w:r>
          </w:p>
        </w:tc>
        <w:tc>
          <w:tcPr>
            <w:tcW w:w="676" w:type="pct"/>
            <w:tcBorders>
              <w:tl2br w:val="nil"/>
              <w:tr2bl w:val="nil"/>
            </w:tcBorders>
            <w:vAlign w:val="center"/>
          </w:tcPr>
          <w:p>
            <w:pPr>
              <w:pStyle w:val="32"/>
              <w:jc w:val="center"/>
              <w:rPr>
                <w:rFonts w:hint="eastAsia" w:ascii="宋体" w:hAnsi="宋体" w:eastAsia="宋体" w:cs="宋体"/>
                <w:color w:val="auto"/>
                <w:spacing w:val="-11"/>
                <w:w w:val="100"/>
                <w:position w:val="0"/>
                <w:sz w:val="24"/>
                <w:szCs w:val="24"/>
                <w:highlight w:val="none"/>
                <w:lang w:eastAsia="zh-CN"/>
              </w:rPr>
            </w:pPr>
            <w:r>
              <w:rPr>
                <w:rFonts w:hint="eastAsia" w:ascii="宋体" w:hAnsi="宋体" w:cs="宋体"/>
                <w:color w:val="auto"/>
                <w:spacing w:val="-11"/>
                <w:w w:val="100"/>
                <w:position w:val="0"/>
                <w:sz w:val="24"/>
                <w:szCs w:val="24"/>
                <w:highlight w:val="none"/>
                <w:lang w:val="en-US" w:eastAsia="zh-CN"/>
              </w:rPr>
              <w:t>6</w:t>
            </w:r>
          </w:p>
        </w:tc>
        <w:tc>
          <w:tcPr>
            <w:tcW w:w="681" w:type="pct"/>
            <w:tcBorders>
              <w:tl2br w:val="nil"/>
              <w:tr2bl w:val="nil"/>
            </w:tcBorders>
            <w:vAlign w:val="center"/>
          </w:tcPr>
          <w:p>
            <w:pPr>
              <w:pStyle w:val="32"/>
              <w:jc w:val="center"/>
              <w:rPr>
                <w:rFonts w:hint="eastAsia" w:ascii="宋体" w:hAnsi="宋体" w:cs="宋体"/>
                <w:color w:val="auto"/>
                <w:spacing w:val="-11"/>
                <w:w w:val="100"/>
                <w:position w:val="0"/>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13" w:type="pct"/>
            <w:vMerge w:val="continue"/>
            <w:tcBorders>
              <w:tl2br w:val="nil"/>
              <w:tr2bl w:val="nil"/>
            </w:tcBorders>
            <w:vAlign w:val="center"/>
          </w:tcPr>
          <w:p>
            <w:pPr>
              <w:pStyle w:val="32"/>
              <w:jc w:val="center"/>
              <w:rPr>
                <w:rFonts w:ascii="宋体" w:hAnsi="宋体" w:cs="宋体"/>
                <w:color w:val="auto"/>
                <w:spacing w:val="-11"/>
                <w:w w:val="100"/>
                <w:position w:val="0"/>
                <w:sz w:val="24"/>
                <w:szCs w:val="24"/>
                <w:highlight w:val="none"/>
              </w:rPr>
            </w:pPr>
          </w:p>
        </w:tc>
        <w:tc>
          <w:tcPr>
            <w:tcW w:w="2290" w:type="pct"/>
            <w:tcBorders>
              <w:tl2br w:val="nil"/>
              <w:tr2bl w:val="nil"/>
            </w:tcBorders>
            <w:shd w:val="clear" w:color="auto" w:fill="auto"/>
            <w:vAlign w:val="center"/>
          </w:tcPr>
          <w:p>
            <w:pPr>
              <w:pStyle w:val="32"/>
              <w:ind w:firstLine="0" w:firstLineChars="0"/>
              <w:jc w:val="center"/>
              <w:rPr>
                <w:rFonts w:hint="eastAsia" w:ascii="宋体" w:hAnsi="宋体" w:eastAsia="宋体" w:cs="宋体"/>
                <w:b w:val="0"/>
                <w:color w:val="auto"/>
                <w:spacing w:val="-11"/>
                <w:w w:val="100"/>
                <w:kern w:val="2"/>
                <w:position w:val="0"/>
                <w:sz w:val="24"/>
                <w:szCs w:val="24"/>
                <w:highlight w:val="none"/>
                <w:lang w:val="en-US" w:eastAsia="en-US" w:bidi="ar-SA"/>
              </w:rPr>
            </w:pPr>
            <w:r>
              <w:rPr>
                <w:rFonts w:ascii="宋体" w:hAnsi="宋体" w:cs="宋体"/>
                <w:color w:val="auto"/>
                <w:spacing w:val="-11"/>
                <w:w w:val="100"/>
                <w:position w:val="0"/>
                <w:sz w:val="24"/>
                <w:szCs w:val="24"/>
                <w:highlight w:val="none"/>
              </w:rPr>
              <w:t>照片</w:t>
            </w:r>
          </w:p>
        </w:tc>
        <w:tc>
          <w:tcPr>
            <w:tcW w:w="438" w:type="pct"/>
            <w:tcBorders>
              <w:tl2br w:val="nil"/>
              <w:tr2bl w:val="nil"/>
            </w:tcBorders>
            <w:shd w:val="clear" w:color="auto" w:fill="auto"/>
            <w:vAlign w:val="center"/>
          </w:tcPr>
          <w:p>
            <w:pPr>
              <w:pStyle w:val="32"/>
              <w:ind w:firstLine="0" w:firstLineChars="0"/>
              <w:jc w:val="center"/>
              <w:rPr>
                <w:rFonts w:hint="eastAsia" w:ascii="宋体" w:hAnsi="宋体" w:eastAsia="宋体" w:cs="宋体"/>
                <w:b w:val="0"/>
                <w:color w:val="auto"/>
                <w:spacing w:val="-11"/>
                <w:w w:val="100"/>
                <w:kern w:val="2"/>
                <w:position w:val="0"/>
                <w:sz w:val="24"/>
                <w:szCs w:val="24"/>
                <w:highlight w:val="none"/>
                <w:lang w:val="en-US" w:eastAsia="en-US" w:bidi="ar-SA"/>
              </w:rPr>
            </w:pPr>
            <w:r>
              <w:rPr>
                <w:rFonts w:ascii="宋体" w:hAnsi="宋体" w:cs="宋体"/>
                <w:color w:val="auto"/>
                <w:spacing w:val="-11"/>
                <w:w w:val="100"/>
                <w:position w:val="0"/>
                <w:sz w:val="24"/>
                <w:szCs w:val="24"/>
                <w:highlight w:val="none"/>
              </w:rPr>
              <w:t>张</w:t>
            </w:r>
          </w:p>
        </w:tc>
        <w:tc>
          <w:tcPr>
            <w:tcW w:w="676" w:type="pct"/>
            <w:tcBorders>
              <w:tl2br w:val="nil"/>
              <w:tr2bl w:val="nil"/>
            </w:tcBorders>
            <w:shd w:val="clear" w:color="auto" w:fill="auto"/>
            <w:vAlign w:val="center"/>
          </w:tcPr>
          <w:p>
            <w:pPr>
              <w:pStyle w:val="32"/>
              <w:ind w:firstLine="0" w:firstLineChars="0"/>
              <w:jc w:val="center"/>
              <w:rPr>
                <w:rFonts w:hint="eastAsia" w:ascii="宋体" w:hAnsi="宋体" w:eastAsia="宋体" w:cs="宋体"/>
                <w:b w:val="0"/>
                <w:color w:val="auto"/>
                <w:spacing w:val="-11"/>
                <w:w w:val="100"/>
                <w:kern w:val="2"/>
                <w:position w:val="0"/>
                <w:sz w:val="24"/>
                <w:szCs w:val="24"/>
                <w:highlight w:val="none"/>
                <w:lang w:val="en-US" w:eastAsia="zh-CN" w:bidi="ar-SA"/>
              </w:rPr>
            </w:pPr>
            <w:r>
              <w:rPr>
                <w:rFonts w:hint="eastAsia" w:ascii="宋体" w:hAnsi="宋体" w:eastAsia="宋体" w:cs="宋体"/>
                <w:color w:val="auto"/>
                <w:spacing w:val="-11"/>
                <w:w w:val="100"/>
                <w:position w:val="0"/>
                <w:sz w:val="24"/>
                <w:szCs w:val="24"/>
                <w:highlight w:val="none"/>
                <w:lang w:val="en-US" w:eastAsia="zh-CN"/>
              </w:rPr>
              <w:t>20</w:t>
            </w:r>
          </w:p>
        </w:tc>
        <w:tc>
          <w:tcPr>
            <w:tcW w:w="681" w:type="pct"/>
            <w:tcBorders>
              <w:tl2br w:val="nil"/>
              <w:tr2bl w:val="nil"/>
            </w:tcBorders>
            <w:vAlign w:val="center"/>
          </w:tcPr>
          <w:p>
            <w:pPr>
              <w:pStyle w:val="32"/>
              <w:ind w:firstLine="0" w:firstLineChars="0"/>
              <w:jc w:val="center"/>
              <w:rPr>
                <w:rFonts w:hint="eastAsia" w:ascii="宋体" w:hAnsi="宋体" w:eastAsia="宋体" w:cs="宋体"/>
                <w:color w:val="auto"/>
                <w:spacing w:val="-11"/>
                <w:w w:val="100"/>
                <w:position w:val="0"/>
                <w:sz w:val="24"/>
                <w:szCs w:val="24"/>
                <w:highlight w:val="none"/>
                <w:lang w:val="en-US" w:eastAsia="zh-CN"/>
              </w:rPr>
            </w:pPr>
            <w:r>
              <w:rPr>
                <w:rFonts w:hint="eastAsia" w:ascii="宋体" w:hAnsi="宋体" w:eastAsia="宋体" w:cs="宋体"/>
                <w:color w:val="auto"/>
                <w:spacing w:val="-11"/>
                <w:w w:val="100"/>
                <w:position w:val="0"/>
                <w:sz w:val="24"/>
                <w:szCs w:val="24"/>
                <w:highlight w:val="none"/>
                <w:lang w:val="en-US" w:eastAsia="zh-CN"/>
              </w:rPr>
              <w:t>编辑6张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13"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室内综合</w:t>
            </w:r>
          </w:p>
        </w:tc>
        <w:tc>
          <w:tcPr>
            <w:tcW w:w="2290"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方案编制</w:t>
            </w:r>
          </w:p>
        </w:tc>
        <w:tc>
          <w:tcPr>
            <w:tcW w:w="438"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r>
              <w:rPr>
                <w:rFonts w:ascii="宋体" w:hAnsi="宋体" w:cs="宋体"/>
                <w:color w:val="auto"/>
                <w:spacing w:val="-11"/>
                <w:w w:val="100"/>
                <w:position w:val="0"/>
                <w:sz w:val="24"/>
                <w:szCs w:val="24"/>
                <w:highlight w:val="none"/>
              </w:rPr>
              <w:t>份</w:t>
            </w:r>
          </w:p>
        </w:tc>
        <w:tc>
          <w:tcPr>
            <w:tcW w:w="676" w:type="pct"/>
            <w:tcBorders>
              <w:tl2br w:val="nil"/>
              <w:tr2bl w:val="nil"/>
            </w:tcBorders>
            <w:vAlign w:val="center"/>
          </w:tcPr>
          <w:p>
            <w:pPr>
              <w:pStyle w:val="32"/>
              <w:jc w:val="center"/>
              <w:rPr>
                <w:rFonts w:hint="eastAsia" w:ascii="宋体" w:hAnsi="宋体" w:eastAsia="宋体" w:cs="宋体"/>
                <w:color w:val="auto"/>
                <w:spacing w:val="-11"/>
                <w:w w:val="100"/>
                <w:position w:val="0"/>
                <w:sz w:val="24"/>
                <w:szCs w:val="24"/>
                <w:highlight w:val="none"/>
                <w:lang w:eastAsia="zh-CN"/>
              </w:rPr>
            </w:pPr>
            <w:r>
              <w:rPr>
                <w:rFonts w:hint="eastAsia" w:ascii="宋体" w:hAnsi="宋体" w:eastAsia="宋体" w:cs="宋体"/>
                <w:color w:val="auto"/>
                <w:spacing w:val="-11"/>
                <w:w w:val="100"/>
                <w:position w:val="0"/>
                <w:sz w:val="24"/>
                <w:szCs w:val="24"/>
                <w:highlight w:val="none"/>
                <w:lang w:eastAsia="zh-CN"/>
              </w:rPr>
              <w:t>1</w:t>
            </w:r>
          </w:p>
        </w:tc>
        <w:tc>
          <w:tcPr>
            <w:tcW w:w="681" w:type="pct"/>
            <w:tcBorders>
              <w:tl2br w:val="nil"/>
              <w:tr2bl w:val="nil"/>
            </w:tcBorders>
            <w:vAlign w:val="center"/>
          </w:tcPr>
          <w:p>
            <w:pPr>
              <w:pStyle w:val="32"/>
              <w:jc w:val="center"/>
              <w:rPr>
                <w:rFonts w:ascii="宋体" w:hAnsi="宋体" w:cs="宋体"/>
                <w:color w:val="auto"/>
                <w:spacing w:val="-11"/>
                <w:w w:val="100"/>
                <w:position w:val="0"/>
                <w:sz w:val="24"/>
                <w:szCs w:val="24"/>
                <w:highlight w:val="none"/>
              </w:rPr>
            </w:pPr>
          </w:p>
        </w:tc>
      </w:tr>
    </w:tbl>
    <w:p>
      <w:pPr>
        <w:spacing w:line="122" w:lineRule="auto"/>
        <w:rPr>
          <w:rFonts w:ascii="Arial"/>
          <w:color w:val="auto"/>
          <w:spacing w:val="-11"/>
          <w:w w:val="100"/>
          <w:position w:val="0"/>
          <w:sz w:val="2"/>
        </w:rPr>
      </w:pPr>
    </w:p>
    <w:p>
      <w:pPr>
        <w:keepNext w:val="0"/>
        <w:keepLines w:val="0"/>
        <w:pageBreakBefore w:val="0"/>
        <w:overflowPunct/>
        <w:autoSpaceDE w:val="0"/>
        <w:autoSpaceDN w:val="0"/>
        <w:bidi w:val="0"/>
        <w:adjustRightInd w:val="0"/>
        <w:snapToGrid w:val="0"/>
        <w:spacing w:line="360" w:lineRule="auto"/>
        <w:ind w:firstLine="546" w:firstLineChars="200"/>
        <w:jc w:val="both"/>
        <w:textAlignment w:val="baseline"/>
        <w:outlineLvl w:val="0"/>
        <w:rPr>
          <w:rFonts w:hint="eastAsia" w:ascii="宋体" w:hAnsi="宋体" w:eastAsia="宋体" w:cs="宋体"/>
          <w:b/>
          <w:bCs/>
          <w:color w:val="auto"/>
          <w:spacing w:val="-4"/>
          <w:sz w:val="28"/>
          <w:szCs w:val="28"/>
        </w:rPr>
      </w:pPr>
      <w:r>
        <w:rPr>
          <w:rFonts w:hint="eastAsia" w:ascii="宋体" w:hAnsi="宋体" w:eastAsia="宋体" w:cs="宋体"/>
          <w:b/>
          <w:bCs/>
          <w:color w:val="auto"/>
          <w:spacing w:val="-4"/>
          <w:sz w:val="28"/>
          <w:szCs w:val="28"/>
        </w:rPr>
        <w:t>三、</w:t>
      </w:r>
      <w:r>
        <w:rPr>
          <w:rFonts w:hint="eastAsia" w:ascii="宋体" w:hAnsi="宋体" w:eastAsia="宋体" w:cs="宋体"/>
          <w:b/>
          <w:bCs/>
          <w:color w:val="auto"/>
          <w:spacing w:val="-4"/>
          <w:sz w:val="28"/>
          <w:szCs w:val="28"/>
          <w:lang w:val="en-US" w:eastAsia="zh-CN"/>
        </w:rPr>
        <w:t>矿山开采历史及现状</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矿山设计采用自上而下水平分层台阶式露天开采方式，采用简易道路开拓汽车道路运输方案，建设规模为15.00万立方米/年，实际未采用台阶式。</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default"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通过本次工作进行的1：2000地形地质测量及现场调查，历史遗留的露天采场呈不规则的圆形，面积约81686平方米，露天采场顶部标高为586～605米标高，底部标高为572～578米，开采深度为25～30米左右。露天采场内开采边坡高度大部分区域达25米以上，且边坡角在35°～45°左右，局部为直立状态，未留设安全平台，至今尚未完成露天采场边坡治理工作，露天采场高陡边坡存在潜在安全隐患，易引发崩塌、滑坡、泥石流等地质灾害。</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default"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露天采场外北侧，存在历史遗留的一段高陡边坡，长度约130米，高差约10～15米左右，边坡角在25°～30°左右，存在潜在安全隐患，易引发崩塌、滑坡、泥石流等地质灾害。</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露天采场外东侧，尚有原露天开采期间遗留的建筑物（砖房），尚未拆除，通过与采矿权人核实，现有砖房将用于养殖基地内辅助设施，因此未进行拆除。</w:t>
      </w:r>
    </w:p>
    <w:p>
      <w:pPr>
        <w:keepNext w:val="0"/>
        <w:keepLines w:val="0"/>
        <w:pageBreakBefore w:val="0"/>
        <w:overflowPunct/>
        <w:autoSpaceDE w:val="0"/>
        <w:autoSpaceDN w:val="0"/>
        <w:bidi w:val="0"/>
        <w:adjustRightInd w:val="0"/>
        <w:snapToGrid w:val="0"/>
        <w:spacing w:line="360" w:lineRule="auto"/>
        <w:ind w:firstLine="546" w:firstLineChars="200"/>
        <w:jc w:val="both"/>
        <w:textAlignment w:val="baseline"/>
        <w:outlineLvl w:val="0"/>
        <w:rPr>
          <w:rFonts w:hint="eastAsia" w:ascii="宋体" w:hAnsi="宋体" w:eastAsia="宋体" w:cs="宋体"/>
          <w:b/>
          <w:bCs/>
          <w:color w:val="auto"/>
          <w:spacing w:val="-4"/>
          <w:sz w:val="28"/>
          <w:szCs w:val="28"/>
          <w:lang w:val="en-US" w:eastAsia="zh-CN"/>
        </w:rPr>
      </w:pPr>
      <w:r>
        <w:rPr>
          <w:rFonts w:hint="eastAsia" w:ascii="宋体" w:hAnsi="宋体" w:eastAsia="宋体" w:cs="宋体"/>
          <w:b/>
          <w:bCs/>
          <w:color w:val="auto"/>
          <w:spacing w:val="-4"/>
          <w:sz w:val="28"/>
          <w:szCs w:val="28"/>
        </w:rPr>
        <w:t>四、</w:t>
      </w:r>
      <w:r>
        <w:rPr>
          <w:rFonts w:hint="eastAsia" w:ascii="宋体" w:hAnsi="宋体" w:eastAsia="宋体" w:cs="宋体"/>
          <w:b/>
          <w:bCs/>
          <w:color w:val="auto"/>
          <w:spacing w:val="-4"/>
          <w:sz w:val="28"/>
          <w:szCs w:val="28"/>
          <w:lang w:val="en-US" w:eastAsia="zh-CN"/>
        </w:rPr>
        <w:t>矿山地质环境治理工作情况</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2016年4月矿山提交了</w:t>
      </w:r>
      <w:r>
        <w:rPr>
          <w:rFonts w:hint="eastAsia" w:ascii="宋体" w:hAnsi="宋体" w:eastAsia="宋体" w:cs="宋体"/>
          <w:color w:val="auto"/>
          <w:spacing w:val="1"/>
          <w:sz w:val="28"/>
          <w:szCs w:val="28"/>
          <w:lang w:val="zh-CN" w:eastAsia="zh-CN"/>
        </w:rPr>
        <w:t>《</w:t>
      </w:r>
      <w:r>
        <w:rPr>
          <w:rFonts w:hint="eastAsia" w:ascii="宋体" w:hAnsi="宋体" w:eastAsia="宋体" w:cs="宋体"/>
          <w:color w:val="auto"/>
          <w:spacing w:val="1"/>
          <w:sz w:val="28"/>
          <w:szCs w:val="28"/>
          <w:lang w:val="en-US" w:eastAsia="zh-CN"/>
        </w:rPr>
        <w:t>沙湾县金沟河01号建筑用砂石料矿地质环境保护与治理恢复方案（代土地复垦方案）》，主要的矿山地质环境治理与生态修复工程设计为：在生活区设置垃圾池及污水处理池各1个，将生活垃圾定期清理拉运到沙湾县垃圾处理厂集中处理，进行矿山地质环境监测；闭坑后对已有的矿建设施、生活设施予以拆除，集中清运至沙湾县垃圾处理厂；将废石、废渣土在矿山闭坑后按顺序先后运回采场，对其占用的土地进行清理、平整、压实，并对采场边坡进行削坡，使之与周边环境相协调。</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通过本次现场调查，矿山至今未完成采场边坡削坡、矿建设施、生活设施未拆除、采坑底部未进行清理、平整、压实等矿山地质环境治理工程。</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通过与采矿权人核实，通过与采矿权人核实，现有砖房将用于养殖基地内辅助设施，因此未进行拆除，近期将利用养殖基地场地平整期间产生的砂土对露天采场进行治理工作。</w:t>
      </w:r>
    </w:p>
    <w:p>
      <w:pPr>
        <w:keepNext w:val="0"/>
        <w:keepLines w:val="0"/>
        <w:pageBreakBefore w:val="0"/>
        <w:overflowPunct/>
        <w:autoSpaceDE w:val="0"/>
        <w:autoSpaceDN w:val="0"/>
        <w:bidi w:val="0"/>
        <w:adjustRightInd w:val="0"/>
        <w:snapToGrid w:val="0"/>
        <w:spacing w:line="360" w:lineRule="auto"/>
        <w:ind w:firstLine="546" w:firstLineChars="200"/>
        <w:jc w:val="both"/>
        <w:textAlignment w:val="baseline"/>
        <w:outlineLvl w:val="0"/>
        <w:rPr>
          <w:rFonts w:hint="default"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rPr>
        <w:t>五、</w:t>
      </w:r>
      <w:r>
        <w:rPr>
          <w:rFonts w:hint="eastAsia" w:ascii="宋体" w:hAnsi="宋体" w:eastAsia="宋体" w:cs="宋体"/>
          <w:b/>
          <w:bCs/>
          <w:color w:val="auto"/>
          <w:spacing w:val="-4"/>
          <w:sz w:val="28"/>
          <w:szCs w:val="28"/>
          <w:lang w:val="en-US" w:eastAsia="zh-CN"/>
        </w:rPr>
        <w:t>露天采场现状</w:t>
      </w:r>
      <w:r>
        <w:rPr>
          <w:rFonts w:hint="default" w:ascii="宋体" w:hAnsi="宋体" w:eastAsia="宋体" w:cs="宋体"/>
          <w:b/>
          <w:bCs/>
          <w:color w:val="auto"/>
          <w:spacing w:val="-4"/>
          <w:sz w:val="28"/>
          <w:szCs w:val="28"/>
          <w:lang w:eastAsia="zh-CN"/>
        </w:rPr>
        <w:t>问题</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通过本次工作进行的1：2000地形地质测量及现场调查，矿山2016年至2022年进行了开采，2023年至今处于停产状态，历史遗留的露天采场呈不规则的圆形，面积约81686平方米，露天采场顶部标高为586～605米标高，底部标高为572～578米，开采深度为25～30米左右。</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露天采场内出露地层为第四系冲洪积-风积砂砾石层，地表未发现新构造运动痕迹，呈近水平产出，地层厚度大于30米。露天采场内总体地势西高、东低，拔高程为575～605米左右，高差20～30米，属于山前冲洪积-风积丘陵地貌，荒漠化景观，地表植被极少，区内植被覆盖度2-5%。</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default"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露天采场内开采边坡高度北侧，西侧、南侧区域达25米以上，且边坡角在35°～45°左右，局部为直立状态，未留设安全平台。露天采场边坡稳定性较差，在地震或降雨工况下容易垮塌失稳，存在潜在安全隐患，易引发崩塌、滑坡、泥石流等地质灾害。</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矿山以往采用露天开采方式，未进行地下开采工作，未形成地下采空区，区域内无灰岩地层，地下不存在溶洞和地下暗河、不存在地下水或地下油（气）开采活动，因此不易引发采空塌陷、岩溶塌陷、地裂缝、地面沉降等地质灾害。</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default"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综上所述，现状条件下露天采场开挖形成大角度高陡边坡，稳定性较差，存在潜在安全隐患，易引发崩塌、滑坡、泥石流等地质灾害；威胁着区域内过往人员的人身安全，不利于后期各类建设工程，因此需要对露天采场边坡进行治理。</w:t>
      </w:r>
    </w:p>
    <w:p>
      <w:pPr>
        <w:keepNext w:val="0"/>
        <w:keepLines w:val="0"/>
        <w:pageBreakBefore w:val="0"/>
        <w:overflowPunct/>
        <w:autoSpaceDE w:val="0"/>
        <w:autoSpaceDN w:val="0"/>
        <w:bidi w:val="0"/>
        <w:adjustRightInd w:val="0"/>
        <w:snapToGrid w:val="0"/>
        <w:spacing w:line="360" w:lineRule="auto"/>
        <w:ind w:firstLine="546" w:firstLineChars="200"/>
        <w:jc w:val="both"/>
        <w:textAlignment w:val="baseline"/>
        <w:outlineLvl w:val="0"/>
        <w:rPr>
          <w:rFonts w:hint="default" w:ascii="宋体" w:hAnsi="宋体" w:eastAsia="宋体" w:cs="宋体"/>
          <w:b/>
          <w:bCs/>
          <w:color w:val="auto"/>
          <w:spacing w:val="-4"/>
          <w:sz w:val="28"/>
          <w:szCs w:val="28"/>
          <w:lang w:val="en-US" w:eastAsia="zh-CN"/>
        </w:rPr>
      </w:pPr>
      <w:r>
        <w:rPr>
          <w:rFonts w:hint="eastAsia" w:ascii="宋体" w:hAnsi="宋体" w:eastAsia="宋体" w:cs="宋体"/>
          <w:b/>
          <w:bCs/>
          <w:color w:val="auto"/>
          <w:spacing w:val="-4"/>
          <w:sz w:val="28"/>
          <w:szCs w:val="28"/>
        </w:rPr>
        <w:t>六、</w:t>
      </w:r>
      <w:r>
        <w:rPr>
          <w:rFonts w:hint="eastAsia" w:ascii="宋体" w:hAnsi="宋体" w:eastAsia="宋体" w:cs="宋体"/>
          <w:b/>
          <w:bCs/>
          <w:color w:val="auto"/>
          <w:spacing w:val="-4"/>
          <w:sz w:val="28"/>
          <w:szCs w:val="28"/>
          <w:lang w:val="en-US" w:eastAsia="zh-CN"/>
        </w:rPr>
        <w:t>露天采场边坡治理工程设计</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bookmarkStart w:id="2" w:name="_Toc31222"/>
      <w:bookmarkStart w:id="3" w:name="_Toc4582"/>
      <w:bookmarkStart w:id="4" w:name="_Toc11597"/>
      <w:bookmarkStart w:id="5" w:name="_Toc22173080"/>
      <w:bookmarkStart w:id="6" w:name="_Toc530826628"/>
      <w:bookmarkStart w:id="7" w:name="_Toc86572333"/>
      <w:bookmarkStart w:id="8" w:name="_Toc22173850"/>
      <w:r>
        <w:rPr>
          <w:rFonts w:hint="eastAsia" w:ascii="宋体" w:hAnsi="宋体" w:eastAsia="宋体" w:cs="宋体"/>
          <w:color w:val="auto"/>
          <w:spacing w:val="1"/>
          <w:sz w:val="28"/>
          <w:szCs w:val="28"/>
          <w:lang w:val="en-US" w:eastAsia="zh-CN"/>
        </w:rPr>
        <w:t>（一）设计原则</w:t>
      </w:r>
      <w:bookmarkEnd w:id="2"/>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default"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1、根据现场调查，露天采场及附近为荒漠化景观，地表植被极少，表生地质环境条件差，采用自然植被恢复方式恢复露天采场内植被景观。</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2、本着厉行节约、合理控制的原则，采用简单易行、可靠有效的工作方法，以有限的投入达到地质环境恢复最大化的原则。</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3、露天采场边坡治理后地形达到与周边地形地貌景观相协调的目的原则。</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bookmarkStart w:id="9" w:name="_Toc3322"/>
      <w:r>
        <w:rPr>
          <w:rFonts w:hint="eastAsia" w:ascii="宋体" w:hAnsi="宋体" w:eastAsia="宋体" w:cs="宋体"/>
          <w:color w:val="auto"/>
          <w:spacing w:val="1"/>
          <w:sz w:val="28"/>
          <w:szCs w:val="28"/>
          <w:lang w:val="en-US" w:eastAsia="zh-CN"/>
        </w:rPr>
        <w:t>（二）治理思路</w:t>
      </w:r>
      <w:bookmarkEnd w:id="9"/>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1、总体治理思路</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在与矿山企业、沙湾县自然资源局相关管理部门充分沟通一致的情况下，本次治理工程的主要目的为：消除露天采场高陡边坡存在潜在安全隐患，达到与周边地形地貌景观相协调。</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本次治理设计总体思路为：按照安全边坡，对坡体地貌进行重塑，减缓边坡坡度、分级设置斜坡及安全平台，消除原高陡边坡潜在安全隐患，保障区域内过往人员的人身安全，利于后期各类建设工程。</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default"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2、工程设计</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矿区范围内出露地层为第四系冲洪积-风积砂砾石层：矿石主要由松散浅黄灰色～浅褐灰色砾石、粗砂、细砂、亚砂土等组成。岩土体工程地质岩组为第四系松散堆积层软弱岩组。</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依据建筑边坡技术规范相关要求，考虑边坡指标设计的可操作性，设计在露天采场外来水方向（北侧，西侧、南侧）采用挖掘机修建截排水沟，防止雨水汇入露天采场；对露天采场内边坡坡度不大于30°的区域，可保留原状，避免扰动坡体；对边坡坡度大于30°的区域采用削坡、筑坡方式，自下而上分级设置斜坡及安全平台。分级边坡高度控制在10米以内，留设安全平台，平台标高为595米、585米，安全平台宽度为4米，边坡坡度控制在不大于30°，达到与周边环境相协调的目的。</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bookmarkStart w:id="10" w:name="_Toc22837"/>
      <w:bookmarkStart w:id="11" w:name="_Toc7067"/>
      <w:bookmarkStart w:id="12" w:name="_Toc9001_WPSOffice_Level2"/>
      <w:bookmarkStart w:id="13" w:name="_Toc12505"/>
      <w:bookmarkStart w:id="14" w:name="_Toc421746439"/>
      <w:r>
        <w:rPr>
          <w:rFonts w:hint="eastAsia" w:ascii="宋体" w:hAnsi="宋体" w:eastAsia="宋体" w:cs="宋体"/>
          <w:color w:val="auto"/>
          <w:spacing w:val="1"/>
          <w:sz w:val="28"/>
          <w:szCs w:val="28"/>
          <w:lang w:val="en-US" w:eastAsia="zh-CN"/>
        </w:rPr>
        <w:t>（三）治理方案</w:t>
      </w:r>
      <w:bookmarkEnd w:id="10"/>
      <w:bookmarkEnd w:id="11"/>
      <w:bookmarkEnd w:id="12"/>
      <w:bookmarkEnd w:id="13"/>
      <w:bookmarkEnd w:id="14"/>
    </w:p>
    <w:bookmarkEnd w:id="3"/>
    <w:bookmarkEnd w:id="4"/>
    <w:bookmarkEnd w:id="5"/>
    <w:bookmarkEnd w:id="6"/>
    <w:bookmarkEnd w:id="7"/>
    <w:bookmarkEnd w:id="8"/>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1、2026年4月15日至4月30日，在露天采场外来水方向（北侧，西侧、南侧）采用挖掘机修建截排水沟，防止雨水汇入露天采场，设计截排水沟在露天采场外2米处开挖，设计截排水沟深0.5米，宽1米，边坡 1：1.5，截排水沟长约900米，开挖工程量约350立方米。</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2、2026年5月1日至6月15日，对露天采场边坡坡度大于30°的区域采用挖掘机、推土机配合自卸汽车进行削坡、筑坡，自下而上分级设置斜坡及安全平台。设计分级边坡高度控制在10米以内，留设安全平台，设计留设安全平台标高为595米、585米，安全平台宽度控制在4米左右，边坡坡度控制在不大于30°，达到与周边地形地貌景观相协调的目的。</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具体施工为露天采场边坡标高595米以上采用削坡方式降低边坡坡度，削坡后边坡坡度控制在不大于30°，边坡高度控制在10米以内，595米标高设计留设安全平台，安全平台宽度为4米；595米以下采用筑坡回填方式降底边坡坡度，留设585米安全平台，安全平台宽度为4米；筑坡回填后边坡坡度控制在不大于30°，边坡高度控制在10米以内。</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default"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露天采场边坡筑坡回填时采用分层压实，禁止形成局部凸起或凹陷，保证边坡稳定性，有效控制水土流失，达到与周边地形地貌景观相协调的目的。</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3、2026年6月16日至30日，对露天采场底部利用挖掘机、推土机配合自卸汽车进行回填，回填高度初步确定为575米。回填后对坑底进行削高填低平整、压实，避免形成局部凸、凹地形，达到与周边地形地貌景观相协调的目的。</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（四）设计工程量：</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截排水沟长约900米，开挖工程量约350立方米；露天采场边坡长度约850米，平均每米削方量约20立方米、填方量约150立方米，经估算，露天采场内削方量约为17000立方米，填方量约127500立方米；露天采场底部约50000平方米，平均回填高度约0.50米，经估算，露天采场内约需25000立方米砂土用于底部回填，预计平整土地的工程量为150000立方米。</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（五）检验标准及要求</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sq-AL" w:eastAsia="zh-CN"/>
        </w:rPr>
        <w:t>结合实际，按照要求对</w:t>
      </w:r>
      <w:r>
        <w:rPr>
          <w:rFonts w:hint="eastAsia" w:ascii="宋体" w:hAnsi="宋体" w:eastAsia="宋体" w:cs="宋体"/>
          <w:color w:val="auto"/>
          <w:spacing w:val="1"/>
          <w:sz w:val="28"/>
          <w:szCs w:val="28"/>
          <w:lang w:val="en-US" w:eastAsia="zh-CN"/>
        </w:rPr>
        <w:t>治理后的露天采场</w:t>
      </w:r>
      <w:r>
        <w:rPr>
          <w:rFonts w:hint="eastAsia" w:ascii="宋体" w:hAnsi="宋体" w:eastAsia="宋体" w:cs="宋体"/>
          <w:color w:val="auto"/>
          <w:spacing w:val="1"/>
          <w:sz w:val="28"/>
          <w:szCs w:val="28"/>
          <w:lang w:val="sq-AL" w:eastAsia="zh-CN"/>
        </w:rPr>
        <w:t>进行检验，检验要求具体如下：</w:t>
      </w:r>
      <w:r>
        <w:rPr>
          <w:rFonts w:hint="eastAsia" w:ascii="宋体" w:hAnsi="宋体" w:eastAsia="宋体" w:cs="宋体"/>
          <w:color w:val="auto"/>
          <w:spacing w:val="1"/>
          <w:sz w:val="28"/>
          <w:szCs w:val="28"/>
          <w:lang w:val="en-US" w:eastAsia="zh-CN"/>
        </w:rPr>
        <w:t>分级边坡高度控制在10米以内；安全平台宽度不小于4米；边坡坡度不大于30°。</w:t>
      </w:r>
    </w:p>
    <w:p>
      <w:pPr>
        <w:keepNext w:val="0"/>
        <w:keepLines w:val="0"/>
        <w:pageBreakBefore w:val="0"/>
        <w:overflowPunct/>
        <w:autoSpaceDE w:val="0"/>
        <w:autoSpaceDN w:val="0"/>
        <w:bidi w:val="0"/>
        <w:adjustRightInd w:val="0"/>
        <w:snapToGrid w:val="0"/>
        <w:spacing w:line="360" w:lineRule="auto"/>
        <w:ind w:firstLine="546" w:firstLineChars="200"/>
        <w:jc w:val="both"/>
        <w:textAlignment w:val="baseline"/>
        <w:outlineLvl w:val="0"/>
        <w:rPr>
          <w:rFonts w:hint="default" w:ascii="宋体" w:hAnsi="宋体" w:eastAsia="宋体" w:cs="宋体"/>
          <w:b/>
          <w:bCs/>
          <w:color w:val="auto"/>
          <w:spacing w:val="-4"/>
          <w:sz w:val="28"/>
          <w:szCs w:val="28"/>
          <w:lang w:val="en-US" w:eastAsia="zh-CN"/>
        </w:rPr>
      </w:pPr>
      <w:r>
        <w:rPr>
          <w:rFonts w:hint="eastAsia" w:ascii="宋体" w:hAnsi="宋体" w:eastAsia="宋体" w:cs="宋体"/>
          <w:b/>
          <w:bCs/>
          <w:color w:val="auto"/>
          <w:spacing w:val="-4"/>
          <w:sz w:val="28"/>
          <w:szCs w:val="28"/>
        </w:rPr>
        <w:t>七、</w:t>
      </w:r>
      <w:r>
        <w:rPr>
          <w:rFonts w:hint="default" w:ascii="宋体" w:hAnsi="宋体" w:eastAsia="宋体" w:cs="宋体"/>
          <w:b/>
          <w:bCs/>
          <w:color w:val="auto"/>
          <w:spacing w:val="-4"/>
          <w:sz w:val="28"/>
          <w:szCs w:val="28"/>
        </w:rPr>
        <w:t>经费估算</w:t>
      </w:r>
      <w:r>
        <w:rPr>
          <w:rFonts w:hint="eastAsia" w:ascii="宋体" w:hAnsi="宋体" w:eastAsia="宋体" w:cs="宋体"/>
          <w:b/>
          <w:bCs/>
          <w:color w:val="auto"/>
          <w:spacing w:val="-4"/>
          <w:sz w:val="28"/>
          <w:szCs w:val="28"/>
          <w:lang w:val="en-US" w:eastAsia="zh-CN"/>
        </w:rPr>
        <w:t>及资金保障</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通过估算矿山露天采场边坡治理工程总费用为74.56万元，其中工程费用64.26万元，其他费用6.75元，预备费3.55万元。</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资金来源为企业自筹，采矿权人已承诺自行完成矿山地质环境治理工作，费用由其自行承担，并确保矿山地质环境治理所需费用及时足额到位，费用不足时及时追加，保证方案按时保质保量完成。</w:t>
      </w:r>
    </w:p>
    <w:p>
      <w:pPr>
        <w:keepNext w:val="0"/>
        <w:keepLines w:val="0"/>
        <w:pageBreakBefore w:val="0"/>
        <w:overflowPunct/>
        <w:autoSpaceDE w:val="0"/>
        <w:autoSpaceDN w:val="0"/>
        <w:bidi w:val="0"/>
        <w:adjustRightInd w:val="0"/>
        <w:snapToGrid w:val="0"/>
        <w:spacing w:line="360" w:lineRule="auto"/>
        <w:ind w:firstLine="562" w:firstLineChars="200"/>
        <w:textAlignment w:val="baseline"/>
        <w:outlineLvl w:val="0"/>
        <w:rPr>
          <w:rFonts w:ascii="宋体" w:hAnsi="宋体" w:eastAsia="宋体" w:cs="宋体"/>
          <w:b/>
          <w:bCs/>
          <w:color w:val="auto"/>
          <w:sz w:val="28"/>
          <w:szCs w:val="28"/>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、存在的问题及建议</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1、矿山在后期养殖基地建设过程中，必须加强地质环境保护，尽量减轻建设活动对地质环境的不利影响，避免和减少会引发矿山地质灾害的行为，尽可能避免引发或加剧地质灾害。</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2、在矿山露天采场边坡治理过程中建议加强水土环境污染的防护措施，如：杜绝随地大小便，禁止乱堆乱倒垃圾，要妥善做好垃圾、污水的收集、处理以及清理工作。</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3、本方案设计工程量及投资仅为初步估算，考虑到未来情况的多变性、物价涨幅等情况，对于方案中投资估算仅供参考。</w:t>
      </w:r>
    </w:p>
    <w:p>
      <w:pPr>
        <w:keepNext w:val="0"/>
        <w:keepLines w:val="0"/>
        <w:pageBreakBefore w:val="0"/>
        <w:widowControl w:val="0"/>
        <w:kinsoku/>
        <w:wordWrap/>
        <w:overflowPunct/>
        <w:topLinePunct/>
        <w:autoSpaceDE w:val="0"/>
        <w:autoSpaceDN w:val="0"/>
        <w:bidi w:val="0"/>
        <w:adjustRightInd w:val="0"/>
        <w:snapToGrid w:val="0"/>
        <w:spacing w:line="360" w:lineRule="auto"/>
        <w:ind w:firstLine="564" w:firstLineChars="200"/>
        <w:jc w:val="both"/>
        <w:textAlignment w:val="baseline"/>
        <w:rPr>
          <w:rFonts w:ascii="宋体" w:hAnsi="宋体" w:eastAsia="宋体" w:cs="宋体"/>
          <w:color w:val="auto"/>
          <w:sz w:val="28"/>
          <w:szCs w:val="28"/>
        </w:rPr>
      </w:pPr>
      <w:r>
        <w:rPr>
          <w:rFonts w:hint="eastAsia" w:ascii="宋体" w:hAnsi="宋体" w:eastAsia="宋体" w:cs="宋体"/>
          <w:color w:val="auto"/>
          <w:spacing w:val="1"/>
          <w:sz w:val="28"/>
          <w:szCs w:val="28"/>
          <w:lang w:val="en-US" w:eastAsia="zh-CN"/>
        </w:rPr>
        <w:t>4、在矿山露天采场边坡治理过程中，若矿山开采现状发生变化，应重新编写方案。</w:t>
      </w:r>
    </w:p>
    <w:p>
      <w:pPr>
        <w:spacing w:line="560" w:lineRule="exact"/>
        <w:ind w:firstLine="480"/>
        <w:rPr>
          <w:rFonts w:ascii="宋体" w:hAnsi="宋体" w:eastAsia="宋体" w:cs="宋体"/>
          <w:color w:val="auto"/>
          <w:sz w:val="28"/>
          <w:szCs w:val="28"/>
        </w:rPr>
      </w:pPr>
      <w:r>
        <w:rPr>
          <w:rFonts w:hint="eastAsia" w:ascii="宋体" w:hAnsi="宋体" w:eastAsia="宋体" w:cs="宋体"/>
          <w:color w:val="auto"/>
          <w:sz w:val="28"/>
          <w:szCs w:val="28"/>
        </w:rPr>
        <w:t xml:space="preserve">                                     评审专家组</w:t>
      </w:r>
    </w:p>
    <w:p>
      <w:pPr>
        <w:spacing w:line="560" w:lineRule="exact"/>
        <w:ind w:firstLine="48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ascii="宋体" w:hAnsi="宋体" w:eastAsia="宋体" w:cs="宋体"/>
          <w:color w:val="auto"/>
          <w:sz w:val="28"/>
          <w:szCs w:val="28"/>
        </w:rPr>
        <w:t xml:space="preserve">                </w:t>
      </w:r>
      <w:r>
        <w:rPr>
          <w:rFonts w:hint="eastAsia" w:ascii="宋体" w:hAnsi="宋体" w:eastAsia="宋体" w:cs="宋体"/>
          <w:color w:val="auto"/>
          <w:sz w:val="28"/>
          <w:szCs w:val="28"/>
        </w:rPr>
        <w:t xml:space="preserve"> 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12</w:t>
      </w:r>
    </w:p>
    <w:p>
      <w:pPr>
        <w:pStyle w:val="13"/>
        <w:ind w:left="0" w:firstLine="0"/>
        <w:rPr>
          <w:b/>
          <w:bCs/>
        </w:rPr>
      </w:pPr>
      <w:r>
        <w:rPr>
          <w:rFonts w:hint="eastAsia" w:hAnsi="宋体" w:cs="宋体"/>
          <w:b/>
          <w:bCs/>
          <w:color w:val="auto"/>
          <w:sz w:val="28"/>
          <w:szCs w:val="28"/>
        </w:rPr>
        <w:t>附：评审专家组名单</w:t>
      </w:r>
    </w:p>
    <w:p>
      <w:pPr>
        <w:pStyle w:val="14"/>
        <w:adjustRightInd w:val="0"/>
        <w:spacing w:line="360" w:lineRule="auto"/>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评审专家组成员名单</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1759"/>
        <w:gridCol w:w="1910"/>
        <w:gridCol w:w="192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15" w:type="pct"/>
            <w:vAlign w:val="center"/>
          </w:tcPr>
          <w:p>
            <w:pPr>
              <w:pStyle w:val="14"/>
              <w:adjustRightInd w:val="0"/>
              <w:spacing w:line="24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姓名</w:t>
            </w:r>
          </w:p>
        </w:tc>
        <w:tc>
          <w:tcPr>
            <w:tcW w:w="971" w:type="pct"/>
            <w:vAlign w:val="center"/>
          </w:tcPr>
          <w:p>
            <w:pPr>
              <w:pStyle w:val="14"/>
              <w:adjustRightInd w:val="0"/>
              <w:spacing w:line="24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专家组成员</w:t>
            </w:r>
          </w:p>
        </w:tc>
        <w:tc>
          <w:tcPr>
            <w:tcW w:w="1054" w:type="pct"/>
            <w:vAlign w:val="center"/>
          </w:tcPr>
          <w:p>
            <w:pPr>
              <w:pStyle w:val="14"/>
              <w:adjustRightInd w:val="0"/>
              <w:spacing w:line="24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专业</w:t>
            </w:r>
          </w:p>
        </w:tc>
        <w:tc>
          <w:tcPr>
            <w:tcW w:w="1063" w:type="pct"/>
            <w:vAlign w:val="center"/>
          </w:tcPr>
          <w:p>
            <w:pPr>
              <w:pStyle w:val="14"/>
              <w:adjustRightInd w:val="0"/>
              <w:spacing w:line="24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职称</w:t>
            </w:r>
          </w:p>
        </w:tc>
        <w:tc>
          <w:tcPr>
            <w:tcW w:w="995" w:type="pct"/>
            <w:vAlign w:val="center"/>
          </w:tcPr>
          <w:p>
            <w:pPr>
              <w:pStyle w:val="14"/>
              <w:adjustRightInd w:val="0"/>
              <w:spacing w:line="24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15" w:type="pct"/>
            <w:vAlign w:val="center"/>
          </w:tcPr>
          <w:p>
            <w:pPr>
              <w:spacing w:line="240" w:lineRule="auto"/>
              <w:jc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喜英</w:t>
            </w:r>
          </w:p>
        </w:tc>
        <w:tc>
          <w:tcPr>
            <w:tcW w:w="971" w:type="pct"/>
            <w:vAlign w:val="center"/>
          </w:tcPr>
          <w:p>
            <w:pPr>
              <w:pStyle w:val="14"/>
              <w:adjustRightInd w:val="0"/>
              <w:spacing w:line="240" w:lineRule="auto"/>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评审</w:t>
            </w:r>
            <w:r>
              <w:rPr>
                <w:rFonts w:hint="eastAsia" w:ascii="宋体" w:hAnsi="宋体" w:eastAsia="宋体" w:cs="宋体"/>
                <w:kern w:val="0"/>
                <w:sz w:val="28"/>
                <w:szCs w:val="28"/>
              </w:rPr>
              <w:t>组长</w:t>
            </w:r>
          </w:p>
        </w:tc>
        <w:tc>
          <w:tcPr>
            <w:tcW w:w="1054" w:type="pct"/>
            <w:vAlign w:val="center"/>
          </w:tcPr>
          <w:p>
            <w:pPr>
              <w:pStyle w:val="14"/>
              <w:adjustRightInd w:val="0"/>
              <w:spacing w:line="24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水工环</w:t>
            </w:r>
          </w:p>
          <w:p>
            <w:pPr>
              <w:pStyle w:val="14"/>
              <w:adjustRightInd w:val="0"/>
              <w:spacing w:line="240" w:lineRule="auto"/>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(地质灾害)</w:t>
            </w:r>
          </w:p>
        </w:tc>
        <w:tc>
          <w:tcPr>
            <w:tcW w:w="1063" w:type="pct"/>
            <w:vAlign w:val="center"/>
          </w:tcPr>
          <w:p>
            <w:pPr>
              <w:pStyle w:val="14"/>
              <w:adjustRightInd w:val="0"/>
              <w:spacing w:line="24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高级工程师</w:t>
            </w:r>
          </w:p>
        </w:tc>
        <w:tc>
          <w:tcPr>
            <w:tcW w:w="995" w:type="pct"/>
            <w:vAlign w:val="center"/>
          </w:tcPr>
          <w:p>
            <w:pPr>
              <w:spacing w:line="240" w:lineRule="auto"/>
              <w:jc w:val="center"/>
              <w:rPr>
                <w:rFonts w:hint="eastAsia" w:ascii="宋体" w:hAnsi="宋体" w:eastAsia="宋体" w:cs="宋体"/>
                <w:kern w:val="0"/>
                <w:sz w:val="28"/>
                <w:szCs w:val="28"/>
              </w:rPr>
            </w:pPr>
            <w:r>
              <w:rPr>
                <w:rFonts w:hint="eastAsia" w:ascii="宋体" w:hAnsi="宋体" w:eastAsia="宋体" w:cs="宋体"/>
                <w:color w:val="FF0000"/>
                <w:sz w:val="28"/>
                <w:szCs w:val="28"/>
                <w:lang w:eastAsia="zh-CN"/>
              </w:rPr>
              <w:drawing>
                <wp:anchor distT="0" distB="0" distL="114300" distR="114300" simplePos="0" relativeHeight="251663360" behindDoc="1" locked="0" layoutInCell="1" allowOverlap="1">
                  <wp:simplePos x="0" y="0"/>
                  <wp:positionH relativeFrom="column">
                    <wp:posOffset>217805</wp:posOffset>
                  </wp:positionH>
                  <wp:positionV relativeFrom="paragraph">
                    <wp:posOffset>-90805</wp:posOffset>
                  </wp:positionV>
                  <wp:extent cx="674370" cy="476250"/>
                  <wp:effectExtent l="0" t="0" r="11430" b="0"/>
                  <wp:wrapNone/>
                  <wp:docPr id="1" name="图片 1" descr="64f17783-ee1f-43a0-8991-f2f8604ba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f17783-ee1f-43a0-8991-f2f8604ba388"/>
                          <pic:cNvPicPr>
                            <a:picLocks noChangeAspect="1"/>
                          </pic:cNvPicPr>
                        </pic:nvPicPr>
                        <pic:blipFill>
                          <a:blip r:embed="rId6">
                            <a:lum bright="24000" contrast="18000"/>
                          </a:blip>
                          <a:stretch>
                            <a:fillRect/>
                          </a:stretch>
                        </pic:blipFill>
                        <pic:spPr>
                          <a:xfrm>
                            <a:off x="0" y="0"/>
                            <a:ext cx="674370" cy="47625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15" w:type="pct"/>
            <w:vAlign w:val="center"/>
          </w:tcPr>
          <w:p>
            <w:pPr>
              <w:spacing w:line="240" w:lineRule="auto"/>
              <w:jc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刘湘茹</w:t>
            </w:r>
          </w:p>
        </w:tc>
        <w:tc>
          <w:tcPr>
            <w:tcW w:w="971" w:type="pct"/>
            <w:vAlign w:val="center"/>
          </w:tcPr>
          <w:p>
            <w:pPr>
              <w:pStyle w:val="14"/>
              <w:adjustRightInd w:val="0"/>
              <w:spacing w:line="24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评审专家</w:t>
            </w:r>
          </w:p>
        </w:tc>
        <w:tc>
          <w:tcPr>
            <w:tcW w:w="1054" w:type="pct"/>
            <w:vAlign w:val="center"/>
          </w:tcPr>
          <w:p>
            <w:pPr>
              <w:pStyle w:val="14"/>
              <w:adjustRightInd w:val="0"/>
              <w:spacing w:line="24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土地复垦</w:t>
            </w:r>
          </w:p>
        </w:tc>
        <w:tc>
          <w:tcPr>
            <w:tcW w:w="1063" w:type="pct"/>
            <w:vAlign w:val="center"/>
          </w:tcPr>
          <w:p>
            <w:pPr>
              <w:pStyle w:val="14"/>
              <w:adjustRightInd w:val="0"/>
              <w:spacing w:line="24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高级工程师</w:t>
            </w:r>
          </w:p>
        </w:tc>
        <w:tc>
          <w:tcPr>
            <w:tcW w:w="995" w:type="pct"/>
            <w:vAlign w:val="center"/>
          </w:tcPr>
          <w:p>
            <w:pPr>
              <w:spacing w:line="240" w:lineRule="auto"/>
              <w:jc w:val="center"/>
              <w:rPr>
                <w:rFonts w:hint="eastAsia" w:ascii="宋体" w:hAnsi="宋体" w:eastAsia="宋体" w:cs="宋体"/>
                <w:kern w:val="0"/>
                <w:sz w:val="28"/>
                <w:szCs w:val="28"/>
              </w:rPr>
            </w:pPr>
            <w:r>
              <w:rPr>
                <w:rFonts w:hint="eastAsia" w:ascii="宋体" w:hAnsi="宋体" w:eastAsia="宋体" w:cs="宋体"/>
                <w:sz w:val="24"/>
                <w:szCs w:val="24"/>
              </w:rPr>
              <w:drawing>
                <wp:anchor distT="0" distB="0" distL="114300" distR="114300" simplePos="0" relativeHeight="251661312" behindDoc="1" locked="0" layoutInCell="1" allowOverlap="1">
                  <wp:simplePos x="0" y="0"/>
                  <wp:positionH relativeFrom="page">
                    <wp:posOffset>67310</wp:posOffset>
                  </wp:positionH>
                  <wp:positionV relativeFrom="page">
                    <wp:posOffset>66040</wp:posOffset>
                  </wp:positionV>
                  <wp:extent cx="935355" cy="475615"/>
                  <wp:effectExtent l="0" t="0" r="17145" b="635"/>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preferRelativeResize="0">
                            <a:picLocks noChangeAspect="1"/>
                          </pic:cNvPicPr>
                        </pic:nvPicPr>
                        <pic:blipFill>
                          <a:blip r:embed="rId7">
                            <a:lum bright="-6000" contrast="-6000"/>
                          </a:blip>
                          <a:stretch>
                            <a:fillRect/>
                          </a:stretch>
                        </pic:blipFill>
                        <pic:spPr>
                          <a:xfrm>
                            <a:off x="0" y="0"/>
                            <a:ext cx="935355" cy="47561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15" w:type="pct"/>
            <w:vAlign w:val="center"/>
          </w:tcPr>
          <w:p>
            <w:pPr>
              <w:spacing w:line="240" w:lineRule="auto"/>
              <w:jc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陈红霞</w:t>
            </w:r>
          </w:p>
        </w:tc>
        <w:tc>
          <w:tcPr>
            <w:tcW w:w="971" w:type="pct"/>
            <w:vAlign w:val="center"/>
          </w:tcPr>
          <w:p>
            <w:pPr>
              <w:pStyle w:val="14"/>
              <w:adjustRightInd w:val="0"/>
              <w:spacing w:line="24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评审专家</w:t>
            </w:r>
          </w:p>
        </w:tc>
        <w:tc>
          <w:tcPr>
            <w:tcW w:w="1054" w:type="pct"/>
            <w:vAlign w:val="center"/>
          </w:tcPr>
          <w:p>
            <w:pPr>
              <w:pStyle w:val="14"/>
              <w:adjustRightInd w:val="0"/>
              <w:spacing w:line="240" w:lineRule="auto"/>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技术经济</w:t>
            </w:r>
          </w:p>
        </w:tc>
        <w:tc>
          <w:tcPr>
            <w:tcW w:w="1063" w:type="pct"/>
            <w:vAlign w:val="center"/>
          </w:tcPr>
          <w:p>
            <w:pPr>
              <w:pStyle w:val="14"/>
              <w:adjustRightInd w:val="0"/>
              <w:spacing w:line="24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高级工程师</w:t>
            </w:r>
          </w:p>
        </w:tc>
        <w:tc>
          <w:tcPr>
            <w:tcW w:w="995" w:type="pct"/>
            <w:vAlign w:val="center"/>
          </w:tcPr>
          <w:p>
            <w:pPr>
              <w:spacing w:line="240" w:lineRule="auto"/>
              <w:jc w:val="center"/>
              <w:rPr>
                <w:rFonts w:hint="eastAsia" w:ascii="宋体" w:hAnsi="宋体" w:eastAsia="宋体" w:cs="宋体"/>
                <w:kern w:val="0"/>
                <w:sz w:val="28"/>
                <w:szCs w:val="28"/>
                <w:lang w:bidi="ar"/>
              </w:rPr>
            </w:pPr>
            <w:r>
              <w:rPr>
                <w:rFonts w:hint="eastAsia" w:ascii="宋体" w:hAnsi="宋体" w:eastAsia="宋体" w:cs="宋体"/>
                <w:kern w:val="0"/>
                <w:sz w:val="28"/>
                <w:szCs w:val="28"/>
                <w:lang w:eastAsia="zh-CN"/>
              </w:rPr>
              <w:drawing>
                <wp:anchor distT="0" distB="0" distL="114300" distR="114300" simplePos="0" relativeHeight="251662336" behindDoc="1" locked="0" layoutInCell="1" allowOverlap="1">
                  <wp:simplePos x="0" y="0"/>
                  <wp:positionH relativeFrom="column">
                    <wp:posOffset>-21590</wp:posOffset>
                  </wp:positionH>
                  <wp:positionV relativeFrom="paragraph">
                    <wp:posOffset>-102235</wp:posOffset>
                  </wp:positionV>
                  <wp:extent cx="1009015" cy="556895"/>
                  <wp:effectExtent l="0" t="0" r="635" b="14605"/>
                  <wp:wrapNone/>
                  <wp:docPr id="4" name="图片 4" descr="陈红霞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陈红霞电子签名"/>
                          <pic:cNvPicPr>
                            <a:picLocks noChangeAspect="1"/>
                          </pic:cNvPicPr>
                        </pic:nvPicPr>
                        <pic:blipFill>
                          <a:blip r:embed="rId8">
                            <a:lum bright="6000" contrast="30000"/>
                          </a:blip>
                          <a:stretch>
                            <a:fillRect/>
                          </a:stretch>
                        </pic:blipFill>
                        <pic:spPr>
                          <a:xfrm>
                            <a:off x="0" y="0"/>
                            <a:ext cx="1009015" cy="556895"/>
                          </a:xfrm>
                          <a:prstGeom prst="rect">
                            <a:avLst/>
                          </a:prstGeom>
                        </pic:spPr>
                      </pic:pic>
                    </a:graphicData>
                  </a:graphic>
                </wp:anchor>
              </w:drawing>
            </w:r>
          </w:p>
        </w:tc>
      </w:tr>
    </w:tbl>
    <w:p>
      <w:pPr>
        <w:pStyle w:val="2"/>
        <w:spacing w:after="0"/>
        <w:ind w:left="0" w:leftChars="0" w:firstLine="0" w:firstLineChars="0"/>
        <w:rPr>
          <w:rFonts w:hint="eastAsia" w:eastAsiaTheme="minorEastAsia"/>
          <w:lang w:eastAsia="zh-CN"/>
        </w:rPr>
      </w:pPr>
    </w:p>
    <w:sectPr>
      <w:footerReference r:id="rId4" w:type="default"/>
      <w:pgSz w:w="11905" w:h="16838"/>
      <w:pgMar w:top="2098" w:right="1474" w:bottom="1984" w:left="1587" w:header="0" w:footer="1145"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Romana BT">
    <w:altName w:val="Times New Roman"/>
    <w:panose1 w:val="00000000000000000000"/>
    <w:charset w:val="00"/>
    <w:family w:val="roman"/>
    <w:pitch w:val="default"/>
    <w:sig w:usb0="00000000" w:usb1="00000000" w:usb2="00000000" w:usb3="00000000" w:csb0="00000011"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409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n&#10;Zvw4twEAAJIDAAAOAAAAAAAAAAEAIAAAAB4BAABkcnMvZTJvRG9jLnhtbFBLBQYAAAAABgAGAFkB&#10;AABH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19KBckBAACa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X0oFyQEAAJo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0"/>
  <w:characterSpacingControl w:val="doNotCompress"/>
  <w:hdrShapeDefaults>
    <o:shapelayout v:ext="edit">
      <o:idmap v:ext="edit" data="3"/>
    </o:shapelayout>
  </w:hdrShapeDefault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WU1YjFhMTk3NGI4ODhjMGI4OTllMGRhYTk4MmIifQ=="/>
  </w:docVars>
  <w:rsids>
    <w:rsidRoot w:val="00957750"/>
    <w:rsid w:val="00013953"/>
    <w:rsid w:val="00015BC9"/>
    <w:rsid w:val="000179BD"/>
    <w:rsid w:val="00035884"/>
    <w:rsid w:val="00035BD2"/>
    <w:rsid w:val="0004507B"/>
    <w:rsid w:val="000620AB"/>
    <w:rsid w:val="00083958"/>
    <w:rsid w:val="00095B56"/>
    <w:rsid w:val="000A185B"/>
    <w:rsid w:val="000A7304"/>
    <w:rsid w:val="000B22DF"/>
    <w:rsid w:val="000C6249"/>
    <w:rsid w:val="0011262E"/>
    <w:rsid w:val="00122F3C"/>
    <w:rsid w:val="001746D1"/>
    <w:rsid w:val="001B7764"/>
    <w:rsid w:val="00224B13"/>
    <w:rsid w:val="00225241"/>
    <w:rsid w:val="002461E8"/>
    <w:rsid w:val="00254407"/>
    <w:rsid w:val="00274FDA"/>
    <w:rsid w:val="0028634F"/>
    <w:rsid w:val="002A2F6B"/>
    <w:rsid w:val="002A5CE7"/>
    <w:rsid w:val="002A723F"/>
    <w:rsid w:val="002B4A6F"/>
    <w:rsid w:val="002D475A"/>
    <w:rsid w:val="002E4536"/>
    <w:rsid w:val="002E572C"/>
    <w:rsid w:val="00301E65"/>
    <w:rsid w:val="0032784C"/>
    <w:rsid w:val="0035261C"/>
    <w:rsid w:val="00355421"/>
    <w:rsid w:val="00367970"/>
    <w:rsid w:val="003A5647"/>
    <w:rsid w:val="003B1D67"/>
    <w:rsid w:val="003B5586"/>
    <w:rsid w:val="003D0107"/>
    <w:rsid w:val="00406132"/>
    <w:rsid w:val="00421B20"/>
    <w:rsid w:val="00431D3D"/>
    <w:rsid w:val="004621CB"/>
    <w:rsid w:val="00465788"/>
    <w:rsid w:val="004C1975"/>
    <w:rsid w:val="004C21D1"/>
    <w:rsid w:val="004E0060"/>
    <w:rsid w:val="004F07E5"/>
    <w:rsid w:val="004F59D5"/>
    <w:rsid w:val="00520092"/>
    <w:rsid w:val="005324F9"/>
    <w:rsid w:val="00535DFC"/>
    <w:rsid w:val="00563A50"/>
    <w:rsid w:val="00577448"/>
    <w:rsid w:val="005A23D3"/>
    <w:rsid w:val="005C3F41"/>
    <w:rsid w:val="005E4520"/>
    <w:rsid w:val="005E49FE"/>
    <w:rsid w:val="005F67E5"/>
    <w:rsid w:val="005F71F2"/>
    <w:rsid w:val="00601954"/>
    <w:rsid w:val="00604B61"/>
    <w:rsid w:val="00654FB5"/>
    <w:rsid w:val="006740E0"/>
    <w:rsid w:val="00675AD6"/>
    <w:rsid w:val="00675F75"/>
    <w:rsid w:val="00690EC8"/>
    <w:rsid w:val="00694016"/>
    <w:rsid w:val="006C0D22"/>
    <w:rsid w:val="006D2DAF"/>
    <w:rsid w:val="006D69DD"/>
    <w:rsid w:val="006F1EB5"/>
    <w:rsid w:val="00704E95"/>
    <w:rsid w:val="007239CF"/>
    <w:rsid w:val="0075034C"/>
    <w:rsid w:val="00751F21"/>
    <w:rsid w:val="007601F6"/>
    <w:rsid w:val="0076495D"/>
    <w:rsid w:val="00785A55"/>
    <w:rsid w:val="007900B7"/>
    <w:rsid w:val="007A04E5"/>
    <w:rsid w:val="007B284D"/>
    <w:rsid w:val="007C0A91"/>
    <w:rsid w:val="007F55FF"/>
    <w:rsid w:val="007F5651"/>
    <w:rsid w:val="00801117"/>
    <w:rsid w:val="00811921"/>
    <w:rsid w:val="008154BC"/>
    <w:rsid w:val="00832A28"/>
    <w:rsid w:val="008444A6"/>
    <w:rsid w:val="00853767"/>
    <w:rsid w:val="008642B9"/>
    <w:rsid w:val="008B1EA8"/>
    <w:rsid w:val="008B2F4B"/>
    <w:rsid w:val="008C5FAD"/>
    <w:rsid w:val="008C6DCC"/>
    <w:rsid w:val="008D78B4"/>
    <w:rsid w:val="00925B98"/>
    <w:rsid w:val="00952508"/>
    <w:rsid w:val="00957750"/>
    <w:rsid w:val="009702CF"/>
    <w:rsid w:val="00970DFF"/>
    <w:rsid w:val="009846F2"/>
    <w:rsid w:val="009847A7"/>
    <w:rsid w:val="0099582A"/>
    <w:rsid w:val="009B0760"/>
    <w:rsid w:val="009B3970"/>
    <w:rsid w:val="009C2495"/>
    <w:rsid w:val="009C337E"/>
    <w:rsid w:val="009C7EFA"/>
    <w:rsid w:val="009D1654"/>
    <w:rsid w:val="00A02D88"/>
    <w:rsid w:val="00A3601F"/>
    <w:rsid w:val="00A66686"/>
    <w:rsid w:val="00A66B31"/>
    <w:rsid w:val="00A72F93"/>
    <w:rsid w:val="00A80B76"/>
    <w:rsid w:val="00A80B82"/>
    <w:rsid w:val="00A93B71"/>
    <w:rsid w:val="00AA0B5A"/>
    <w:rsid w:val="00AC42F9"/>
    <w:rsid w:val="00AC6A23"/>
    <w:rsid w:val="00AE07E1"/>
    <w:rsid w:val="00B044BC"/>
    <w:rsid w:val="00B11A34"/>
    <w:rsid w:val="00B16370"/>
    <w:rsid w:val="00B22F7B"/>
    <w:rsid w:val="00B31C4E"/>
    <w:rsid w:val="00B444ED"/>
    <w:rsid w:val="00B53102"/>
    <w:rsid w:val="00B56450"/>
    <w:rsid w:val="00B651BE"/>
    <w:rsid w:val="00B80794"/>
    <w:rsid w:val="00B8631D"/>
    <w:rsid w:val="00BA5139"/>
    <w:rsid w:val="00BB3D3D"/>
    <w:rsid w:val="00BD6CA7"/>
    <w:rsid w:val="00C6281A"/>
    <w:rsid w:val="00C70B7D"/>
    <w:rsid w:val="00C713DF"/>
    <w:rsid w:val="00C77BA7"/>
    <w:rsid w:val="00C8105D"/>
    <w:rsid w:val="00C811D6"/>
    <w:rsid w:val="00C838E8"/>
    <w:rsid w:val="00C84CED"/>
    <w:rsid w:val="00CD25F9"/>
    <w:rsid w:val="00CD7A83"/>
    <w:rsid w:val="00CF2932"/>
    <w:rsid w:val="00D04565"/>
    <w:rsid w:val="00D05A6D"/>
    <w:rsid w:val="00D200BD"/>
    <w:rsid w:val="00D2527F"/>
    <w:rsid w:val="00D30F14"/>
    <w:rsid w:val="00D43468"/>
    <w:rsid w:val="00D5210F"/>
    <w:rsid w:val="00D750E4"/>
    <w:rsid w:val="00D843F0"/>
    <w:rsid w:val="00D91D48"/>
    <w:rsid w:val="00DA3433"/>
    <w:rsid w:val="00E21810"/>
    <w:rsid w:val="00E26044"/>
    <w:rsid w:val="00E41D66"/>
    <w:rsid w:val="00E505D2"/>
    <w:rsid w:val="00E62F24"/>
    <w:rsid w:val="00E675F8"/>
    <w:rsid w:val="00E95B73"/>
    <w:rsid w:val="00E96CC1"/>
    <w:rsid w:val="00EB2D09"/>
    <w:rsid w:val="00EC4E30"/>
    <w:rsid w:val="00ED2CA2"/>
    <w:rsid w:val="00ED66C1"/>
    <w:rsid w:val="00EE470D"/>
    <w:rsid w:val="00EE5E19"/>
    <w:rsid w:val="00EF6AB5"/>
    <w:rsid w:val="00F00C05"/>
    <w:rsid w:val="00F11274"/>
    <w:rsid w:val="00F17740"/>
    <w:rsid w:val="00F26745"/>
    <w:rsid w:val="00F27D75"/>
    <w:rsid w:val="00F3259E"/>
    <w:rsid w:val="00F545E4"/>
    <w:rsid w:val="00F72D2C"/>
    <w:rsid w:val="00F82AD1"/>
    <w:rsid w:val="00FB0E9A"/>
    <w:rsid w:val="00FB6D6A"/>
    <w:rsid w:val="00FE6907"/>
    <w:rsid w:val="00FF44BB"/>
    <w:rsid w:val="00FF5C71"/>
    <w:rsid w:val="01D96573"/>
    <w:rsid w:val="021045F5"/>
    <w:rsid w:val="02730BAD"/>
    <w:rsid w:val="03830784"/>
    <w:rsid w:val="038928AB"/>
    <w:rsid w:val="04F9561C"/>
    <w:rsid w:val="053C1616"/>
    <w:rsid w:val="05AC7F84"/>
    <w:rsid w:val="07796682"/>
    <w:rsid w:val="07A910C8"/>
    <w:rsid w:val="08F52B8D"/>
    <w:rsid w:val="09855771"/>
    <w:rsid w:val="0A422713"/>
    <w:rsid w:val="0CFC44C4"/>
    <w:rsid w:val="0D5768DC"/>
    <w:rsid w:val="0E510E3B"/>
    <w:rsid w:val="100930F8"/>
    <w:rsid w:val="10626E84"/>
    <w:rsid w:val="10F05EA7"/>
    <w:rsid w:val="11D87F8D"/>
    <w:rsid w:val="12415A67"/>
    <w:rsid w:val="12D316A1"/>
    <w:rsid w:val="15D338D5"/>
    <w:rsid w:val="160F750C"/>
    <w:rsid w:val="171E0622"/>
    <w:rsid w:val="17C659F5"/>
    <w:rsid w:val="18B740DA"/>
    <w:rsid w:val="19D733EF"/>
    <w:rsid w:val="1AAD6142"/>
    <w:rsid w:val="1B49150C"/>
    <w:rsid w:val="1B9B6AD5"/>
    <w:rsid w:val="1C4241E2"/>
    <w:rsid w:val="1F1C07F8"/>
    <w:rsid w:val="1FC64343"/>
    <w:rsid w:val="23FC103A"/>
    <w:rsid w:val="246758CC"/>
    <w:rsid w:val="24F20FFA"/>
    <w:rsid w:val="25317C88"/>
    <w:rsid w:val="25535E50"/>
    <w:rsid w:val="256911B5"/>
    <w:rsid w:val="2602229F"/>
    <w:rsid w:val="28A864EB"/>
    <w:rsid w:val="29E057D9"/>
    <w:rsid w:val="2A21195C"/>
    <w:rsid w:val="2BA41A02"/>
    <w:rsid w:val="2CB573F1"/>
    <w:rsid w:val="2CBE5B06"/>
    <w:rsid w:val="2DFF7816"/>
    <w:rsid w:val="2E4D63C7"/>
    <w:rsid w:val="2FE50586"/>
    <w:rsid w:val="317E6691"/>
    <w:rsid w:val="37313B18"/>
    <w:rsid w:val="37E34E12"/>
    <w:rsid w:val="392E4F96"/>
    <w:rsid w:val="39A00A71"/>
    <w:rsid w:val="3A6D109C"/>
    <w:rsid w:val="3ADC09AF"/>
    <w:rsid w:val="3E014C10"/>
    <w:rsid w:val="42514F93"/>
    <w:rsid w:val="426F3D67"/>
    <w:rsid w:val="4385580A"/>
    <w:rsid w:val="46C17060"/>
    <w:rsid w:val="470B7EE1"/>
    <w:rsid w:val="484B2B57"/>
    <w:rsid w:val="4854681D"/>
    <w:rsid w:val="48C55FA1"/>
    <w:rsid w:val="492D4C32"/>
    <w:rsid w:val="492D4E8D"/>
    <w:rsid w:val="4B692A49"/>
    <w:rsid w:val="4BCE14DD"/>
    <w:rsid w:val="4E606D65"/>
    <w:rsid w:val="4E9C3BCC"/>
    <w:rsid w:val="5175093F"/>
    <w:rsid w:val="52955DB2"/>
    <w:rsid w:val="53227B62"/>
    <w:rsid w:val="532C5467"/>
    <w:rsid w:val="53727255"/>
    <w:rsid w:val="54D71BBA"/>
    <w:rsid w:val="565D7311"/>
    <w:rsid w:val="565F5B54"/>
    <w:rsid w:val="56703650"/>
    <w:rsid w:val="56F41AB1"/>
    <w:rsid w:val="56F73048"/>
    <w:rsid w:val="5800606F"/>
    <w:rsid w:val="583E407C"/>
    <w:rsid w:val="58C12AF6"/>
    <w:rsid w:val="596C4444"/>
    <w:rsid w:val="5AD74D4A"/>
    <w:rsid w:val="5AE32E6C"/>
    <w:rsid w:val="5AE82655"/>
    <w:rsid w:val="5B8027F4"/>
    <w:rsid w:val="5C5063E5"/>
    <w:rsid w:val="5D9D4B42"/>
    <w:rsid w:val="5FE13A7D"/>
    <w:rsid w:val="5FF84015"/>
    <w:rsid w:val="611903EC"/>
    <w:rsid w:val="646E6169"/>
    <w:rsid w:val="667567C4"/>
    <w:rsid w:val="6A0223C1"/>
    <w:rsid w:val="6AF117B2"/>
    <w:rsid w:val="6B435E9E"/>
    <w:rsid w:val="6C4D4548"/>
    <w:rsid w:val="6CDD2885"/>
    <w:rsid w:val="6ECE07C5"/>
    <w:rsid w:val="70B03CA9"/>
    <w:rsid w:val="720B16BC"/>
    <w:rsid w:val="73FC2230"/>
    <w:rsid w:val="74D41334"/>
    <w:rsid w:val="76F16BB5"/>
    <w:rsid w:val="7ADE3737"/>
    <w:rsid w:val="7C111B3F"/>
    <w:rsid w:val="7CA57EB5"/>
    <w:rsid w:val="7CB15915"/>
    <w:rsid w:val="7F5C4D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ind w:firstLine="0" w:firstLineChars="0"/>
      <w:jc w:val="center"/>
      <w:outlineLvl w:val="0"/>
    </w:pPr>
    <w:rPr>
      <w:b/>
      <w:kern w:val="44"/>
      <w:sz w:val="32"/>
    </w:rPr>
  </w:style>
  <w:style w:type="paragraph" w:styleId="5">
    <w:name w:val="heading 2"/>
    <w:basedOn w:val="1"/>
    <w:next w:val="1"/>
    <w:unhideWhenUsed/>
    <w:qFormat/>
    <w:uiPriority w:val="0"/>
    <w:pPr>
      <w:spacing w:before="0" w:beforeAutospacing="0" w:after="0" w:afterAutospacing="0"/>
      <w:jc w:val="left"/>
      <w:outlineLvl w:val="1"/>
    </w:pPr>
    <w:rPr>
      <w:rFonts w:hint="eastAsia" w:ascii="宋体" w:hAnsi="宋体" w:eastAsia="宋体" w:cs="宋体"/>
      <w:b/>
      <w:bCs/>
      <w:kern w:val="0"/>
      <w:sz w:val="30"/>
      <w:szCs w:val="36"/>
      <w:lang w:bidi="ar"/>
    </w:rPr>
  </w:style>
  <w:style w:type="paragraph" w:styleId="6">
    <w:name w:val="heading 3"/>
    <w:basedOn w:val="1"/>
    <w:next w:val="1"/>
    <w:link w:val="24"/>
    <w:unhideWhenUsed/>
    <w:qFormat/>
    <w:uiPriority w:val="0"/>
    <w:pPr>
      <w:keepNext/>
      <w:keepLines/>
      <w:widowControl w:val="0"/>
      <w:kinsoku/>
      <w:autoSpaceDE/>
      <w:autoSpaceDN/>
      <w:adjustRightInd/>
      <w:snapToGrid/>
      <w:spacing w:beforeLines="50" w:afterLines="50" w:line="500" w:lineRule="exact"/>
      <w:ind w:firstLine="561" w:firstLineChars="200"/>
      <w:jc w:val="both"/>
      <w:textAlignment w:val="auto"/>
      <w:outlineLvl w:val="2"/>
    </w:pPr>
    <w:rPr>
      <w:rFonts w:ascii="Times New Roman" w:hAnsi="Times New Roman" w:eastAsia="宋体" w:cs="Times New Roman"/>
      <w:b/>
      <w:bCs/>
      <w:snapToGrid/>
      <w:color w:val="auto"/>
      <w:kern w:val="2"/>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pPr>
    <w:rPr>
      <w:sz w:val="21"/>
    </w:rPr>
  </w:style>
  <w:style w:type="paragraph" w:styleId="3">
    <w:name w:val="Body Text Indent"/>
    <w:basedOn w:val="1"/>
    <w:qFormat/>
    <w:uiPriority w:val="99"/>
    <w:pPr>
      <w:spacing w:line="500" w:lineRule="exact"/>
      <w:ind w:firstLine="420" w:firstLineChars="200"/>
    </w:pPr>
    <w:rPr>
      <w:sz w:val="32"/>
      <w:szCs w:val="20"/>
    </w:r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Document Map"/>
    <w:basedOn w:val="1"/>
    <w:link w:val="25"/>
    <w:qFormat/>
    <w:uiPriority w:val="0"/>
    <w:rPr>
      <w:rFonts w:ascii="宋体" w:eastAsia="宋体"/>
      <w:sz w:val="18"/>
      <w:szCs w:val="18"/>
    </w:rPr>
  </w:style>
  <w:style w:type="paragraph" w:styleId="9">
    <w:name w:val="Body Text"/>
    <w:basedOn w:val="1"/>
    <w:link w:val="23"/>
    <w:qFormat/>
    <w:uiPriority w:val="0"/>
    <w:pPr>
      <w:spacing w:after="120"/>
    </w:pPr>
  </w:style>
  <w:style w:type="paragraph" w:styleId="10">
    <w:name w:val="Balloon Text"/>
    <w:basedOn w:val="1"/>
    <w:link w:val="22"/>
    <w:qFormat/>
    <w:uiPriority w:val="0"/>
    <w:rPr>
      <w:sz w:val="18"/>
      <w:szCs w:val="18"/>
    </w:rPr>
  </w:style>
  <w:style w:type="paragraph" w:styleId="11">
    <w:name w:val="footer"/>
    <w:basedOn w:val="1"/>
    <w:link w:val="20"/>
    <w:qFormat/>
    <w:uiPriority w:val="99"/>
    <w:pPr>
      <w:tabs>
        <w:tab w:val="center" w:pos="4153"/>
        <w:tab w:val="right" w:pos="8306"/>
      </w:tabs>
    </w:pPr>
    <w:rPr>
      <w:sz w:val="18"/>
      <w:szCs w:val="18"/>
    </w:rPr>
  </w:style>
  <w:style w:type="paragraph" w:styleId="12">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3">
    <w:name w:val="List Continue 4"/>
    <w:basedOn w:val="1"/>
    <w:next w:val="1"/>
    <w:qFormat/>
    <w:uiPriority w:val="0"/>
    <w:pPr>
      <w:widowControl w:val="0"/>
      <w:autoSpaceDE/>
      <w:autoSpaceDN/>
      <w:spacing w:after="120" w:line="360" w:lineRule="auto"/>
      <w:ind w:left="1680" w:firstLine="480"/>
      <w:jc w:val="both"/>
    </w:pPr>
    <w:rPr>
      <w:rFonts w:ascii="宋体" w:eastAsia="宋体"/>
      <w:sz w:val="24"/>
    </w:rPr>
  </w:style>
  <w:style w:type="paragraph" w:styleId="14">
    <w:name w:val="Normal (Web)"/>
    <w:basedOn w:val="1"/>
    <w:qFormat/>
    <w:uiPriority w:val="99"/>
    <w:rPr>
      <w:sz w:val="24"/>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8">
    <w:name w:val="Table Normal"/>
    <w:qFormat/>
    <w:uiPriority w:val="0"/>
    <w:tblPr>
      <w:tblCellMar>
        <w:top w:w="0" w:type="dxa"/>
        <w:left w:w="0" w:type="dxa"/>
        <w:bottom w:w="0" w:type="dxa"/>
        <w:right w:w="0" w:type="dxa"/>
      </w:tblCellMar>
    </w:tblPr>
  </w:style>
  <w:style w:type="character" w:customStyle="1" w:styleId="19">
    <w:name w:val="页眉 Char"/>
    <w:basedOn w:val="17"/>
    <w:link w:val="12"/>
    <w:qFormat/>
    <w:uiPriority w:val="0"/>
    <w:rPr>
      <w:rFonts w:eastAsia="Arial"/>
      <w:snapToGrid w:val="0"/>
      <w:color w:val="000000"/>
      <w:sz w:val="18"/>
      <w:szCs w:val="18"/>
    </w:rPr>
  </w:style>
  <w:style w:type="character" w:customStyle="1" w:styleId="20">
    <w:name w:val="页脚 Char"/>
    <w:basedOn w:val="17"/>
    <w:link w:val="11"/>
    <w:qFormat/>
    <w:uiPriority w:val="99"/>
    <w:rPr>
      <w:rFonts w:eastAsia="Arial"/>
      <w:snapToGrid w:val="0"/>
      <w:color w:val="000000"/>
      <w:sz w:val="18"/>
      <w:szCs w:val="18"/>
    </w:rPr>
  </w:style>
  <w:style w:type="paragraph" w:styleId="21">
    <w:name w:val="List Paragraph"/>
    <w:basedOn w:val="1"/>
    <w:qFormat/>
    <w:uiPriority w:val="99"/>
    <w:pPr>
      <w:ind w:firstLine="420" w:firstLineChars="200"/>
    </w:pPr>
  </w:style>
  <w:style w:type="character" w:customStyle="1" w:styleId="22">
    <w:name w:val="批注框文本 Char"/>
    <w:basedOn w:val="17"/>
    <w:link w:val="10"/>
    <w:qFormat/>
    <w:uiPriority w:val="0"/>
    <w:rPr>
      <w:rFonts w:eastAsia="Arial"/>
      <w:snapToGrid w:val="0"/>
      <w:color w:val="000000"/>
      <w:sz w:val="18"/>
      <w:szCs w:val="18"/>
    </w:rPr>
  </w:style>
  <w:style w:type="character" w:customStyle="1" w:styleId="23">
    <w:name w:val="正文文本 Char"/>
    <w:basedOn w:val="17"/>
    <w:link w:val="9"/>
    <w:qFormat/>
    <w:uiPriority w:val="0"/>
    <w:rPr>
      <w:rFonts w:eastAsia="Arial"/>
      <w:snapToGrid w:val="0"/>
      <w:color w:val="000000"/>
      <w:sz w:val="21"/>
      <w:szCs w:val="21"/>
    </w:rPr>
  </w:style>
  <w:style w:type="character" w:customStyle="1" w:styleId="24">
    <w:name w:val="标题 3 Char"/>
    <w:basedOn w:val="17"/>
    <w:link w:val="6"/>
    <w:qFormat/>
    <w:uiPriority w:val="0"/>
    <w:rPr>
      <w:rFonts w:ascii="Times New Roman" w:hAnsi="Times New Roman" w:cs="Times New Roman"/>
      <w:b/>
      <w:bCs/>
      <w:kern w:val="2"/>
      <w:sz w:val="28"/>
      <w:szCs w:val="32"/>
    </w:rPr>
  </w:style>
  <w:style w:type="character" w:customStyle="1" w:styleId="25">
    <w:name w:val="文档结构图 Char"/>
    <w:basedOn w:val="17"/>
    <w:link w:val="8"/>
    <w:qFormat/>
    <w:uiPriority w:val="0"/>
    <w:rPr>
      <w:rFonts w:ascii="宋体"/>
      <w:snapToGrid w:val="0"/>
      <w:color w:val="000000"/>
      <w:sz w:val="18"/>
      <w:szCs w:val="18"/>
    </w:rPr>
  </w:style>
  <w:style w:type="paragraph" w:customStyle="1" w:styleId="26">
    <w:name w:val="目录 11"/>
    <w:basedOn w:val="1"/>
    <w:next w:val="1"/>
    <w:qFormat/>
    <w:uiPriority w:val="39"/>
    <w:pPr>
      <w:spacing w:before="120" w:after="120"/>
    </w:pPr>
    <w:rPr>
      <w:rFonts w:ascii="Romana BT" w:hAnsi="Romana BT" w:eastAsia="Romana BT" w:cs="Romana BT"/>
      <w:b/>
      <w:bCs/>
      <w:caps/>
      <w:sz w:val="20"/>
      <w:szCs w:val="20"/>
    </w:rPr>
  </w:style>
  <w:style w:type="paragraph" w:customStyle="1" w:styleId="27">
    <w:name w:val="样式66"/>
    <w:basedOn w:val="1"/>
    <w:qFormat/>
    <w:uiPriority w:val="0"/>
    <w:pPr>
      <w:ind w:firstLine="560" w:firstLineChars="200"/>
    </w:pPr>
    <w:rPr>
      <w:rFonts w:ascii="Romana BT" w:hAnsi="Romana BT" w:eastAsia="Romana BT" w:cs="Romana BT"/>
      <w:sz w:val="28"/>
      <w:szCs w:val="24"/>
    </w:rPr>
  </w:style>
  <w:style w:type="paragraph" w:customStyle="1" w:styleId="28">
    <w:name w:val="样式 左侧:  0 厘米 首行缩进:  0.85 厘米"/>
    <w:basedOn w:val="1"/>
    <w:qFormat/>
    <w:uiPriority w:val="0"/>
    <w:pPr>
      <w:widowControl w:val="0"/>
      <w:kinsoku/>
      <w:autoSpaceDE/>
      <w:autoSpaceDN/>
      <w:adjustRightInd/>
      <w:snapToGrid/>
      <w:ind w:firstLine="480"/>
      <w:jc w:val="both"/>
      <w:textAlignment w:val="auto"/>
    </w:pPr>
    <w:rPr>
      <w:rFonts w:ascii="Romana BT" w:hAnsi="Romana BT" w:eastAsia="Courier New" w:cs="Romana BT"/>
      <w:snapToGrid/>
      <w:color w:val="auto"/>
      <w:kern w:val="2"/>
      <w:sz w:val="24"/>
      <w:szCs w:val="20"/>
    </w:rPr>
  </w:style>
  <w:style w:type="paragraph" w:customStyle="1" w:styleId="29">
    <w:name w:val="表格"/>
    <w:basedOn w:val="1"/>
    <w:next w:val="1"/>
    <w:link w:val="30"/>
    <w:qFormat/>
    <w:uiPriority w:val="0"/>
    <w:pPr>
      <w:widowControl w:val="0"/>
      <w:kinsoku/>
      <w:autoSpaceDE/>
      <w:autoSpaceDN/>
      <w:adjustRightInd/>
      <w:jc w:val="center"/>
      <w:textAlignment w:val="auto"/>
    </w:pPr>
    <w:rPr>
      <w:rFonts w:ascii="Times New Roman" w:hAnsi="Times New Roman" w:eastAsia="宋体" w:cs="Times New Roman"/>
      <w:snapToGrid/>
      <w:color w:val="auto"/>
    </w:rPr>
  </w:style>
  <w:style w:type="character" w:customStyle="1" w:styleId="30">
    <w:name w:val="表格 字符"/>
    <w:basedOn w:val="17"/>
    <w:link w:val="29"/>
    <w:qFormat/>
    <w:uiPriority w:val="0"/>
    <w:rPr>
      <w:rFonts w:ascii="Times New Roman" w:hAnsi="Times New Roman" w:cs="Times New Roman"/>
      <w:sz w:val="21"/>
      <w:szCs w:val="21"/>
    </w:rPr>
  </w:style>
  <w:style w:type="paragraph" w:customStyle="1" w:styleId="31">
    <w:name w:val="Char"/>
    <w:basedOn w:val="1"/>
    <w:qFormat/>
    <w:uiPriority w:val="0"/>
    <w:pPr>
      <w:jc w:val="both"/>
    </w:pPr>
    <w:rPr>
      <w:rFonts w:cs="Times New Roman"/>
    </w:rPr>
  </w:style>
  <w:style w:type="paragraph" w:customStyle="1" w:styleId="32">
    <w:name w:val="别动"/>
    <w:basedOn w:val="33"/>
    <w:qFormat/>
    <w:uiPriority w:val="0"/>
    <w:pPr>
      <w:spacing w:line="340" w:lineRule="exact"/>
    </w:pPr>
    <w:rPr>
      <w:rFonts w:ascii="Times New Roman" w:hAnsi="Times New Roman" w:eastAsia="宋体"/>
      <w:b w:val="0"/>
      <w:sz w:val="21"/>
    </w:rPr>
  </w:style>
  <w:style w:type="paragraph" w:customStyle="1" w:styleId="33">
    <w:name w:val="表头"/>
    <w:basedOn w:val="1"/>
    <w:next w:val="32"/>
    <w:qFormat/>
    <w:uiPriority w:val="0"/>
    <w:pPr>
      <w:spacing w:line="240" w:lineRule="auto"/>
      <w:ind w:firstLine="0" w:firstLineChars="0"/>
      <w:jc w:val="center"/>
    </w:pPr>
    <w:rPr>
      <w:rFonts w:hint="eastAsia" w:cs="Times New Roman"/>
      <w:b/>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C8491-7E9F-4E3C-835C-37D9BDB3ADF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5194</Words>
  <Characters>5681</Characters>
  <Lines>46</Lines>
  <Paragraphs>13</Paragraphs>
  <TotalTime>26</TotalTime>
  <ScaleCrop>false</ScaleCrop>
  <LinksUpToDate>false</LinksUpToDate>
  <CharactersWithSpaces>5780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2023-02-25T10:52:00Z</dcterms:created>
  <dc:creator>游明华(办公室)</dc:creator>
  <cp:lastModifiedBy>Administrator</cp:lastModifiedBy>
  <cp:lastPrinted>2026-04-20T11:14:00Z</cp:lastPrinted>
  <dcterms:modified xsi:type="dcterms:W3CDTF">2026-04-24T03:16:53Z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2021-12-30T19:57:07Z</vt:filetime>
  </property>
  <property fmtid="{D5CDD505-2E9C-101B-9397-08002B2CF9AE}" pid="4" name="KSOProductBuildVer">
    <vt:lpwstr>2052-11.8.2.12118</vt:lpwstr>
  </property>
  <property fmtid="{D5CDD505-2E9C-101B-9397-08002B2CF9AE}" pid="5" name="ICV">
    <vt:lpwstr>8E6AC26F8253464FBB7FDB1B8CDCE2D8_13</vt:lpwstr>
  </property>
  <property fmtid="{D5CDD505-2E9C-101B-9397-08002B2CF9AE}" pid="6" name="KSOTemplateDocerSaveRecord">
    <vt:lpwstr>eyJoZGlkIjoiMTUwMDhkYTk5MmFjZWUyNDBjZmM5NjYzYmNmM2ZmYTgiLCJ1c2VySWQiOiIyMjg5MDQ1NjIifQ==</vt:lpwstr>
  </property>
</Properties>
</file>