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008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沙湾市申途运输服务有限公司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沙湾市智慧大道西路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 xml:space="preserve"> 4-21号（大农行小区 91幢底商负一层 108室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181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8880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冯永胜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91654223MA7F2EMP75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FF0000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bookmarkStart w:id="0" w:name="OLE_LINK2"/>
      <w:r>
        <w:rPr>
          <w:rFonts w:hint="default" w:ascii="宋体" w:hAnsi="宋体" w:cs="宋体"/>
          <w:color w:val="auto"/>
          <w:sz w:val="21"/>
          <w:szCs w:val="21"/>
          <w:u w:val="single"/>
        </w:rPr>
        <w:t>2026年4月8日11时02分，沙湾市申途运输服务有限公司法定代表人冯永胜持新G15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（黄底黑字）号重型半挂牵引车《道路运输证》到我局办理车辆年度审验业务时，经我局执法人员检查发现：该车年度审验有效期止2026年3月，逾期8天未对车辆进行年度审验。当事人未按规定参加运输车辆年度审验的事实成立，构成未按规定参加运输车辆年度审验。执法人员提取了询问笔录、营业执照（复印件）、道路运输经营许可证（复印件）、法定代表人身份证（复印件）、委托代理人身份证（复印件）、车辆行驶证（复印件）、道路运输证（复印件）、机动车安全技术检验报告（复印件）等证据证实。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《新疆维吾尔自治区道路运输条例》第三十三条第一款“道路运输车辆应当按照国家有关规定进行年度审验。”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四十三条“违反本条例第三十三条第一款规定未参加年度审验的，由县级以上交通运输主管部门责令改正，处五百元以上一千元以下罚款；未进行年度审验超过六个月的，由原发证部门依法办理车辆道路运输证的注销手续。”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79365" cy="1209675"/>
            <wp:effectExtent l="0" t="0" r="6985" b="9525"/>
            <wp:docPr id="1" name="图片 1" descr="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8"/>
                    <pic:cNvPicPr>
                      <a:picLocks noChangeAspect="1"/>
                    </pic:cNvPicPr>
                  </pic:nvPicPr>
                  <pic:blipFill>
                    <a:blip r:embed="rId4"/>
                    <a:srcRect l="10691" t="74844" r="26901" b="14352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88465" cy="1398905"/>
            <wp:effectExtent l="0" t="0" r="6985" b="10795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13640" t="42609" r="60381" b="41742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bookmarkStart w:id="1" w:name="_GoBack"/>
      <w:bookmarkEnd w:id="1"/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3B93"/>
    <w:rsid w:val="1774155B"/>
    <w:rsid w:val="5B5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2026-04-16T07:43:00Z</dcterms:created>
  <dc:creator>Administrator</dc:creator>
  <cp:lastModifiedBy>Administrator</cp:lastModifiedBy>
  <dcterms:modified xsi:type="dcterms:W3CDTF">2026-04-16T10:10:38Z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