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kern w:val="0"/>
          <w:szCs w:val="21"/>
        </w:rPr>
      </w:pPr>
      <w:r>
        <w:rPr>
          <w:rFonts w:eastAsia="华文中宋"/>
          <w:b/>
          <w:bCs/>
          <w:color w:val="auto"/>
          <w:sz w:val="36"/>
        </w:rPr>
        <w:t>行政处罚决定书</w:t>
      </w:r>
    </w:p>
    <w:p>
      <w:pPr>
        <w:jc w:val="right"/>
        <w:rPr>
          <w:rFonts w:hint="eastAsia" w:eastAsia="宋体"/>
          <w:b/>
          <w:bCs/>
          <w:color w:val="auto"/>
          <w:sz w:val="30"/>
          <w:lang w:val="en-US" w:eastAsia="zh-CN"/>
        </w:rPr>
      </w:pPr>
      <w:r>
        <w:rPr>
          <w:color w:val="auto"/>
          <w:kern w:val="0"/>
          <w:szCs w:val="21"/>
        </w:rPr>
        <w:t xml:space="preserve"> 案号：</w:t>
      </w:r>
      <w:r>
        <w:rPr>
          <w:rFonts w:hint="eastAsia"/>
          <w:color w:val="auto"/>
          <w:kern w:val="0"/>
          <w:szCs w:val="21"/>
        </w:rPr>
        <w:t>新塔沙交执</w:t>
      </w:r>
      <w:r>
        <w:rPr>
          <w:rFonts w:hint="eastAsia"/>
          <w:color w:val="auto"/>
          <w:kern w:val="0"/>
          <w:szCs w:val="21"/>
          <w:lang w:eastAsia="zh-CN"/>
        </w:rPr>
        <w:t>运政</w:t>
      </w:r>
      <w:r>
        <w:rPr>
          <w:rFonts w:hint="eastAsia" w:ascii="楷体_GB2312" w:hAnsi="楷体_GB2312" w:eastAsia="楷体_GB2312" w:cs="楷体_GB2312"/>
          <w:color w:val="auto"/>
          <w:kern w:val="0"/>
          <w:szCs w:val="21"/>
          <w:lang w:eastAsia="zh-CN"/>
        </w:rPr>
        <w:t>〔</w:t>
      </w:r>
      <w:r>
        <w:rPr>
          <w:rFonts w:hint="eastAsia"/>
          <w:color w:val="auto"/>
          <w:kern w:val="0"/>
          <w:szCs w:val="21"/>
        </w:rPr>
        <w:t>202</w:t>
      </w:r>
      <w:r>
        <w:rPr>
          <w:rFonts w:hint="eastAsia"/>
          <w:color w:val="auto"/>
          <w:kern w:val="0"/>
          <w:szCs w:val="21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kern w:val="0"/>
          <w:szCs w:val="21"/>
        </w:rPr>
        <w:t>〕</w:t>
      </w:r>
      <w:r>
        <w:rPr>
          <w:rFonts w:hint="eastAsia"/>
          <w:color w:val="auto"/>
          <w:kern w:val="0"/>
          <w:szCs w:val="21"/>
        </w:rPr>
        <w:t>00</w:t>
      </w:r>
      <w:r>
        <w:rPr>
          <w:rFonts w:hint="eastAsia"/>
          <w:color w:val="auto"/>
          <w:kern w:val="0"/>
          <w:szCs w:val="21"/>
          <w:lang w:val="en-US" w:eastAsia="zh-CN"/>
        </w:rPr>
        <w:t>12</w:t>
      </w:r>
      <w:r>
        <w:rPr>
          <w:rFonts w:hint="eastAsia"/>
          <w:color w:val="auto"/>
          <w:kern w:val="0"/>
          <w:szCs w:val="21"/>
          <w:lang w:eastAsia="zh-CN"/>
        </w:rPr>
        <w:t>号</w:t>
      </w:r>
    </w:p>
    <w:tbl>
      <w:tblPr>
        <w:tblStyle w:val="3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287"/>
        <w:gridCol w:w="934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3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个人</w:t>
            </w:r>
          </w:p>
        </w:tc>
        <w:tc>
          <w:tcPr>
            <w:tcW w:w="11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姓 　 名</w:t>
            </w:r>
          </w:p>
        </w:tc>
        <w:tc>
          <w:tcPr>
            <w:tcW w:w="2221" w:type="dxa"/>
            <w:gridSpan w:val="2"/>
            <w:noWrap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/</w:t>
            </w:r>
          </w:p>
        </w:tc>
        <w:tc>
          <w:tcPr>
            <w:tcW w:w="1366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身份证件号</w:t>
            </w:r>
          </w:p>
        </w:tc>
        <w:tc>
          <w:tcPr>
            <w:tcW w:w="19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43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noWrap/>
            <w:vAlign w:val="center"/>
          </w:tcPr>
          <w:p>
            <w:pPr>
              <w:rPr>
                <w:color w:val="auto"/>
                <w:spacing w:val="-20"/>
                <w:szCs w:val="21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住 　 址</w:t>
            </w:r>
          </w:p>
        </w:tc>
        <w:tc>
          <w:tcPr>
            <w:tcW w:w="2221" w:type="dxa"/>
            <w:gridSpan w:val="2"/>
            <w:noWrap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/</w:t>
            </w:r>
          </w:p>
        </w:tc>
        <w:tc>
          <w:tcPr>
            <w:tcW w:w="1366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联系电话</w:t>
            </w:r>
          </w:p>
        </w:tc>
        <w:tc>
          <w:tcPr>
            <w:tcW w:w="19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3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pacing w:val="-20"/>
                <w:szCs w:val="21"/>
              </w:rPr>
              <w:t>单位</w:t>
            </w:r>
          </w:p>
        </w:tc>
        <w:tc>
          <w:tcPr>
            <w:tcW w:w="11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名 　 称</w:t>
            </w:r>
          </w:p>
        </w:tc>
        <w:tc>
          <w:tcPr>
            <w:tcW w:w="5569" w:type="dxa"/>
            <w:gridSpan w:val="4"/>
            <w:noWrap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 w:hAnsi="宋体" w:cs="宋体"/>
                <w:color w:val="auto"/>
                <w:u w:val="none"/>
                <w:lang w:eastAsia="zh-CN"/>
              </w:rPr>
              <w:t>沙湾市驼铃运输服务有限责任公司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43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地　　址</w:t>
            </w:r>
          </w:p>
        </w:tc>
        <w:tc>
          <w:tcPr>
            <w:tcW w:w="5569" w:type="dxa"/>
            <w:gridSpan w:val="4"/>
            <w:noWrap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沙湾市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乌鲁木齐东路（准南机电市场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 xml:space="preserve"> 26幢 17号楼 111室）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43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09936058288</w:t>
            </w:r>
          </w:p>
        </w:tc>
        <w:tc>
          <w:tcPr>
            <w:tcW w:w="1366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法定代表人</w:t>
            </w:r>
          </w:p>
        </w:tc>
        <w:tc>
          <w:tcPr>
            <w:tcW w:w="1982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张鑫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43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03" w:type="dxa"/>
            <w:vMerge w:val="continue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482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统一社会信用代码</w:t>
            </w:r>
          </w:p>
        </w:tc>
        <w:tc>
          <w:tcPr>
            <w:tcW w:w="4282" w:type="dxa"/>
            <w:gridSpan w:val="3"/>
            <w:noWrap/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91654223745224412W</w:t>
            </w:r>
          </w:p>
        </w:tc>
      </w:tr>
    </w:tbl>
    <w:p>
      <w:pPr>
        <w:spacing w:line="400" w:lineRule="exact"/>
        <w:rPr>
          <w:rFonts w:hint="eastAsia" w:hAnsi="宋体" w:cs="宋体"/>
          <w:color w:val="auto"/>
          <w:szCs w:val="21"/>
          <w:u w:val="single"/>
        </w:rPr>
      </w:pPr>
      <w:r>
        <w:rPr>
          <w:color w:val="auto"/>
          <w:szCs w:val="21"/>
        </w:rPr>
        <w:t>违法事实及证据：</w:t>
      </w:r>
      <w:bookmarkStart w:id="0" w:name="OLE_LINK20"/>
      <w:bookmarkStart w:id="1" w:name="OLE_LINK30"/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2026</w:t>
      </w:r>
      <w:r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3</w:t>
      </w:r>
      <w:r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24</w:t>
      </w:r>
      <w:r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18</w:t>
      </w:r>
      <w:r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10分</w:t>
      </w:r>
      <w:r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，我局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接到沙湾市公安局交警大队移交案件线索</w:t>
      </w:r>
      <w:r>
        <w:rPr>
          <w:rFonts w:hint="default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沙湾市驼铃运输服务有限公司新G58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号重型自卸货车，未经审验，在公路上行驶。经我局执法人员对当事人的询问，该车于2026年3月23日在沙湾市博尔通古牧场渠首工地从事道路普通货物运输，经执法人员查询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自治区交通运输政务管理系统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，该车《道路运输证》于2026年1月9日注销。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经查，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沙湾市驼铃运输服务有限责任公司于2026年1月8日向我局提交该车注销申请，我局于1月9日将该车辆注销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。存在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取得道路货物运输经营许可的道路货物运输经营者使用无《道路运输证》的车辆参加普通货物运输经营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。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经进一步检查，沙湾市驼铃运输服务有限责任公司系初次违法，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其情节不符合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《新疆维吾尔自治区 新疆生产建设兵团交通运输行政处罚裁量基准》（2025年10月1日起施行）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81项规定的情节，参照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道路运输企业和城市客运企业安全生产重大事故隐患判定标准（试行）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2023年10月1日起施行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）第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三条第（二）项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道路运输企业和城市客运企业存在下列情形之一的，应当判定为重大事故隐患：（二）使用报废、擅自改装、拼装、检验检测不合格（含未在有效期内）以及其他不符合国家规定的车辆装备、设施设备等从事经营活动的；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的规定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执法人员通过对当事人的询问，对委托代理人的询问，调取相关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资料等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证据证实</w:t>
      </w:r>
      <w:r>
        <w:rPr>
          <w:rFonts w:hint="default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。当事人于2026年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4</w:t>
      </w:r>
      <w:r>
        <w:rPr>
          <w:rFonts w:hint="default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月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7</w:t>
      </w:r>
      <w:r>
        <w:rPr>
          <w:rFonts w:hint="default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日收到《违法行为通知书》法定期限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后</w:t>
      </w:r>
      <w:r>
        <w:rPr>
          <w:rFonts w:hint="default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，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法定期限内未向我局提出</w:t>
      </w:r>
      <w:r>
        <w:rPr>
          <w:rFonts w:hint="default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陈述申辩及听证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的权利</w:t>
      </w:r>
      <w:r>
        <w:rPr>
          <w:rFonts w:hint="default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。</w:t>
      </w:r>
      <w:bookmarkEnd w:id="0"/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jc w:val="both"/>
        <w:textAlignment w:val="auto"/>
        <w:rPr>
          <w:rFonts w:hint="eastAsia"/>
          <w:color w:val="FF0000"/>
          <w:szCs w:val="21"/>
          <w:lang w:eastAsia="zh-CN"/>
        </w:rPr>
      </w:pPr>
      <w:r>
        <w:rPr>
          <w:color w:val="auto"/>
          <w:sz w:val="21"/>
          <w:szCs w:val="21"/>
        </w:rPr>
        <w:t>你（</w:t>
      </w:r>
      <w:r>
        <w:rPr>
          <w:strike w:val="0"/>
          <w:dstrike w:val="0"/>
          <w:color w:val="auto"/>
          <w:sz w:val="21"/>
          <w:szCs w:val="21"/>
        </w:rPr>
        <w:t>单位</w:t>
      </w:r>
      <w:r>
        <w:rPr>
          <w:color w:val="auto"/>
          <w:sz w:val="21"/>
          <w:szCs w:val="21"/>
        </w:rPr>
        <w:t>）的行为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违反了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</w:t>
      </w:r>
      <w:r>
        <w:rPr>
          <w:rFonts w:hint="eastAsia" w:cs="宋体"/>
          <w:color w:val="auto"/>
          <w:kern w:val="2"/>
          <w:sz w:val="21"/>
          <w:szCs w:val="21"/>
          <w:u w:val="single"/>
          <w:lang w:val="en-US" w:eastAsia="zh-CN" w:bidi="ar-SA"/>
        </w:rPr>
        <w:t>道路货物运输及站场管理规定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》第</w:t>
      </w:r>
      <w:r>
        <w:rPr>
          <w:rFonts w:hint="eastAsia" w:cs="宋体"/>
          <w:color w:val="auto"/>
          <w:kern w:val="2"/>
          <w:sz w:val="21"/>
          <w:szCs w:val="21"/>
          <w:u w:val="single"/>
          <w:lang w:val="en-US" w:eastAsia="zh-CN" w:bidi="ar-SA"/>
        </w:rPr>
        <w:t>十四条</w:t>
      </w:r>
      <w:r>
        <w:rPr>
          <w:rFonts w:hint="eastAsia" w:cs="宋体" w:asciiTheme="majorEastAsia" w:hAnsiTheme="majorEastAsia" w:eastAsiaTheme="majorEastAsia"/>
          <w:color w:val="auto"/>
          <w:sz w:val="21"/>
          <w:szCs w:val="21"/>
          <w:u w:val="single"/>
        </w:rPr>
        <w:t>“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被许可人应当按照承诺书的要求投入运输车辆。购置车辆或者已有车辆经交通运输主管部门核实并符合条件的，交通运输主管部门向投入运输的车辆配发《道路运输证》。</w:t>
      </w:r>
      <w:r>
        <w:rPr>
          <w:rFonts w:hint="default" w:cs="宋体" w:asciiTheme="majorEastAsia" w:hAnsiTheme="majorEastAsia" w:eastAsiaTheme="majorEastAsia"/>
          <w:color w:val="auto"/>
          <w:sz w:val="21"/>
          <w:szCs w:val="21"/>
          <w:u w:val="single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的规定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依据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</w:t>
      </w:r>
      <w:r>
        <w:rPr>
          <w:rFonts w:hint="eastAsia" w:cs="宋体"/>
          <w:color w:val="auto"/>
          <w:kern w:val="2"/>
          <w:sz w:val="21"/>
          <w:szCs w:val="21"/>
          <w:u w:val="single"/>
          <w:lang w:val="en-US" w:eastAsia="zh-CN" w:bidi="ar-SA"/>
        </w:rPr>
        <w:t>道路货物运输及站场管理规定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》第</w:t>
      </w:r>
      <w:r>
        <w:rPr>
          <w:rFonts w:hint="eastAsia" w:cs="宋体"/>
          <w:color w:val="auto"/>
          <w:kern w:val="2"/>
          <w:sz w:val="21"/>
          <w:szCs w:val="21"/>
          <w:u w:val="single"/>
          <w:lang w:val="en-US" w:eastAsia="zh-CN" w:bidi="ar-SA"/>
        </w:rPr>
        <w:t>六十三</w:t>
      </w:r>
      <w:r>
        <w:rPr>
          <w:rFonts w:hint="eastAsia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条第一款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违反本规定，取得道路货物运输经营许可的道路货物运输经营者使用无《道路运输证》的车辆参加普通货物运输的，由交通运输主管部门责令改正，处1000元以上3000元以下的罚款。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”</w:t>
      </w:r>
      <w:r>
        <w:rPr>
          <w:rFonts w:hint="eastAsia" w:cs="宋体"/>
          <w:color w:val="auto"/>
          <w:sz w:val="21"/>
          <w:szCs w:val="21"/>
          <w:u w:val="single"/>
          <w:lang w:eastAsia="zh-CN"/>
        </w:rPr>
        <w:t>，</w:t>
      </w:r>
      <w:bookmarkStart w:id="2" w:name="OLE_LINK19"/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参照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道路运输企业和城市客运企业安全生产重大事故隐患判定标准（试行）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2023年10月1日起施行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）第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三条第（二）项</w:t>
      </w:r>
      <w:r>
        <w:rPr>
          <w:rFonts w:hint="eastAsia" w:cs="宋体"/>
          <w:color w:val="auto"/>
          <w:sz w:val="21"/>
          <w:szCs w:val="21"/>
          <w:u w:val="single"/>
          <w:lang w:val="en-US" w:eastAsia="zh-CN"/>
        </w:rPr>
        <w:t>“</w:t>
      </w:r>
      <w:r>
        <w:rPr>
          <w:rFonts w:hint="eastAsia" w:cs="宋体"/>
          <w:color w:val="auto"/>
          <w:kern w:val="2"/>
          <w:sz w:val="21"/>
          <w:szCs w:val="21"/>
          <w:u w:val="single"/>
          <w:lang w:val="en-US" w:eastAsia="zh-CN" w:bidi="ar-SA"/>
        </w:rPr>
        <w:t>使用报废、擅自改装、拼装、检验检测不合格（含未在有效期内）以及其他不符合国家规定的车辆装备、设施设备等从事经营活动的；</w:t>
      </w:r>
      <w:r>
        <w:rPr>
          <w:rFonts w:hint="eastAsia" w:cs="宋体"/>
          <w:color w:val="auto"/>
          <w:sz w:val="21"/>
          <w:szCs w:val="21"/>
          <w:u w:val="single"/>
          <w:lang w:val="en-US" w:eastAsia="zh-CN"/>
        </w:rPr>
        <w:t>”</w:t>
      </w:r>
      <w:bookmarkEnd w:id="2"/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规定</w:t>
      </w:r>
      <w:r>
        <w:rPr>
          <w:rFonts w:hint="eastAsia" w:hAnsi="宋体"/>
          <w:color w:val="auto"/>
          <w:szCs w:val="21"/>
        </w:rPr>
        <w:t>，决定给予</w:t>
      </w:r>
      <w:r>
        <w:rPr>
          <w:rFonts w:hint="default" w:hAnsi="宋体" w:cs="宋体"/>
          <w:color w:val="auto"/>
          <w:szCs w:val="21"/>
          <w:u w:val="single"/>
        </w:rPr>
        <w:t>罚款</w:t>
      </w:r>
      <w:r>
        <w:rPr>
          <w:rFonts w:hint="eastAsia" w:hAnsi="宋体" w:cs="宋体"/>
          <w:color w:val="auto"/>
          <w:szCs w:val="21"/>
          <w:u w:val="single"/>
          <w:lang w:eastAsia="zh-CN"/>
        </w:rPr>
        <w:t>叁仟元</w:t>
      </w:r>
      <w:r>
        <w:rPr>
          <w:rFonts w:hint="default" w:hAnsi="宋体" w:cs="宋体"/>
          <w:color w:val="auto"/>
          <w:szCs w:val="21"/>
          <w:u w:val="single"/>
        </w:rPr>
        <w:t>整（¥</w:t>
      </w:r>
      <w:r>
        <w:rPr>
          <w:rFonts w:hint="eastAsia" w:hAnsi="宋体" w:cs="宋体"/>
          <w:color w:val="auto"/>
          <w:szCs w:val="21"/>
          <w:u w:val="single"/>
          <w:lang w:val="en-US" w:eastAsia="zh-CN"/>
        </w:rPr>
        <w:t>30</w:t>
      </w:r>
      <w:r>
        <w:rPr>
          <w:rFonts w:hint="default" w:hAnsi="宋体" w:cs="宋体"/>
          <w:color w:val="auto"/>
          <w:szCs w:val="21"/>
          <w:u w:val="single"/>
        </w:rPr>
        <w:t>00</w:t>
      </w:r>
      <w:r>
        <w:rPr>
          <w:rFonts w:hint="eastAsia" w:hAnsi="宋体" w:cs="宋体"/>
          <w:color w:val="auto"/>
          <w:szCs w:val="21"/>
          <w:u w:val="single"/>
          <w:lang w:eastAsia="zh-CN"/>
        </w:rPr>
        <w:t>元</w:t>
      </w:r>
      <w:r>
        <w:rPr>
          <w:rFonts w:hint="default" w:hAnsi="宋体" w:cs="宋体"/>
          <w:color w:val="auto"/>
          <w:szCs w:val="21"/>
          <w:u w:val="single"/>
        </w:rPr>
        <w:t>）</w:t>
      </w:r>
      <w:r>
        <w:rPr>
          <w:rFonts w:hint="eastAsia" w:hAnsi="宋体"/>
          <w:color w:val="auto"/>
          <w:szCs w:val="21"/>
        </w:rPr>
        <w:t>的行政处罚。</w:t>
      </w:r>
    </w:p>
    <w:p>
      <w:pPr>
        <w:spacing w:line="400" w:lineRule="exact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处以罚款的，自收到本决定书之日起十五日内缴至</w:t>
      </w:r>
      <w:r>
        <w:rPr>
          <w:rFonts w:hint="eastAsia"/>
          <w:color w:val="auto"/>
          <w:szCs w:val="21"/>
          <w:u w:val="single"/>
        </w:rPr>
        <w:t>沙湾市农村商业银行</w:t>
      </w:r>
      <w:r>
        <w:rPr>
          <w:color w:val="auto"/>
          <w:szCs w:val="21"/>
        </w:rPr>
        <w:t>，账号</w:t>
      </w:r>
      <w:r>
        <w:rPr>
          <w:rFonts w:hint="eastAsia"/>
          <w:color w:val="auto"/>
          <w:szCs w:val="21"/>
          <w:u w:val="single"/>
        </w:rPr>
        <w:t>8309010001201200000545</w:t>
      </w:r>
      <w:r>
        <w:rPr>
          <w:color w:val="auto"/>
          <w:szCs w:val="21"/>
        </w:rPr>
        <w:t>，到期不缴纳罚款的，本机关可以每日按罚款数额的百分之三加处罚款，加处罚款的数额不超过罚款本数。</w:t>
      </w:r>
    </w:p>
    <w:p>
      <w:pPr>
        <w:spacing w:line="400" w:lineRule="exact"/>
        <w:ind w:firstLine="420" w:firstLineChars="200"/>
        <w:rPr>
          <w:rFonts w:hint="default" w:eastAsia="宋体"/>
          <w:color w:val="auto"/>
          <w:szCs w:val="21"/>
          <w:u w:val="single"/>
          <w:lang w:val="en-US" w:eastAsia="zh-CN"/>
        </w:rPr>
      </w:pPr>
      <w:r>
        <w:rPr>
          <w:color w:val="auto"/>
          <w:szCs w:val="21"/>
        </w:rPr>
        <w:t>其他执行方式和期限：</w:t>
      </w:r>
      <w:r>
        <w:rPr>
          <w:rFonts w:hint="eastAsia"/>
          <w:color w:val="auto"/>
          <w:szCs w:val="21"/>
          <w:u w:val="single"/>
          <w:lang w:val="en-US" w:eastAsia="zh-CN"/>
        </w:rPr>
        <w:t xml:space="preserve"> /                        </w:t>
      </w:r>
    </w:p>
    <w:p>
      <w:pPr>
        <w:spacing w:line="400" w:lineRule="exact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 xml:space="preserve">如果不服本处罚决定，可以在六十日内依法向 </w:t>
      </w:r>
      <w:r>
        <w:rPr>
          <w:rFonts w:hint="eastAsia"/>
          <w:color w:val="auto"/>
          <w:szCs w:val="21"/>
          <w:u w:val="single"/>
        </w:rPr>
        <w:t>沙湾市人民政府</w:t>
      </w:r>
      <w:r>
        <w:rPr>
          <w:color w:val="auto"/>
          <w:szCs w:val="21"/>
        </w:rPr>
        <w:t>申请行政复议，或者在六个月内依法向</w:t>
      </w:r>
      <w:r>
        <w:rPr>
          <w:rFonts w:hint="eastAsia"/>
          <w:color w:val="auto"/>
          <w:szCs w:val="21"/>
          <w:u w:val="single"/>
          <w:lang w:eastAsia="zh-CN"/>
        </w:rPr>
        <w:t>沙湾市</w:t>
      </w:r>
      <w:r>
        <w:rPr>
          <w:color w:val="auto"/>
          <w:szCs w:val="21"/>
          <w:u w:val="single"/>
        </w:rPr>
        <w:t>人民法院</w:t>
      </w:r>
      <w:r>
        <w:rPr>
          <w:color w:val="auto"/>
          <w:szCs w:val="21"/>
        </w:rPr>
        <w:t>提起行政诉讼，但本决定不停止执行，法律另有规定的除外。逾期不申请行政复议、不提起行政诉讼又不履行的，本机关将依法申请人民法院强制执行</w:t>
      </w:r>
      <w:r>
        <w:rPr>
          <w:rFonts w:hint="eastAsia"/>
          <w:color w:val="auto"/>
          <w:szCs w:val="21"/>
        </w:rPr>
        <w:t>。</w:t>
      </w:r>
    </w:p>
    <w:p>
      <w:pPr>
        <w:spacing w:line="400" w:lineRule="exact"/>
        <w:ind w:firstLine="420" w:firstLineChars="200"/>
        <w:rPr>
          <w:rFonts w:hint="eastAsia"/>
          <w:color w:val="FF0000"/>
          <w:szCs w:val="21"/>
        </w:rPr>
      </w:pPr>
      <w:r>
        <w:rPr>
          <w:color w:val="FF0000"/>
          <w:szCs w:val="21"/>
        </w:rPr>
        <w:t xml:space="preserve">                        </w:t>
      </w:r>
      <w:r>
        <w:rPr>
          <w:rFonts w:hint="eastAsia"/>
          <w:color w:val="FF0000"/>
          <w:szCs w:val="21"/>
        </w:rPr>
        <w:t xml:space="preserve">                </w:t>
      </w:r>
    </w:p>
    <w:p>
      <w:pPr>
        <w:spacing w:line="400" w:lineRule="exact"/>
        <w:ind w:firstLine="420" w:firstLineChars="200"/>
        <w:rPr>
          <w:rFonts w:hint="eastAsia"/>
          <w:color w:val="FF0000"/>
          <w:szCs w:val="21"/>
        </w:rPr>
      </w:pPr>
    </w:p>
    <w:p>
      <w:pPr>
        <w:spacing w:line="400" w:lineRule="exact"/>
        <w:ind w:firstLine="420" w:firstLineChars="200"/>
        <w:rPr>
          <w:rFonts w:hint="eastAsia"/>
          <w:color w:val="FF0000"/>
          <w:szCs w:val="21"/>
        </w:rPr>
      </w:pPr>
    </w:p>
    <w:p>
      <w:pPr>
        <w:spacing w:line="400" w:lineRule="exact"/>
        <w:ind w:firstLine="420" w:firstLineChars="200"/>
        <w:rPr>
          <w:rFonts w:hint="eastAsia"/>
          <w:color w:val="FF0000"/>
          <w:szCs w:val="21"/>
        </w:rPr>
      </w:pPr>
    </w:p>
    <w:p>
      <w:pPr>
        <w:rPr>
          <w:rFonts w:hint="eastAsia" w:eastAsia="宋体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                                     </w:t>
      </w:r>
      <w:r>
        <w:rPr>
          <w:rFonts w:hint="eastAsia" w:eastAsia="宋体"/>
          <w:color w:val="auto"/>
          <w:szCs w:val="21"/>
          <w:lang w:eastAsia="zh-CN"/>
        </w:rPr>
        <w:drawing>
          <wp:inline distT="0" distB="0" distL="114300" distR="114300">
            <wp:extent cx="2113915" cy="1744345"/>
            <wp:effectExtent l="0" t="0" r="635" b="8255"/>
            <wp:docPr id="1" name="图片 1" descr="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2"/>
                    <pic:cNvPicPr>
                      <a:picLocks noChangeAspect="1"/>
                    </pic:cNvPicPr>
                  </pic:nvPicPr>
                  <pic:blipFill>
                    <a:blip r:embed="rId4"/>
                    <a:srcRect l="48307" t="28152" r="23750" b="55078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  <w:bookmarkStart w:id="3" w:name="_GoBack"/>
      <w:bookmarkEnd w:id="3"/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rFonts w:hint="eastAsia"/>
          <w:color w:val="auto"/>
          <w:szCs w:val="21"/>
        </w:rPr>
      </w:pPr>
    </w:p>
    <w:p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（</w:t>
      </w:r>
      <w:r>
        <w:rPr>
          <w:color w:val="auto"/>
          <w:szCs w:val="21"/>
        </w:rPr>
        <w:t>本文书一式</w:t>
      </w:r>
      <w:r>
        <w:rPr>
          <w:rFonts w:hint="eastAsia"/>
          <w:color w:val="auto"/>
          <w:szCs w:val="21"/>
          <w:lang w:eastAsia="zh-CN"/>
        </w:rPr>
        <w:t>三</w:t>
      </w:r>
      <w:r>
        <w:rPr>
          <w:color w:val="auto"/>
          <w:szCs w:val="21"/>
        </w:rPr>
        <w:t>份：一份存根，</w:t>
      </w:r>
      <w:r>
        <w:rPr>
          <w:rFonts w:hint="eastAsia"/>
          <w:color w:val="auto"/>
          <w:szCs w:val="21"/>
          <w:lang w:eastAsia="zh-CN"/>
        </w:rPr>
        <w:t>一份交本局财务室留存，</w:t>
      </w:r>
      <w:r>
        <w:rPr>
          <w:color w:val="auto"/>
          <w:szCs w:val="21"/>
        </w:rPr>
        <w:t>一份交当事人或其代理人。）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22D5"/>
    <w:rsid w:val="6B1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2026-04-16T04:21:00Z</dcterms:created>
  <dc:creator>Administrator</dc:creator>
  <cp:lastModifiedBy>Administrator</cp:lastModifiedBy>
  <dcterms:modified xsi:type="dcterms:W3CDTF">2026-04-16T04:48:32Z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