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kern w:val="0"/>
          <w:szCs w:val="21"/>
        </w:rPr>
      </w:pPr>
      <w:r>
        <w:rPr>
          <w:rFonts w:eastAsia="华文中宋"/>
          <w:b/>
          <w:bCs/>
          <w:color w:val="auto"/>
          <w:sz w:val="36"/>
        </w:rPr>
        <w:t>行政处罚决定书</w:t>
      </w:r>
    </w:p>
    <w:p>
      <w:pPr>
        <w:jc w:val="right"/>
        <w:rPr>
          <w:b/>
          <w:bCs/>
          <w:color w:val="auto"/>
          <w:sz w:val="30"/>
        </w:rPr>
      </w:pPr>
      <w:r>
        <w:rPr>
          <w:color w:val="auto"/>
          <w:kern w:val="0"/>
          <w:szCs w:val="21"/>
        </w:rPr>
        <w:t xml:space="preserve"> 案号：</w:t>
      </w:r>
      <w:r>
        <w:rPr>
          <w:rFonts w:hint="eastAsia"/>
          <w:color w:val="auto"/>
          <w:szCs w:val="21"/>
        </w:rPr>
        <w:t>新塔沙交</w:t>
      </w:r>
      <w:r>
        <w:rPr>
          <w:rFonts w:hint="eastAsia"/>
          <w:color w:val="auto"/>
          <w:szCs w:val="21"/>
          <w:lang w:eastAsia="zh-CN"/>
        </w:rPr>
        <w:t>执运政</w:t>
      </w:r>
      <w:r>
        <w:rPr>
          <w:rFonts w:hint="eastAsia" w:ascii="楷体_GB2312" w:hAnsi="楷体_GB2312" w:eastAsia="楷体_GB2312" w:cs="楷体_GB2312"/>
          <w:color w:val="auto"/>
          <w:szCs w:val="21"/>
          <w:lang w:eastAsia="zh-CN"/>
        </w:rPr>
        <w:t>〔</w:t>
      </w:r>
      <w:r>
        <w:rPr>
          <w:rFonts w:hint="eastAsia"/>
          <w:color w:val="auto"/>
          <w:szCs w:val="21"/>
        </w:rPr>
        <w:t>202</w:t>
      </w:r>
      <w:r>
        <w:rPr>
          <w:rFonts w:hint="eastAsia"/>
          <w:color w:val="auto"/>
          <w:szCs w:val="21"/>
          <w:lang w:val="en-US" w:eastAsia="zh-CN"/>
        </w:rPr>
        <w:t>6</w:t>
      </w:r>
      <w:r>
        <w:rPr>
          <w:rFonts w:hint="eastAsia" w:ascii="楷体_GB2312" w:hAnsi="楷体_GB2312" w:eastAsia="楷体_GB2312" w:cs="楷体_GB2312"/>
          <w:color w:val="auto"/>
          <w:szCs w:val="21"/>
        </w:rPr>
        <w:t>〕</w:t>
      </w:r>
      <w:r>
        <w:rPr>
          <w:rFonts w:hint="eastAsia"/>
          <w:color w:val="auto"/>
          <w:szCs w:val="21"/>
        </w:rPr>
        <w:t>00</w:t>
      </w:r>
      <w:r>
        <w:rPr>
          <w:rFonts w:hint="eastAsia"/>
          <w:color w:val="auto"/>
          <w:szCs w:val="21"/>
          <w:lang w:val="en-US" w:eastAsia="zh-CN"/>
        </w:rPr>
        <w:t>18</w:t>
      </w:r>
      <w:r>
        <w:rPr>
          <w:rFonts w:hint="eastAsia"/>
          <w:color w:val="auto"/>
          <w:szCs w:val="21"/>
        </w:rPr>
        <w:t>号</w:t>
      </w:r>
    </w:p>
    <w:tbl>
      <w:tblPr>
        <w:tblStyle w:val="2"/>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287"/>
        <w:gridCol w:w="934"/>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5" w:hRule="exact"/>
        </w:trPr>
        <w:tc>
          <w:tcPr>
            <w:tcW w:w="433" w:type="dxa"/>
            <w:vMerge w:val="restart"/>
            <w:noWrap/>
            <w:vAlign w:val="center"/>
          </w:tcPr>
          <w:p>
            <w:pPr>
              <w:jc w:val="center"/>
              <w:rPr>
                <w:color w:val="auto"/>
                <w:szCs w:val="21"/>
              </w:rPr>
            </w:pPr>
            <w:r>
              <w:rPr>
                <w:color w:val="auto"/>
                <w:szCs w:val="21"/>
              </w:rPr>
              <w:t>当事人</w:t>
            </w:r>
          </w:p>
        </w:tc>
        <w:tc>
          <w:tcPr>
            <w:tcW w:w="1103" w:type="dxa"/>
            <w:vMerge w:val="restart"/>
            <w:noWrap/>
            <w:vAlign w:val="center"/>
          </w:tcPr>
          <w:p>
            <w:pPr>
              <w:jc w:val="center"/>
              <w:rPr>
                <w:color w:val="auto"/>
                <w:szCs w:val="21"/>
              </w:rPr>
            </w:pPr>
            <w:r>
              <w:rPr>
                <w:color w:val="auto"/>
                <w:szCs w:val="21"/>
              </w:rPr>
              <w:t>个人</w:t>
            </w:r>
          </w:p>
        </w:tc>
        <w:tc>
          <w:tcPr>
            <w:tcW w:w="1195" w:type="dxa"/>
            <w:noWrap/>
            <w:vAlign w:val="center"/>
          </w:tcPr>
          <w:p>
            <w:pPr>
              <w:rPr>
                <w:color w:val="auto"/>
                <w:szCs w:val="21"/>
              </w:rPr>
            </w:pPr>
            <w:r>
              <w:rPr>
                <w:color w:val="auto"/>
                <w:szCs w:val="21"/>
              </w:rPr>
              <w:t xml:space="preserve"> 姓 　 名</w:t>
            </w:r>
          </w:p>
        </w:tc>
        <w:tc>
          <w:tcPr>
            <w:tcW w:w="2221" w:type="dxa"/>
            <w:gridSpan w:val="2"/>
            <w:noWrap/>
            <w:vAlign w:val="center"/>
          </w:tcPr>
          <w:p>
            <w:pPr>
              <w:jc w:val="center"/>
              <w:rPr>
                <w:rFonts w:ascii="Calibri" w:hAnsi="Calibri" w:eastAsia="宋体" w:cs="Times New Roman"/>
                <w:color w:val="auto"/>
                <w:kern w:val="2"/>
                <w:sz w:val="21"/>
                <w:szCs w:val="21"/>
                <w:lang w:val="en-US" w:eastAsia="zh-CN" w:bidi="ar-SA"/>
              </w:rPr>
            </w:pPr>
            <w:r>
              <w:rPr>
                <w:rFonts w:hint="eastAsia"/>
                <w:color w:val="auto"/>
                <w:szCs w:val="21"/>
              </w:rPr>
              <w:t>/</w:t>
            </w:r>
          </w:p>
        </w:tc>
        <w:tc>
          <w:tcPr>
            <w:tcW w:w="1366" w:type="dxa"/>
            <w:noWrap/>
            <w:vAlign w:val="center"/>
          </w:tcPr>
          <w:p>
            <w:pPr>
              <w:jc w:val="center"/>
              <w:rPr>
                <w:color w:val="auto"/>
                <w:szCs w:val="21"/>
              </w:rPr>
            </w:pPr>
            <w:r>
              <w:rPr>
                <w:color w:val="auto"/>
                <w:szCs w:val="21"/>
              </w:rPr>
              <w:t>身份证件号</w:t>
            </w:r>
          </w:p>
        </w:tc>
        <w:tc>
          <w:tcPr>
            <w:tcW w:w="1982" w:type="dxa"/>
            <w:noWrap/>
            <w:vAlign w:val="center"/>
          </w:tcPr>
          <w:p>
            <w:pPr>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33" w:type="dxa"/>
            <w:vMerge w:val="continue"/>
            <w:noWrap/>
            <w:vAlign w:val="center"/>
          </w:tcPr>
          <w:p>
            <w:pPr>
              <w:jc w:val="center"/>
              <w:rPr>
                <w:color w:val="auto"/>
                <w:szCs w:val="21"/>
              </w:rPr>
            </w:pPr>
          </w:p>
        </w:tc>
        <w:tc>
          <w:tcPr>
            <w:tcW w:w="1103" w:type="dxa"/>
            <w:vMerge w:val="continue"/>
            <w:noWrap/>
            <w:vAlign w:val="center"/>
          </w:tcPr>
          <w:p>
            <w:pPr>
              <w:rPr>
                <w:color w:val="auto"/>
                <w:spacing w:val="-20"/>
                <w:szCs w:val="21"/>
              </w:rPr>
            </w:pPr>
          </w:p>
        </w:tc>
        <w:tc>
          <w:tcPr>
            <w:tcW w:w="1195" w:type="dxa"/>
            <w:noWrap/>
            <w:vAlign w:val="center"/>
          </w:tcPr>
          <w:p>
            <w:pPr>
              <w:rPr>
                <w:color w:val="auto"/>
                <w:szCs w:val="21"/>
              </w:rPr>
            </w:pPr>
            <w:r>
              <w:rPr>
                <w:color w:val="auto"/>
                <w:szCs w:val="21"/>
              </w:rPr>
              <w:t xml:space="preserve"> 住 　 址</w:t>
            </w:r>
          </w:p>
        </w:tc>
        <w:tc>
          <w:tcPr>
            <w:tcW w:w="2221" w:type="dxa"/>
            <w:gridSpan w:val="2"/>
            <w:noWrap/>
            <w:vAlign w:val="center"/>
          </w:tcPr>
          <w:p>
            <w:pPr>
              <w:jc w:val="center"/>
              <w:rPr>
                <w:rFonts w:ascii="Calibri" w:hAnsi="Calibri" w:eastAsia="宋体" w:cs="Times New Roman"/>
                <w:color w:val="auto"/>
                <w:kern w:val="2"/>
                <w:sz w:val="21"/>
                <w:szCs w:val="21"/>
                <w:lang w:val="en-US" w:eastAsia="zh-CN" w:bidi="ar-SA"/>
              </w:rPr>
            </w:pPr>
            <w:r>
              <w:rPr>
                <w:rFonts w:hint="eastAsia"/>
                <w:color w:val="auto"/>
                <w:szCs w:val="21"/>
              </w:rPr>
              <w:t>/</w:t>
            </w:r>
          </w:p>
        </w:tc>
        <w:tc>
          <w:tcPr>
            <w:tcW w:w="1366" w:type="dxa"/>
            <w:noWrap/>
            <w:vAlign w:val="center"/>
          </w:tcPr>
          <w:p>
            <w:pPr>
              <w:rPr>
                <w:color w:val="auto"/>
                <w:szCs w:val="21"/>
              </w:rPr>
            </w:pPr>
            <w:r>
              <w:rPr>
                <w:color w:val="auto"/>
                <w:szCs w:val="21"/>
              </w:rPr>
              <w:t>联系电话</w:t>
            </w:r>
          </w:p>
        </w:tc>
        <w:tc>
          <w:tcPr>
            <w:tcW w:w="1982" w:type="dxa"/>
            <w:noWrap/>
            <w:vAlign w:val="center"/>
          </w:tcPr>
          <w:p>
            <w:pPr>
              <w:tabs>
                <w:tab w:val="left" w:pos="577"/>
              </w:tabs>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1" w:hRule="exact"/>
        </w:trPr>
        <w:tc>
          <w:tcPr>
            <w:tcW w:w="433" w:type="dxa"/>
            <w:vMerge w:val="continue"/>
            <w:noWrap/>
            <w:vAlign w:val="center"/>
          </w:tcPr>
          <w:p>
            <w:pPr>
              <w:jc w:val="center"/>
              <w:rPr>
                <w:color w:val="auto"/>
                <w:szCs w:val="21"/>
              </w:rPr>
            </w:pPr>
          </w:p>
        </w:tc>
        <w:tc>
          <w:tcPr>
            <w:tcW w:w="1103" w:type="dxa"/>
            <w:vMerge w:val="restart"/>
            <w:noWrap/>
            <w:vAlign w:val="center"/>
          </w:tcPr>
          <w:p>
            <w:pPr>
              <w:jc w:val="center"/>
              <w:rPr>
                <w:color w:val="auto"/>
                <w:szCs w:val="21"/>
              </w:rPr>
            </w:pPr>
            <w:r>
              <w:rPr>
                <w:color w:val="auto"/>
                <w:spacing w:val="-20"/>
                <w:szCs w:val="21"/>
              </w:rPr>
              <w:t>单位</w:t>
            </w:r>
          </w:p>
        </w:tc>
        <w:tc>
          <w:tcPr>
            <w:tcW w:w="1195" w:type="dxa"/>
            <w:noWrap/>
            <w:vAlign w:val="center"/>
          </w:tcPr>
          <w:p>
            <w:pPr>
              <w:rPr>
                <w:color w:val="auto"/>
                <w:szCs w:val="21"/>
              </w:rPr>
            </w:pPr>
            <w:r>
              <w:rPr>
                <w:color w:val="auto"/>
                <w:szCs w:val="21"/>
              </w:rPr>
              <w:t xml:space="preserve"> 名 　 称</w:t>
            </w:r>
          </w:p>
        </w:tc>
        <w:tc>
          <w:tcPr>
            <w:tcW w:w="5569" w:type="dxa"/>
            <w:gridSpan w:val="4"/>
            <w:noWrap/>
            <w:vAlign w:val="center"/>
          </w:tcPr>
          <w:p>
            <w:pPr>
              <w:rPr>
                <w:color w:val="auto"/>
                <w:szCs w:val="21"/>
              </w:rPr>
            </w:pPr>
            <w:r>
              <w:rPr>
                <w:rFonts w:hint="eastAsia" w:hAnsi="宋体" w:cs="宋体"/>
                <w:u w:val="none"/>
                <w:lang w:eastAsia="zh-CN"/>
              </w:rPr>
              <w:t>玛纳斯县昊亮新型节能材料有限公司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433" w:type="dxa"/>
            <w:vMerge w:val="continue"/>
            <w:noWrap/>
            <w:vAlign w:val="center"/>
          </w:tcPr>
          <w:p>
            <w:pPr>
              <w:jc w:val="center"/>
              <w:rPr>
                <w:color w:val="auto"/>
                <w:szCs w:val="21"/>
              </w:rPr>
            </w:pPr>
          </w:p>
        </w:tc>
        <w:tc>
          <w:tcPr>
            <w:tcW w:w="1103" w:type="dxa"/>
            <w:vMerge w:val="continue"/>
            <w:noWrap/>
            <w:vAlign w:val="center"/>
          </w:tcPr>
          <w:p>
            <w:pPr>
              <w:jc w:val="center"/>
              <w:rPr>
                <w:color w:val="auto"/>
                <w:szCs w:val="21"/>
              </w:rPr>
            </w:pPr>
          </w:p>
        </w:tc>
        <w:tc>
          <w:tcPr>
            <w:tcW w:w="1195" w:type="dxa"/>
            <w:noWrap/>
            <w:vAlign w:val="center"/>
          </w:tcPr>
          <w:p>
            <w:pPr>
              <w:rPr>
                <w:color w:val="auto"/>
                <w:szCs w:val="21"/>
              </w:rPr>
            </w:pPr>
            <w:r>
              <w:rPr>
                <w:color w:val="auto"/>
                <w:szCs w:val="21"/>
              </w:rPr>
              <w:t xml:space="preserve"> 地　　址</w:t>
            </w:r>
          </w:p>
        </w:tc>
        <w:tc>
          <w:tcPr>
            <w:tcW w:w="5569" w:type="dxa"/>
            <w:gridSpan w:val="4"/>
            <w:noWrap/>
            <w:vAlign w:val="center"/>
          </w:tcPr>
          <w:p>
            <w:pPr>
              <w:rPr>
                <w:color w:val="auto"/>
                <w:szCs w:val="21"/>
              </w:rPr>
            </w:pPr>
            <w:r>
              <w:rPr>
                <w:rFonts w:hint="eastAsia" w:ascii="宋体" w:hAnsi="宋体" w:eastAsia="宋体" w:cs="宋体"/>
                <w:color w:val="auto"/>
                <w:sz w:val="21"/>
                <w:szCs w:val="21"/>
              </w:rPr>
              <w:t>新疆昌吉州玛纳斯县乐土驿变电所西500米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exact"/>
        </w:trPr>
        <w:tc>
          <w:tcPr>
            <w:tcW w:w="433" w:type="dxa"/>
            <w:vMerge w:val="continue"/>
            <w:noWrap/>
            <w:vAlign w:val="center"/>
          </w:tcPr>
          <w:p>
            <w:pPr>
              <w:jc w:val="center"/>
              <w:rPr>
                <w:color w:val="auto"/>
                <w:szCs w:val="21"/>
              </w:rPr>
            </w:pPr>
          </w:p>
        </w:tc>
        <w:tc>
          <w:tcPr>
            <w:tcW w:w="1103" w:type="dxa"/>
            <w:vMerge w:val="continue"/>
            <w:noWrap/>
            <w:vAlign w:val="center"/>
          </w:tcPr>
          <w:p>
            <w:pPr>
              <w:rPr>
                <w:color w:val="auto"/>
                <w:szCs w:val="21"/>
              </w:rPr>
            </w:pPr>
          </w:p>
        </w:tc>
        <w:tc>
          <w:tcPr>
            <w:tcW w:w="1195" w:type="dxa"/>
            <w:noWrap/>
            <w:vAlign w:val="center"/>
          </w:tcPr>
          <w:p>
            <w:pPr>
              <w:rPr>
                <w:color w:val="auto"/>
                <w:szCs w:val="21"/>
              </w:rPr>
            </w:pPr>
            <w:r>
              <w:rPr>
                <w:color w:val="auto"/>
                <w:szCs w:val="21"/>
              </w:rPr>
              <w:t xml:space="preserve"> 联系电话</w:t>
            </w:r>
          </w:p>
        </w:tc>
        <w:tc>
          <w:tcPr>
            <w:tcW w:w="2221" w:type="dxa"/>
            <w:gridSpan w:val="2"/>
            <w:noWrap/>
            <w:vAlign w:val="center"/>
          </w:tcPr>
          <w:p>
            <w:pPr>
              <w:rPr>
                <w:rFonts w:hint="default" w:eastAsia="宋体"/>
                <w:color w:val="auto"/>
                <w:szCs w:val="21"/>
                <w:lang w:val="en-US" w:eastAsia="zh-CN"/>
              </w:rPr>
            </w:pPr>
            <w:r>
              <w:rPr>
                <w:rFonts w:hint="eastAsia" w:ascii="宋体" w:hAnsi="宋体" w:eastAsia="宋体" w:cs="宋体"/>
                <w:color w:val="auto"/>
                <w:sz w:val="21"/>
                <w:szCs w:val="21"/>
              </w:rPr>
              <w:t>135</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0776</w:t>
            </w:r>
          </w:p>
        </w:tc>
        <w:tc>
          <w:tcPr>
            <w:tcW w:w="1366" w:type="dxa"/>
            <w:noWrap/>
            <w:vAlign w:val="center"/>
          </w:tcPr>
          <w:p>
            <w:pPr>
              <w:rPr>
                <w:color w:val="auto"/>
                <w:szCs w:val="21"/>
              </w:rPr>
            </w:pPr>
            <w:r>
              <w:rPr>
                <w:color w:val="auto"/>
                <w:szCs w:val="21"/>
              </w:rPr>
              <w:t xml:space="preserve"> 法定代表人</w:t>
            </w:r>
          </w:p>
        </w:tc>
        <w:tc>
          <w:tcPr>
            <w:tcW w:w="1982" w:type="dxa"/>
            <w:noWrap/>
            <w:vAlign w:val="center"/>
          </w:tcPr>
          <w:p>
            <w:pPr>
              <w:rPr>
                <w:color w:val="auto"/>
                <w:szCs w:val="21"/>
              </w:rPr>
            </w:pPr>
            <w:r>
              <w:rPr>
                <w:rFonts w:hint="eastAsia" w:ascii="宋体" w:hAnsi="宋体" w:eastAsia="宋体" w:cs="宋体"/>
                <w:color w:val="auto"/>
                <w:sz w:val="21"/>
                <w:szCs w:val="21"/>
              </w:rPr>
              <w:t>杨国发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5" w:hRule="exact"/>
        </w:trPr>
        <w:tc>
          <w:tcPr>
            <w:tcW w:w="433" w:type="dxa"/>
            <w:vMerge w:val="continue"/>
            <w:noWrap/>
            <w:vAlign w:val="center"/>
          </w:tcPr>
          <w:p>
            <w:pPr>
              <w:jc w:val="center"/>
              <w:rPr>
                <w:color w:val="auto"/>
                <w:szCs w:val="21"/>
              </w:rPr>
            </w:pPr>
          </w:p>
        </w:tc>
        <w:tc>
          <w:tcPr>
            <w:tcW w:w="1103" w:type="dxa"/>
            <w:vMerge w:val="continue"/>
            <w:noWrap/>
            <w:vAlign w:val="center"/>
          </w:tcPr>
          <w:p>
            <w:pPr>
              <w:rPr>
                <w:color w:val="auto"/>
                <w:szCs w:val="21"/>
              </w:rPr>
            </w:pPr>
          </w:p>
        </w:tc>
        <w:tc>
          <w:tcPr>
            <w:tcW w:w="2482" w:type="dxa"/>
            <w:gridSpan w:val="2"/>
            <w:noWrap/>
            <w:vAlign w:val="center"/>
          </w:tcPr>
          <w:p>
            <w:pPr>
              <w:rPr>
                <w:color w:val="auto"/>
                <w:szCs w:val="21"/>
              </w:rPr>
            </w:pPr>
            <w:r>
              <w:rPr>
                <w:color w:val="auto"/>
                <w:szCs w:val="21"/>
              </w:rPr>
              <w:t xml:space="preserve"> 统一社会信用代码</w:t>
            </w:r>
          </w:p>
        </w:tc>
        <w:tc>
          <w:tcPr>
            <w:tcW w:w="4282" w:type="dxa"/>
            <w:gridSpan w:val="3"/>
            <w:noWrap/>
            <w:vAlign w:val="center"/>
          </w:tcPr>
          <w:p>
            <w:pPr>
              <w:jc w:val="left"/>
              <w:rPr>
                <w:color w:val="auto"/>
                <w:szCs w:val="21"/>
              </w:rPr>
            </w:pPr>
            <w:r>
              <w:rPr>
                <w:rFonts w:hint="eastAsia" w:ascii="宋体" w:hAnsi="宋体" w:eastAsia="宋体" w:cs="宋体"/>
                <w:color w:val="auto"/>
                <w:sz w:val="21"/>
                <w:szCs w:val="21"/>
              </w:rPr>
              <w:t>9165232457624178X3</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szCs w:val="21"/>
          <w:u w:val="single"/>
        </w:rPr>
      </w:pPr>
      <w:r>
        <w:rPr>
          <w:color w:val="auto"/>
          <w:szCs w:val="21"/>
        </w:rPr>
        <w:t>违法事实及证据：</w:t>
      </w:r>
      <w:bookmarkStart w:id="0" w:name="OLE_LINK124"/>
      <w:r>
        <w:rPr>
          <w:color w:val="auto"/>
          <w:szCs w:val="21"/>
          <w:u w:val="single"/>
        </w:rPr>
        <w:t>2026</w:t>
      </w:r>
      <w:r>
        <w:rPr>
          <w:rFonts w:hint="default"/>
          <w:color w:val="auto"/>
          <w:szCs w:val="21"/>
          <w:u w:val="single"/>
        </w:rPr>
        <w:t>年4月7日11时50分，沙湾市交通运输局执法人员在沙湾市兴泰公安检查站检查发现：王佳文驾驶新B68</w:t>
      </w:r>
      <w:r>
        <w:rPr>
          <w:rFonts w:hint="eastAsia"/>
          <w:color w:val="auto"/>
          <w:szCs w:val="21"/>
          <w:u w:val="single"/>
          <w:lang w:val="en-US" w:eastAsia="zh-CN"/>
        </w:rPr>
        <w:t>***</w:t>
      </w:r>
      <w:r>
        <w:rPr>
          <w:rFonts w:hint="default"/>
          <w:color w:val="auto"/>
          <w:szCs w:val="21"/>
          <w:u w:val="single"/>
        </w:rPr>
        <w:t>（黄底黑字）号重型特殊结构货车从沙湾市天运通源有限责任公司承运7方混凝土到沙湾市安集海镇安集海村，从事道路普通货物运输。经查，该车辆未取得《道路运输证》，玛纳斯县昊亮新型节能材料有限公司取得道路货物运输经营许可的道路货物运输经营者使用无《道路运输证》的车辆参加普通货物运输案。</w:t>
      </w:r>
      <w:r>
        <w:rPr>
          <w:rFonts w:hint="eastAsia"/>
          <w:color w:val="auto"/>
          <w:szCs w:val="21"/>
          <w:u w:val="single"/>
          <w:lang w:val="en-US" w:eastAsia="zh-CN"/>
        </w:rPr>
        <w:t>执法人员通过现场询问，对当事人的询问，调取相关资料等证据予以佐证证实。</w:t>
      </w:r>
      <w:r>
        <w:rPr>
          <w:rFonts w:hint="eastAsia"/>
          <w:color w:val="auto"/>
          <w:szCs w:val="21"/>
          <w:u w:val="single"/>
          <w:lang w:eastAsia="zh-CN"/>
        </w:rPr>
        <w:t>当事人收到</w:t>
      </w:r>
      <w:r>
        <w:rPr>
          <w:rFonts w:hint="eastAsia"/>
          <w:color w:val="auto"/>
          <w:szCs w:val="21"/>
          <w:u w:val="single"/>
        </w:rPr>
        <w:t>《违法行为通知书》</w:t>
      </w:r>
      <w:r>
        <w:rPr>
          <w:rFonts w:hint="eastAsia"/>
          <w:color w:val="auto"/>
          <w:szCs w:val="21"/>
          <w:u w:val="single"/>
          <w:lang w:eastAsia="zh-CN"/>
        </w:rPr>
        <w:t>后主动放弃</w:t>
      </w:r>
      <w:r>
        <w:rPr>
          <w:rFonts w:hint="eastAsia"/>
          <w:color w:val="auto"/>
          <w:szCs w:val="21"/>
          <w:u w:val="single"/>
        </w:rPr>
        <w:t>陈述、申辩</w:t>
      </w:r>
      <w:r>
        <w:rPr>
          <w:rFonts w:hint="eastAsia"/>
          <w:color w:val="auto"/>
          <w:szCs w:val="21"/>
          <w:u w:val="single"/>
          <w:lang w:eastAsia="zh-CN"/>
        </w:rPr>
        <w:t>及</w:t>
      </w:r>
      <w:r>
        <w:rPr>
          <w:rFonts w:hint="eastAsia"/>
          <w:color w:val="auto"/>
          <w:szCs w:val="21"/>
          <w:u w:val="single"/>
        </w:rPr>
        <w:t>听证</w:t>
      </w:r>
      <w:r>
        <w:rPr>
          <w:rFonts w:hint="eastAsia"/>
          <w:color w:val="auto"/>
          <w:szCs w:val="21"/>
          <w:u w:val="single"/>
          <w:lang w:eastAsia="zh-CN"/>
        </w:rPr>
        <w:t>的权利</w:t>
      </w:r>
      <w:r>
        <w:rPr>
          <w:rFonts w:hint="eastAsia"/>
          <w:color w:val="auto"/>
          <w:szCs w:val="21"/>
          <w:u w:val="single"/>
        </w:rPr>
        <w:t>。</w:t>
      </w:r>
      <w:bookmarkEnd w:id="0"/>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szCs w:val="21"/>
          <w:lang w:eastAsia="zh-CN"/>
        </w:rPr>
      </w:pPr>
      <w:r>
        <w:rPr>
          <w:color w:val="auto"/>
          <w:szCs w:val="21"/>
        </w:rPr>
        <w:t>你（单位）的行为违反了</w:t>
      </w:r>
      <w:r>
        <w:rPr>
          <w:rFonts w:hint="eastAsia" w:ascii="宋体" w:hAnsi="宋体" w:eastAsia="宋体" w:cs="宋体"/>
          <w:color w:val="auto"/>
          <w:kern w:val="2"/>
          <w:sz w:val="21"/>
          <w:szCs w:val="21"/>
          <w:u w:val="single"/>
          <w:lang w:val="en-US" w:eastAsia="zh-CN" w:bidi="ar-SA"/>
        </w:rPr>
        <w:t>《</w:t>
      </w:r>
      <w:r>
        <w:rPr>
          <w:rFonts w:hint="eastAsia" w:cs="宋体"/>
          <w:color w:val="auto"/>
          <w:kern w:val="2"/>
          <w:sz w:val="21"/>
          <w:szCs w:val="21"/>
          <w:u w:val="single"/>
          <w:lang w:val="en-US" w:eastAsia="zh-CN" w:bidi="ar-SA"/>
        </w:rPr>
        <w:t>道路货物运输及站场管理规定》第十四条“</w:t>
      </w:r>
      <w:r>
        <w:rPr>
          <w:rFonts w:hint="eastAsia" w:cs="宋体"/>
          <w:color w:val="auto"/>
          <w:sz w:val="21"/>
          <w:szCs w:val="21"/>
          <w:u w:val="single"/>
          <w:lang w:eastAsia="zh-CN"/>
        </w:rPr>
        <w:t>被许可人应当按照承诺书的要求投入运输车辆。购置车辆或者已有车辆经交通运输主管部门核实并符合条件的，交通运输主管部门向投入运输的车辆配发《道路运输证》。</w:t>
      </w:r>
      <w:r>
        <w:rPr>
          <w:rFonts w:hint="eastAsia" w:asciiTheme="majorEastAsia" w:hAnsiTheme="majorEastAsia" w:eastAsiaTheme="majorEastAsia"/>
          <w:color w:val="auto"/>
          <w:sz w:val="21"/>
          <w:szCs w:val="21"/>
          <w:u w:val="single"/>
        </w:rPr>
        <w:t>”</w:t>
      </w:r>
      <w:r>
        <w:rPr>
          <w:rFonts w:hint="eastAsia" w:hAnsi="宋体"/>
          <w:color w:val="auto"/>
          <w:szCs w:val="21"/>
        </w:rPr>
        <w:t>的规定</w:t>
      </w:r>
      <w:r>
        <w:rPr>
          <w:rFonts w:hint="eastAsia"/>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szCs w:val="21"/>
        </w:rPr>
      </w:pPr>
      <w:r>
        <w:rPr>
          <w:rFonts w:hint="eastAsia" w:hAnsi="宋体"/>
          <w:color w:val="auto"/>
          <w:szCs w:val="21"/>
        </w:rPr>
        <w:t>依据</w:t>
      </w:r>
      <w:r>
        <w:rPr>
          <w:rFonts w:hint="eastAsia" w:ascii="Calibri" w:hAnsi="宋体" w:eastAsia="宋体" w:cs="Times New Roman"/>
          <w:color w:val="auto"/>
          <w:kern w:val="2"/>
          <w:sz w:val="21"/>
          <w:szCs w:val="21"/>
          <w:u w:val="single"/>
          <w:lang w:val="en-US" w:eastAsia="zh-CN" w:bidi="ar-SA"/>
        </w:rPr>
        <w:t>《</w:t>
      </w:r>
      <w:r>
        <w:rPr>
          <w:rFonts w:hint="eastAsia" w:cs="宋体"/>
          <w:color w:val="auto"/>
          <w:kern w:val="2"/>
          <w:sz w:val="21"/>
          <w:szCs w:val="21"/>
          <w:u w:val="single"/>
          <w:lang w:val="en-US" w:eastAsia="zh-CN" w:bidi="ar-SA"/>
        </w:rPr>
        <w:t>道路货物运输及站场管理规定</w:t>
      </w:r>
      <w:r>
        <w:rPr>
          <w:rFonts w:hint="eastAsia" w:ascii="Calibri" w:hAnsi="宋体" w:eastAsia="宋体" w:cs="Times New Roman"/>
          <w:color w:val="auto"/>
          <w:kern w:val="2"/>
          <w:sz w:val="21"/>
          <w:szCs w:val="21"/>
          <w:u w:val="single"/>
          <w:lang w:val="en-US" w:eastAsia="zh-CN" w:bidi="ar-SA"/>
        </w:rPr>
        <w:t>》第</w:t>
      </w:r>
      <w:r>
        <w:rPr>
          <w:rFonts w:hint="eastAsia" w:ascii="Calibri" w:cs="Times New Roman"/>
          <w:color w:val="auto"/>
          <w:kern w:val="2"/>
          <w:sz w:val="21"/>
          <w:szCs w:val="21"/>
          <w:u w:val="single"/>
          <w:lang w:val="en-US" w:eastAsia="zh-CN" w:bidi="ar-SA"/>
        </w:rPr>
        <w:t>六十三条第一款</w:t>
      </w:r>
      <w:bookmarkStart w:id="1" w:name="OLE_LINK13"/>
      <w:r>
        <w:rPr>
          <w:rFonts w:hint="eastAsia" w:ascii="Calibri" w:cs="Times New Roman"/>
          <w:color w:val="auto"/>
          <w:kern w:val="2"/>
          <w:sz w:val="21"/>
          <w:szCs w:val="21"/>
          <w:u w:val="single"/>
          <w:lang w:val="en-US" w:eastAsia="zh-CN" w:bidi="ar-SA"/>
        </w:rPr>
        <w:t>“</w:t>
      </w:r>
      <w:r>
        <w:rPr>
          <w:rFonts w:hint="eastAsia" w:cs="宋体"/>
          <w:color w:val="auto"/>
          <w:kern w:val="2"/>
          <w:sz w:val="21"/>
          <w:szCs w:val="21"/>
          <w:u w:val="single"/>
          <w:lang w:val="en-US" w:eastAsia="zh-CN" w:bidi="ar-SA"/>
        </w:rPr>
        <w:t>违反本规定，取得道路货物运输经营许可的道路货物运输经营者使用无《道路运输证》的车辆参加普通货物运输的，由交通运输主管部门责令改正，处1000元以上3000元以下的罚款。</w:t>
      </w:r>
      <w:r>
        <w:rPr>
          <w:rFonts w:hint="eastAsia" w:ascii="Calibri" w:cs="Times New Roman"/>
          <w:color w:val="auto"/>
          <w:kern w:val="2"/>
          <w:sz w:val="21"/>
          <w:szCs w:val="21"/>
          <w:u w:val="single"/>
          <w:lang w:val="en-US" w:eastAsia="zh-CN" w:bidi="ar-SA"/>
        </w:rPr>
        <w:t>”参照《新疆维吾尔自治区  新疆生产建设兵团交通运输行政处罚裁量基准》（2025年10月1日起施行）第81项中一般违法情节“第一次被查处，不符合轻微免罚情节的，处1000元的罚款”</w:t>
      </w:r>
      <w:bookmarkEnd w:id="1"/>
      <w:r>
        <w:rPr>
          <w:rFonts w:hint="eastAsia" w:hAnsi="宋体"/>
          <w:color w:val="auto"/>
          <w:szCs w:val="21"/>
        </w:rPr>
        <w:t>规定，决定给予</w:t>
      </w:r>
      <w:r>
        <w:rPr>
          <w:rFonts w:hint="eastAsia" w:hAnsi="宋体"/>
          <w:color w:val="auto"/>
          <w:szCs w:val="21"/>
          <w:u w:val="single"/>
          <w:lang w:eastAsia="zh-CN"/>
        </w:rPr>
        <w:t>壹仟</w:t>
      </w:r>
      <w:r>
        <w:rPr>
          <w:rFonts w:hint="eastAsia" w:hAnsi="宋体"/>
          <w:color w:val="auto"/>
          <w:szCs w:val="21"/>
          <w:u w:val="single"/>
        </w:rPr>
        <w:t>元整（</w:t>
      </w:r>
      <w:r>
        <w:rPr>
          <w:rFonts w:hint="default" w:ascii="Arial" w:hAnsi="Arial" w:cs="Arial"/>
          <w:color w:val="auto"/>
          <w:szCs w:val="21"/>
          <w:u w:val="single"/>
        </w:rPr>
        <w:t>¥</w:t>
      </w:r>
      <w:r>
        <w:rPr>
          <w:rFonts w:hint="eastAsia" w:hAnsi="宋体"/>
          <w:color w:val="auto"/>
          <w:szCs w:val="21"/>
          <w:u w:val="single"/>
          <w:lang w:val="en-US" w:eastAsia="zh-CN"/>
        </w:rPr>
        <w:t>1</w:t>
      </w:r>
      <w:r>
        <w:rPr>
          <w:rFonts w:hAnsi="宋体"/>
          <w:color w:val="auto"/>
          <w:szCs w:val="21"/>
          <w:u w:val="single"/>
        </w:rPr>
        <w:t>000.00</w:t>
      </w:r>
      <w:r>
        <w:rPr>
          <w:rFonts w:hint="eastAsia" w:hAnsi="宋体"/>
          <w:color w:val="auto"/>
          <w:szCs w:val="21"/>
          <w:u w:val="single"/>
          <w:lang w:eastAsia="zh-CN"/>
        </w:rPr>
        <w:t>元</w:t>
      </w:r>
      <w:r>
        <w:rPr>
          <w:rFonts w:hint="eastAsia" w:hAnsi="宋体"/>
          <w:color w:val="auto"/>
          <w:szCs w:val="21"/>
          <w:u w:val="single"/>
        </w:rPr>
        <w:t>）</w:t>
      </w:r>
      <w:r>
        <w:rPr>
          <w:rFonts w:hint="eastAsia" w:hAnsi="宋体"/>
          <w:color w:val="auto"/>
          <w:szCs w:val="21"/>
          <w:u w:val="single"/>
          <w:lang w:eastAsia="zh-CN"/>
        </w:rPr>
        <w:t>罚款</w:t>
      </w:r>
      <w:r>
        <w:rPr>
          <w:rFonts w:hint="eastAsia" w:hAnsi="宋体"/>
          <w:color w:val="auto"/>
          <w:szCs w:val="21"/>
        </w:rPr>
        <w:t>的行政处罚。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szCs w:val="21"/>
        </w:rPr>
      </w:pPr>
      <w:r>
        <w:rPr>
          <w:color w:val="auto"/>
          <w:szCs w:val="21"/>
        </w:rPr>
        <w:t>处以罚款的，自收到本决定书之日起十五日内缴至</w:t>
      </w:r>
      <w:r>
        <w:rPr>
          <w:rFonts w:hint="eastAsia"/>
          <w:color w:val="auto"/>
          <w:szCs w:val="21"/>
          <w:u w:val="single"/>
        </w:rPr>
        <w:t>沙湾市农村商业银行</w:t>
      </w:r>
      <w:r>
        <w:rPr>
          <w:color w:val="auto"/>
          <w:szCs w:val="21"/>
        </w:rPr>
        <w:t>，账号</w:t>
      </w:r>
      <w:r>
        <w:rPr>
          <w:rFonts w:hint="eastAsia"/>
          <w:color w:val="auto"/>
          <w:szCs w:val="21"/>
          <w:u w:val="single"/>
        </w:rPr>
        <w:t>8309010001201200000545</w:t>
      </w:r>
      <w:r>
        <w:rPr>
          <w:color w:val="auto"/>
          <w:szCs w:val="21"/>
        </w:rPr>
        <w:t>，到期不缴纳罚款的，本机关可以每日按罚款数额的百分之三加处罚款，加处罚款的数额不超过罚款本数。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eastAsia="宋体"/>
          <w:color w:val="auto"/>
          <w:szCs w:val="21"/>
          <w:u w:val="single"/>
          <w:lang w:val="en-US" w:eastAsia="zh-CN"/>
        </w:rPr>
      </w:pPr>
      <w:r>
        <w:rPr>
          <w:color w:val="auto"/>
          <w:szCs w:val="21"/>
        </w:rPr>
        <w:t>其他执行方式和期限：</w:t>
      </w:r>
      <w:r>
        <w:rPr>
          <w:rFonts w:hint="eastAsia"/>
          <w:color w:val="auto"/>
          <w:szCs w:val="21"/>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szCs w:val="21"/>
        </w:rPr>
      </w:pPr>
      <w:r>
        <w:rPr>
          <w:color w:val="auto"/>
          <w:szCs w:val="21"/>
        </w:rPr>
        <w:t xml:space="preserve">如果不服本处罚决定，可以在六十日内依法向 </w:t>
      </w:r>
      <w:r>
        <w:rPr>
          <w:rFonts w:hint="eastAsia"/>
          <w:color w:val="auto"/>
          <w:szCs w:val="21"/>
          <w:u w:val="single"/>
        </w:rPr>
        <w:t>沙湾市人民政府</w:t>
      </w:r>
      <w:r>
        <w:rPr>
          <w:color w:val="auto"/>
          <w:szCs w:val="21"/>
        </w:rPr>
        <w:t>申请行政复议，或者在六个月内依法向</w:t>
      </w:r>
      <w:r>
        <w:rPr>
          <w:rFonts w:hint="eastAsia"/>
          <w:color w:val="auto"/>
          <w:szCs w:val="21"/>
          <w:u w:val="single"/>
          <w:lang w:eastAsia="zh-CN"/>
        </w:rPr>
        <w:t>沙湾市</w:t>
      </w:r>
      <w:r>
        <w:rPr>
          <w:color w:val="auto"/>
          <w:szCs w:val="21"/>
          <w:u w:val="single"/>
        </w:rPr>
        <w:t>人民法院</w:t>
      </w:r>
      <w:r>
        <w:rPr>
          <w:color w:val="auto"/>
          <w:szCs w:val="21"/>
        </w:rPr>
        <w:t>提起行政诉讼，但本决定不停止执行，法律另有规定的除外。逾期不申请行政复议、不提起行政诉讼又不履行的，本机关将依法申请人民法院强制执行</w:t>
      </w:r>
      <w:r>
        <w:rPr>
          <w:rFonts w:hint="eastAsia"/>
          <w:color w:val="auto"/>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FF0000"/>
          <w:szCs w:val="21"/>
        </w:rPr>
      </w:pPr>
      <w:r>
        <w:rPr>
          <w:color w:val="FF0000"/>
          <w:szCs w:val="21"/>
        </w:rPr>
        <w:t xml:space="preserve">                        </w:t>
      </w:r>
      <w:r>
        <w:rPr>
          <w:rFonts w:hint="eastAsia"/>
          <w:color w:val="FF0000"/>
          <w:szCs w:val="21"/>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Cs w:val="21"/>
          <w:lang w:eastAsia="zh-CN"/>
        </w:rPr>
      </w:pPr>
      <w:r>
        <w:rPr>
          <w:rFonts w:hint="eastAsia"/>
          <w:color w:val="auto"/>
          <w:szCs w:val="21"/>
          <w:lang w:val="en-US" w:eastAsia="zh-CN"/>
        </w:rPr>
        <w:t xml:space="preserve">                                       </w:t>
      </w:r>
      <w:r>
        <w:rPr>
          <w:rFonts w:hint="eastAsia" w:eastAsia="宋体"/>
          <w:color w:val="auto"/>
          <w:szCs w:val="21"/>
          <w:lang w:eastAsia="zh-CN"/>
        </w:rPr>
        <w:drawing>
          <wp:inline distT="0" distB="0" distL="114300" distR="114300">
            <wp:extent cx="1801495" cy="1607185"/>
            <wp:effectExtent l="0" t="0" r="8255" b="12065"/>
            <wp:docPr id="1" name="图片 1" descr="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18"/>
                    <pic:cNvPicPr>
                      <a:picLocks noChangeAspect="1"/>
                    </pic:cNvPicPr>
                  </pic:nvPicPr>
                  <pic:blipFill>
                    <a:blip r:embed="rId4"/>
                    <a:srcRect l="45030" t="12477" r="28015" b="70034"/>
                    <a:stretch>
                      <a:fillRect/>
                    </a:stretch>
                  </pic:blipFill>
                  <pic:spPr>
                    <a:xfrm>
                      <a:off x="0" y="0"/>
                      <a:ext cx="1801495" cy="16071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color w:val="auto"/>
          <w:szCs w:val="21"/>
          <w:lang w:eastAsia="zh-CN"/>
        </w:rPr>
      </w:pPr>
      <w:r>
        <w:rPr>
          <w:rFonts w:hint="eastAsia"/>
          <w:color w:val="auto"/>
          <w:szCs w:val="21"/>
        </w:rPr>
        <w:t>（</w:t>
      </w:r>
      <w:r>
        <w:rPr>
          <w:color w:val="auto"/>
          <w:szCs w:val="21"/>
        </w:rPr>
        <w:t>本文书一式</w:t>
      </w:r>
      <w:r>
        <w:rPr>
          <w:rFonts w:hint="eastAsia"/>
          <w:color w:val="auto"/>
          <w:szCs w:val="21"/>
          <w:lang w:eastAsia="zh-CN"/>
        </w:rPr>
        <w:t>三</w:t>
      </w:r>
      <w:r>
        <w:rPr>
          <w:color w:val="auto"/>
          <w:szCs w:val="21"/>
        </w:rPr>
        <w:t>份：一份存根，</w:t>
      </w:r>
      <w:r>
        <w:rPr>
          <w:rFonts w:hint="eastAsia"/>
          <w:color w:val="auto"/>
          <w:szCs w:val="21"/>
          <w:lang w:eastAsia="zh-CN"/>
        </w:rPr>
        <w:t>一份交本局财务室留存，</w:t>
      </w:r>
      <w:r>
        <w:rPr>
          <w:color w:val="auto"/>
          <w:szCs w:val="21"/>
        </w:rPr>
        <w:t>一份交当事人或其代理人。）</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F52DD"/>
    <w:rsid w:val="5BAB5BB8"/>
    <w:rsid w:val="6D86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2026-04-16T04:26:00Z</dcterms:created>
  <dc:creator>Administrator</dc:creator>
  <cp:lastModifiedBy>Administrator</cp:lastModifiedBy>
  <dcterms:modified xsi:type="dcterms:W3CDTF">2026-04-16T04:59:26Z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