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kern w:val="0"/>
          <w:szCs w:val="21"/>
        </w:rPr>
      </w:pPr>
      <w:r>
        <w:rPr>
          <w:rFonts w:eastAsia="华文中宋"/>
          <w:b/>
          <w:bCs/>
          <w:color w:val="auto"/>
          <w:sz w:val="36"/>
        </w:rPr>
        <w:t>行政处罚决定书</w:t>
      </w:r>
    </w:p>
    <w:p>
      <w:pPr>
        <w:jc w:val="right"/>
        <w:rPr>
          <w:rFonts w:hint="eastAsia" w:eastAsia="宋体"/>
          <w:b/>
          <w:bCs/>
          <w:color w:val="auto"/>
          <w:sz w:val="30"/>
          <w:lang w:val="en-US" w:eastAsia="zh-CN"/>
        </w:rPr>
      </w:pPr>
      <w:r>
        <w:rPr>
          <w:color w:val="auto"/>
          <w:kern w:val="0"/>
          <w:szCs w:val="21"/>
        </w:rPr>
        <w:t xml:space="preserve"> 案号：</w:t>
      </w:r>
      <w:r>
        <w:rPr>
          <w:rFonts w:hint="eastAsia"/>
          <w:color w:val="auto"/>
          <w:kern w:val="0"/>
          <w:szCs w:val="21"/>
        </w:rPr>
        <w:t>新塔沙交执</w:t>
      </w:r>
      <w:r>
        <w:rPr>
          <w:rFonts w:hint="eastAsia"/>
          <w:color w:val="auto"/>
          <w:kern w:val="0"/>
          <w:szCs w:val="21"/>
          <w:lang w:eastAsia="zh-CN"/>
        </w:rPr>
        <w:t>运政</w:t>
      </w:r>
      <w:r>
        <w:rPr>
          <w:rFonts w:hint="eastAsia" w:ascii="楷体_GB2312" w:hAnsi="楷体_GB2312" w:eastAsia="楷体_GB2312" w:cs="楷体_GB2312"/>
          <w:color w:val="auto"/>
          <w:kern w:val="0"/>
          <w:szCs w:val="21"/>
          <w:lang w:eastAsia="zh-CN"/>
        </w:rPr>
        <w:t>〔</w:t>
      </w:r>
      <w:r>
        <w:rPr>
          <w:rFonts w:hint="eastAsia"/>
          <w:color w:val="auto"/>
          <w:kern w:val="0"/>
          <w:szCs w:val="21"/>
        </w:rPr>
        <w:t>202</w:t>
      </w:r>
      <w:r>
        <w:rPr>
          <w:rFonts w:hint="eastAsia"/>
          <w:color w:val="auto"/>
          <w:kern w:val="0"/>
          <w:szCs w:val="21"/>
          <w:lang w:val="en-US" w:eastAsia="zh-CN"/>
        </w:rPr>
        <w:t>6</w:t>
      </w:r>
      <w:r>
        <w:rPr>
          <w:rFonts w:hint="eastAsia" w:ascii="楷体_GB2312" w:hAnsi="楷体_GB2312" w:eastAsia="楷体_GB2312" w:cs="楷体_GB2312"/>
          <w:color w:val="auto"/>
          <w:kern w:val="0"/>
          <w:szCs w:val="21"/>
        </w:rPr>
        <w:t>〕</w:t>
      </w:r>
      <w:r>
        <w:rPr>
          <w:rFonts w:hint="eastAsia"/>
          <w:color w:val="auto"/>
          <w:kern w:val="0"/>
          <w:szCs w:val="21"/>
        </w:rPr>
        <w:t>00</w:t>
      </w:r>
      <w:r>
        <w:rPr>
          <w:rFonts w:hint="eastAsia"/>
          <w:color w:val="auto"/>
          <w:kern w:val="0"/>
          <w:szCs w:val="21"/>
          <w:lang w:val="en-US" w:eastAsia="zh-CN"/>
        </w:rPr>
        <w:t>15</w:t>
      </w:r>
      <w:r>
        <w:rPr>
          <w:rFonts w:hint="eastAsia"/>
          <w:color w:val="auto"/>
          <w:kern w:val="0"/>
          <w:szCs w:val="21"/>
          <w:lang w:eastAsia="zh-CN"/>
        </w:rPr>
        <w:t>号</w:t>
      </w:r>
    </w:p>
    <w:tbl>
      <w:tblPr>
        <w:tblStyle w:val="3"/>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87"/>
        <w:gridCol w:w="93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exact"/>
        </w:trPr>
        <w:tc>
          <w:tcPr>
            <w:tcW w:w="433" w:type="dxa"/>
            <w:vMerge w:val="restart"/>
            <w:noWrap/>
            <w:vAlign w:val="center"/>
          </w:tcPr>
          <w:p>
            <w:pPr>
              <w:jc w:val="center"/>
              <w:rPr>
                <w:color w:val="auto"/>
                <w:szCs w:val="21"/>
              </w:rPr>
            </w:pPr>
            <w:r>
              <w:rPr>
                <w:color w:val="auto"/>
                <w:szCs w:val="21"/>
              </w:rPr>
              <w:t>当事人</w:t>
            </w:r>
          </w:p>
        </w:tc>
        <w:tc>
          <w:tcPr>
            <w:tcW w:w="1103" w:type="dxa"/>
            <w:vMerge w:val="restart"/>
            <w:noWrap/>
            <w:vAlign w:val="center"/>
          </w:tcPr>
          <w:p>
            <w:pPr>
              <w:jc w:val="center"/>
              <w:rPr>
                <w:color w:val="auto"/>
                <w:szCs w:val="21"/>
              </w:rPr>
            </w:pPr>
            <w:r>
              <w:rPr>
                <w:color w:val="auto"/>
                <w:szCs w:val="21"/>
              </w:rPr>
              <w:t>个人</w:t>
            </w:r>
          </w:p>
        </w:tc>
        <w:tc>
          <w:tcPr>
            <w:tcW w:w="1195" w:type="dxa"/>
            <w:noWrap/>
            <w:vAlign w:val="center"/>
          </w:tcPr>
          <w:p>
            <w:pPr>
              <w:rPr>
                <w:color w:val="auto"/>
                <w:szCs w:val="21"/>
              </w:rPr>
            </w:pPr>
            <w:r>
              <w:rPr>
                <w:color w:val="auto"/>
                <w:szCs w:val="21"/>
              </w:rPr>
              <w:t xml:space="preserve"> 姓 　 名</w:t>
            </w:r>
          </w:p>
        </w:tc>
        <w:tc>
          <w:tcPr>
            <w:tcW w:w="2221" w:type="dxa"/>
            <w:gridSpan w:val="2"/>
            <w:noWrap/>
            <w:vAlign w:val="center"/>
          </w:tcPr>
          <w:p>
            <w:pPr>
              <w:jc w:val="left"/>
              <w:rPr>
                <w:color w:val="auto"/>
                <w:szCs w:val="21"/>
              </w:rPr>
            </w:pPr>
            <w:r>
              <w:rPr>
                <w:rFonts w:hint="eastAsia"/>
                <w:color w:val="auto"/>
                <w:szCs w:val="21"/>
              </w:rPr>
              <w:t xml:space="preserve"> /</w:t>
            </w:r>
          </w:p>
        </w:tc>
        <w:tc>
          <w:tcPr>
            <w:tcW w:w="1366" w:type="dxa"/>
            <w:noWrap/>
            <w:vAlign w:val="center"/>
          </w:tcPr>
          <w:p>
            <w:pPr>
              <w:jc w:val="center"/>
              <w:rPr>
                <w:color w:val="auto"/>
                <w:szCs w:val="21"/>
              </w:rPr>
            </w:pPr>
            <w:r>
              <w:rPr>
                <w:color w:val="auto"/>
                <w:szCs w:val="21"/>
              </w:rPr>
              <w:t>身份证件号</w:t>
            </w:r>
          </w:p>
        </w:tc>
        <w:tc>
          <w:tcPr>
            <w:tcW w:w="198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exact"/>
        </w:trPr>
        <w:tc>
          <w:tcPr>
            <w:tcW w:w="433" w:type="dxa"/>
            <w:vMerge w:val="continue"/>
            <w:noWrap/>
            <w:vAlign w:val="center"/>
          </w:tcPr>
          <w:p>
            <w:pPr>
              <w:jc w:val="center"/>
              <w:rPr>
                <w:color w:val="auto"/>
                <w:szCs w:val="21"/>
              </w:rPr>
            </w:pPr>
          </w:p>
        </w:tc>
        <w:tc>
          <w:tcPr>
            <w:tcW w:w="1103" w:type="dxa"/>
            <w:vMerge w:val="continue"/>
            <w:noWrap/>
            <w:vAlign w:val="center"/>
          </w:tcPr>
          <w:p>
            <w:pPr>
              <w:rPr>
                <w:color w:val="auto"/>
                <w:spacing w:val="-20"/>
                <w:szCs w:val="21"/>
              </w:rPr>
            </w:pPr>
          </w:p>
        </w:tc>
        <w:tc>
          <w:tcPr>
            <w:tcW w:w="1195" w:type="dxa"/>
            <w:noWrap/>
            <w:vAlign w:val="center"/>
          </w:tcPr>
          <w:p>
            <w:pPr>
              <w:rPr>
                <w:color w:val="auto"/>
                <w:szCs w:val="21"/>
              </w:rPr>
            </w:pPr>
            <w:r>
              <w:rPr>
                <w:color w:val="auto"/>
                <w:szCs w:val="21"/>
              </w:rPr>
              <w:t xml:space="preserve"> 住 　 址</w:t>
            </w:r>
          </w:p>
        </w:tc>
        <w:tc>
          <w:tcPr>
            <w:tcW w:w="2221" w:type="dxa"/>
            <w:gridSpan w:val="2"/>
            <w:noWrap/>
            <w:vAlign w:val="center"/>
          </w:tcPr>
          <w:p>
            <w:pPr>
              <w:jc w:val="left"/>
              <w:rPr>
                <w:color w:val="auto"/>
                <w:szCs w:val="21"/>
              </w:rPr>
            </w:pPr>
            <w:r>
              <w:rPr>
                <w:rFonts w:hint="eastAsia"/>
                <w:color w:val="auto"/>
                <w:szCs w:val="21"/>
              </w:rPr>
              <w:t xml:space="preserve"> /</w:t>
            </w:r>
          </w:p>
        </w:tc>
        <w:tc>
          <w:tcPr>
            <w:tcW w:w="1366" w:type="dxa"/>
            <w:noWrap/>
            <w:vAlign w:val="center"/>
          </w:tcPr>
          <w:p>
            <w:pPr>
              <w:jc w:val="center"/>
              <w:rPr>
                <w:color w:val="auto"/>
                <w:szCs w:val="21"/>
              </w:rPr>
            </w:pPr>
            <w:r>
              <w:rPr>
                <w:color w:val="auto"/>
                <w:szCs w:val="21"/>
              </w:rPr>
              <w:t>联系电话</w:t>
            </w:r>
          </w:p>
        </w:tc>
        <w:tc>
          <w:tcPr>
            <w:tcW w:w="1982"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exact"/>
        </w:trPr>
        <w:tc>
          <w:tcPr>
            <w:tcW w:w="433" w:type="dxa"/>
            <w:vMerge w:val="continue"/>
            <w:noWrap/>
            <w:vAlign w:val="center"/>
          </w:tcPr>
          <w:p>
            <w:pPr>
              <w:jc w:val="center"/>
              <w:rPr>
                <w:color w:val="auto"/>
                <w:szCs w:val="21"/>
              </w:rPr>
            </w:pPr>
          </w:p>
        </w:tc>
        <w:tc>
          <w:tcPr>
            <w:tcW w:w="1103" w:type="dxa"/>
            <w:vMerge w:val="restart"/>
            <w:noWrap/>
            <w:vAlign w:val="center"/>
          </w:tcPr>
          <w:p>
            <w:pPr>
              <w:jc w:val="center"/>
              <w:rPr>
                <w:color w:val="auto"/>
                <w:szCs w:val="21"/>
              </w:rPr>
            </w:pPr>
            <w:r>
              <w:rPr>
                <w:color w:val="auto"/>
                <w:spacing w:val="-20"/>
                <w:szCs w:val="21"/>
              </w:rPr>
              <w:t>单位</w:t>
            </w:r>
          </w:p>
        </w:tc>
        <w:tc>
          <w:tcPr>
            <w:tcW w:w="1195" w:type="dxa"/>
            <w:noWrap/>
            <w:vAlign w:val="center"/>
          </w:tcPr>
          <w:p>
            <w:pPr>
              <w:rPr>
                <w:color w:val="auto"/>
                <w:szCs w:val="21"/>
              </w:rPr>
            </w:pPr>
            <w:r>
              <w:rPr>
                <w:color w:val="auto"/>
                <w:szCs w:val="21"/>
              </w:rPr>
              <w:t xml:space="preserve"> 名 　 称</w:t>
            </w:r>
          </w:p>
        </w:tc>
        <w:tc>
          <w:tcPr>
            <w:tcW w:w="5569" w:type="dxa"/>
            <w:gridSpan w:val="4"/>
            <w:noWrap/>
            <w:vAlign w:val="center"/>
          </w:tcPr>
          <w:p>
            <w:pPr>
              <w:jc w:val="left"/>
              <w:rPr>
                <w:color w:val="auto"/>
                <w:szCs w:val="21"/>
              </w:rPr>
            </w:pPr>
            <w:r>
              <w:rPr>
                <w:rFonts w:hint="eastAsia" w:hAnsi="宋体" w:cs="宋体"/>
                <w:color w:val="auto"/>
                <w:u w:val="none"/>
                <w:lang w:eastAsia="zh-CN"/>
              </w:rPr>
              <w:t>新疆华域旅客运输有限公司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7" w:hRule="exact"/>
        </w:trPr>
        <w:tc>
          <w:tcPr>
            <w:tcW w:w="433" w:type="dxa"/>
            <w:vMerge w:val="continue"/>
            <w:noWrap/>
            <w:vAlign w:val="center"/>
          </w:tcPr>
          <w:p>
            <w:pPr>
              <w:jc w:val="center"/>
              <w:rPr>
                <w:color w:val="auto"/>
                <w:szCs w:val="21"/>
              </w:rPr>
            </w:pPr>
          </w:p>
        </w:tc>
        <w:tc>
          <w:tcPr>
            <w:tcW w:w="1103" w:type="dxa"/>
            <w:vMerge w:val="continue"/>
            <w:noWrap/>
            <w:vAlign w:val="center"/>
          </w:tcPr>
          <w:p>
            <w:pPr>
              <w:jc w:val="center"/>
              <w:rPr>
                <w:color w:val="auto"/>
                <w:szCs w:val="21"/>
              </w:rPr>
            </w:pPr>
          </w:p>
        </w:tc>
        <w:tc>
          <w:tcPr>
            <w:tcW w:w="1195" w:type="dxa"/>
            <w:noWrap/>
            <w:vAlign w:val="center"/>
          </w:tcPr>
          <w:p>
            <w:pPr>
              <w:rPr>
                <w:color w:val="auto"/>
                <w:szCs w:val="21"/>
              </w:rPr>
            </w:pPr>
            <w:r>
              <w:rPr>
                <w:color w:val="auto"/>
                <w:szCs w:val="21"/>
              </w:rPr>
              <w:t xml:space="preserve"> 地　　址</w:t>
            </w:r>
          </w:p>
        </w:tc>
        <w:tc>
          <w:tcPr>
            <w:tcW w:w="5569" w:type="dxa"/>
            <w:gridSpan w:val="4"/>
            <w:noWrap/>
            <w:vAlign w:val="center"/>
          </w:tcPr>
          <w:p>
            <w:pPr>
              <w:jc w:val="left"/>
              <w:rPr>
                <w:color w:val="auto"/>
                <w:szCs w:val="21"/>
              </w:rPr>
            </w:pPr>
            <w:r>
              <w:rPr>
                <w:rFonts w:hint="eastAsia" w:ascii="宋体" w:hAnsi="宋体" w:cs="宋体"/>
                <w:color w:val="auto"/>
                <w:sz w:val="21"/>
                <w:szCs w:val="21"/>
                <w:lang w:val="en-US" w:eastAsia="zh-CN"/>
              </w:rPr>
              <w:t>乌鲁木齐市高新区（新市区）石油新村街道阿勒泰路1171号3号综合办公楼办公506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trPr>
        <w:tc>
          <w:tcPr>
            <w:tcW w:w="433" w:type="dxa"/>
            <w:vMerge w:val="continue"/>
            <w:noWrap/>
            <w:vAlign w:val="center"/>
          </w:tcPr>
          <w:p>
            <w:pPr>
              <w:jc w:val="center"/>
              <w:rPr>
                <w:color w:val="auto"/>
                <w:szCs w:val="21"/>
              </w:rPr>
            </w:pPr>
          </w:p>
        </w:tc>
        <w:tc>
          <w:tcPr>
            <w:tcW w:w="1103" w:type="dxa"/>
            <w:vMerge w:val="continue"/>
            <w:noWrap/>
            <w:vAlign w:val="center"/>
          </w:tcPr>
          <w:p>
            <w:pPr>
              <w:rPr>
                <w:color w:val="auto"/>
                <w:szCs w:val="21"/>
              </w:rPr>
            </w:pPr>
          </w:p>
        </w:tc>
        <w:tc>
          <w:tcPr>
            <w:tcW w:w="1195" w:type="dxa"/>
            <w:noWrap/>
            <w:vAlign w:val="center"/>
          </w:tcPr>
          <w:p>
            <w:pPr>
              <w:rPr>
                <w:color w:val="auto"/>
                <w:szCs w:val="21"/>
              </w:rPr>
            </w:pPr>
            <w:r>
              <w:rPr>
                <w:color w:val="auto"/>
                <w:szCs w:val="21"/>
              </w:rPr>
              <w:t xml:space="preserve"> 联系电话</w:t>
            </w:r>
          </w:p>
        </w:tc>
        <w:tc>
          <w:tcPr>
            <w:tcW w:w="2221" w:type="dxa"/>
            <w:gridSpan w:val="2"/>
            <w:noWrap/>
            <w:vAlign w:val="center"/>
          </w:tcPr>
          <w:p>
            <w:pPr>
              <w:rPr>
                <w:color w:val="auto"/>
                <w:szCs w:val="21"/>
              </w:rPr>
            </w:pPr>
            <w:r>
              <w:rPr>
                <w:rFonts w:hint="eastAsia" w:ascii="宋体" w:hAnsi="宋体" w:cs="宋体"/>
                <w:color w:val="auto"/>
                <w:sz w:val="21"/>
                <w:szCs w:val="21"/>
                <w:lang w:val="en-US" w:eastAsia="zh-CN"/>
              </w:rPr>
              <w:t>135****3260</w:t>
            </w:r>
          </w:p>
        </w:tc>
        <w:tc>
          <w:tcPr>
            <w:tcW w:w="1366" w:type="dxa"/>
            <w:noWrap/>
            <w:vAlign w:val="center"/>
          </w:tcPr>
          <w:p>
            <w:pPr>
              <w:rPr>
                <w:color w:val="auto"/>
                <w:szCs w:val="21"/>
              </w:rPr>
            </w:pPr>
            <w:r>
              <w:rPr>
                <w:color w:val="auto"/>
                <w:szCs w:val="21"/>
              </w:rPr>
              <w:t xml:space="preserve"> 法定代表人</w:t>
            </w:r>
          </w:p>
        </w:tc>
        <w:tc>
          <w:tcPr>
            <w:tcW w:w="1982" w:type="dxa"/>
            <w:noWrap/>
            <w:vAlign w:val="center"/>
          </w:tcPr>
          <w:p>
            <w:pPr>
              <w:rPr>
                <w:color w:val="auto"/>
                <w:szCs w:val="21"/>
              </w:rPr>
            </w:pPr>
            <w:r>
              <w:rPr>
                <w:rFonts w:hint="eastAsia"/>
                <w:color w:val="auto"/>
                <w:szCs w:val="21"/>
              </w:rPr>
              <w:t xml:space="preserve"> </w:t>
            </w:r>
            <w:r>
              <w:rPr>
                <w:rFonts w:hint="eastAsia" w:ascii="宋体" w:hAnsi="宋体" w:cs="宋体"/>
                <w:color w:val="auto"/>
                <w:sz w:val="21"/>
                <w:szCs w:val="21"/>
                <w:lang w:val="en-US" w:eastAsia="zh-CN"/>
              </w:rPr>
              <w:t>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exact"/>
        </w:trPr>
        <w:tc>
          <w:tcPr>
            <w:tcW w:w="433" w:type="dxa"/>
            <w:vMerge w:val="continue"/>
            <w:noWrap/>
            <w:vAlign w:val="center"/>
          </w:tcPr>
          <w:p>
            <w:pPr>
              <w:jc w:val="center"/>
              <w:rPr>
                <w:color w:val="auto"/>
                <w:szCs w:val="21"/>
              </w:rPr>
            </w:pPr>
          </w:p>
        </w:tc>
        <w:tc>
          <w:tcPr>
            <w:tcW w:w="1103" w:type="dxa"/>
            <w:vMerge w:val="continue"/>
            <w:noWrap/>
            <w:vAlign w:val="center"/>
          </w:tcPr>
          <w:p>
            <w:pPr>
              <w:rPr>
                <w:color w:val="auto"/>
                <w:szCs w:val="21"/>
              </w:rPr>
            </w:pPr>
          </w:p>
        </w:tc>
        <w:tc>
          <w:tcPr>
            <w:tcW w:w="2482" w:type="dxa"/>
            <w:gridSpan w:val="2"/>
            <w:noWrap/>
            <w:vAlign w:val="center"/>
          </w:tcPr>
          <w:p>
            <w:pPr>
              <w:rPr>
                <w:color w:val="auto"/>
                <w:szCs w:val="21"/>
              </w:rPr>
            </w:pPr>
            <w:r>
              <w:rPr>
                <w:color w:val="auto"/>
                <w:szCs w:val="21"/>
              </w:rPr>
              <w:t xml:space="preserve"> 统一社会信用代码</w:t>
            </w:r>
          </w:p>
        </w:tc>
        <w:tc>
          <w:tcPr>
            <w:tcW w:w="4282" w:type="dxa"/>
            <w:gridSpan w:val="3"/>
            <w:noWrap/>
            <w:vAlign w:val="center"/>
          </w:tcPr>
          <w:p>
            <w:pPr>
              <w:jc w:val="left"/>
              <w:rPr>
                <w:color w:val="auto"/>
                <w:szCs w:val="21"/>
              </w:rPr>
            </w:pPr>
            <w:r>
              <w:rPr>
                <w:rFonts w:hint="eastAsia" w:ascii="宋体" w:hAnsi="宋体" w:cs="宋体"/>
                <w:color w:val="auto"/>
                <w:szCs w:val="21"/>
                <w:lang w:val="en-US" w:eastAsia="zh-CN"/>
              </w:rPr>
              <w:t>91650100MA78F6RU28</w:t>
            </w:r>
          </w:p>
        </w:tc>
      </w:tr>
    </w:tbl>
    <w:p>
      <w:pPr>
        <w:spacing w:line="400" w:lineRule="exact"/>
        <w:rPr>
          <w:rFonts w:hint="eastAsia" w:hAnsi="宋体" w:cs="宋体"/>
          <w:color w:val="FF0000"/>
          <w:szCs w:val="21"/>
          <w:u w:val="single"/>
        </w:rPr>
      </w:pPr>
      <w:r>
        <w:rPr>
          <w:color w:val="auto"/>
          <w:szCs w:val="21"/>
        </w:rPr>
        <w:t>违法事实及证据：</w:t>
      </w:r>
      <w:bookmarkStart w:id="0" w:name="OLE_LINK20"/>
      <w:bookmarkStart w:id="1" w:name="OLE_LINK30"/>
      <w:r>
        <w:rPr>
          <w:rFonts w:hint="default" w:hAnsi="宋体" w:cs="宋体"/>
          <w:color w:val="auto"/>
          <w:kern w:val="2"/>
          <w:sz w:val="21"/>
          <w:szCs w:val="21"/>
          <w:u w:val="single"/>
          <w:lang w:val="en-US" w:eastAsia="zh-CN" w:bidi="ar-SA"/>
        </w:rPr>
        <w:t>2026-04-08 21:12，我局执法人员在沙湾市巡查时，行驶到沙湾市火车站，检查发现：新疆华域旅客运输有限公司惠德清驾驶新 AE7</w:t>
      </w:r>
      <w:r>
        <w:rPr>
          <w:rFonts w:hint="eastAsia" w:hAnsi="宋体" w:cs="宋体"/>
          <w:color w:val="auto"/>
          <w:kern w:val="2"/>
          <w:sz w:val="21"/>
          <w:szCs w:val="21"/>
          <w:u w:val="single"/>
          <w:lang w:val="en-US" w:eastAsia="zh-CN" w:bidi="ar-SA"/>
        </w:rPr>
        <w:t>***</w:t>
      </w:r>
      <w:r>
        <w:rPr>
          <w:rFonts w:hint="default" w:hAnsi="宋体" w:cs="宋体"/>
          <w:color w:val="auto"/>
          <w:kern w:val="2"/>
          <w:sz w:val="21"/>
          <w:szCs w:val="21"/>
          <w:u w:val="single"/>
          <w:lang w:val="en-US" w:eastAsia="zh-CN" w:bidi="ar-SA"/>
        </w:rPr>
        <w:t>号中型普通客车承运 6名乘客，从事市际包车客运经营。经查验包车管理（app）当事人新疆华域旅客运输有限公司新 AE7700中型普通客车，由乌鲁木齐市途径、昌吉市、呼图壁县、玛纳斯县、石河子市、沙湾市、奎屯市后返回乌鲁木齐市。经查，2026年4月8日按照约定应在乌鲁木齐市，实际行驶到沙湾市。存在，不按照包车客运标志牌载明的事项运行的违法行为。</w:t>
      </w:r>
      <w:r>
        <w:rPr>
          <w:rFonts w:hint="eastAsia" w:hAnsi="宋体" w:cs="宋体"/>
          <w:color w:val="auto"/>
          <w:kern w:val="2"/>
          <w:sz w:val="21"/>
          <w:szCs w:val="21"/>
          <w:u w:val="single"/>
          <w:lang w:val="en-US" w:eastAsia="zh-CN" w:bidi="ar-SA"/>
        </w:rPr>
        <w:t>经查，新疆华域旅客运输有限公司有同类违法行为12次，其情形符合《新疆维吾尔自治区 新疆生产建设兵团交通运输行政处罚裁量基准》（2025年10月1日起施行）第90项中较重违法情节。</w:t>
      </w:r>
      <w:r>
        <w:rPr>
          <w:rFonts w:hint="default" w:hAnsi="宋体" w:cs="宋体"/>
          <w:color w:val="auto"/>
          <w:kern w:val="2"/>
          <w:sz w:val="21"/>
          <w:szCs w:val="21"/>
          <w:u w:val="single"/>
          <w:lang w:val="en-US" w:eastAsia="zh-CN" w:bidi="ar-SA"/>
        </w:rPr>
        <w:t>执法人员依法提取了询问笔录、现场笔录、包车客运标志牌、包车行程单等相关证据证实。2026年4月10日当事人收到《违法行为通知书》后主动放弃陈述申辩及要求听证的权利。</w:t>
      </w:r>
      <w:bookmarkEnd w:id="0"/>
    </w:p>
    <w:bookmarkEnd w:id="1"/>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color w:val="auto"/>
          <w:szCs w:val="21"/>
          <w:lang w:eastAsia="zh-CN"/>
        </w:rPr>
      </w:pPr>
      <w:r>
        <w:rPr>
          <w:color w:val="auto"/>
          <w:sz w:val="21"/>
          <w:szCs w:val="21"/>
        </w:rPr>
        <w:t>你（</w:t>
      </w:r>
      <w:r>
        <w:rPr>
          <w:strike w:val="0"/>
          <w:dstrike w:val="0"/>
          <w:color w:val="auto"/>
          <w:sz w:val="21"/>
          <w:szCs w:val="21"/>
        </w:rPr>
        <w:t>单位</w:t>
      </w:r>
      <w:r>
        <w:rPr>
          <w:color w:val="auto"/>
          <w:sz w:val="21"/>
          <w:szCs w:val="21"/>
        </w:rPr>
        <w:t>）的行为</w:t>
      </w:r>
      <w:r>
        <w:rPr>
          <w:rFonts w:hint="eastAsia" w:ascii="宋体" w:hAnsi="宋体" w:eastAsia="宋体" w:cs="宋体"/>
          <w:color w:val="auto"/>
          <w:sz w:val="21"/>
          <w:szCs w:val="21"/>
        </w:rPr>
        <w:t>违反了</w:t>
      </w:r>
      <w:r>
        <w:rPr>
          <w:rFonts w:hint="eastAsia" w:hAnsi="宋体" w:cs="宋体"/>
          <w:color w:val="auto"/>
          <w:kern w:val="2"/>
          <w:sz w:val="21"/>
          <w:szCs w:val="21"/>
          <w:u w:val="single"/>
          <w:lang w:val="en-US" w:eastAsia="zh-CN" w:bidi="ar-SA"/>
        </w:rPr>
        <w:t>《道路旅客运输及客运站管理规定》第</w:t>
      </w:r>
      <w:r>
        <w:rPr>
          <w:rFonts w:hint="eastAsia" w:cs="宋体"/>
          <w:color w:val="auto"/>
          <w:kern w:val="2"/>
          <w:sz w:val="21"/>
          <w:szCs w:val="21"/>
          <w:u w:val="single"/>
          <w:lang w:val="en-US" w:eastAsia="zh-CN" w:bidi="ar-SA"/>
        </w:rPr>
        <w:t>五</w:t>
      </w:r>
      <w:r>
        <w:rPr>
          <w:rFonts w:hint="eastAsia" w:hAnsi="宋体" w:cs="宋体"/>
          <w:color w:val="auto"/>
          <w:kern w:val="2"/>
          <w:sz w:val="21"/>
          <w:szCs w:val="21"/>
          <w:u w:val="single"/>
          <w:lang w:val="en-US" w:eastAsia="zh-CN" w:bidi="ar-SA"/>
        </w:rPr>
        <w:t>十七条第一款</w:t>
      </w:r>
      <w:r>
        <w:rPr>
          <w:rFonts w:hint="eastAsia" w:cs="宋体" w:asciiTheme="majorEastAsia" w:hAnsiTheme="majorEastAsia" w:eastAsiaTheme="majorEastAsia"/>
          <w:color w:val="auto"/>
          <w:sz w:val="21"/>
          <w:szCs w:val="21"/>
          <w:u w:val="single"/>
        </w:rPr>
        <w:t>“</w:t>
      </w:r>
      <w:r>
        <w:rPr>
          <w:rFonts w:hint="eastAsia" w:hAnsi="宋体" w:cs="宋体"/>
          <w:color w:val="auto"/>
          <w:kern w:val="2"/>
          <w:sz w:val="21"/>
          <w:szCs w:val="21"/>
          <w:u w:val="single"/>
          <w:lang w:val="en-US" w:eastAsia="zh-CN" w:bidi="ar-SA"/>
        </w:rPr>
        <w:t>客运包车应当凭车籍所在地交通运输主管部门配发的包车客运标志牌，按照约定的时间、起始地、目的地和线路运行，并持有包车合同，不得招揽包车合同外的旅客乘车。</w:t>
      </w:r>
      <w:r>
        <w:rPr>
          <w:rFonts w:hint="default" w:cs="宋体" w:asciiTheme="majorEastAsia" w:hAnsiTheme="majorEastAsia" w:eastAsiaTheme="majorEastAsia"/>
          <w:color w:val="auto"/>
          <w:sz w:val="21"/>
          <w:szCs w:val="21"/>
          <w:u w:val="single"/>
        </w:rPr>
        <w:t>”</w:t>
      </w:r>
      <w:r>
        <w:rPr>
          <w:rFonts w:hint="eastAsia" w:ascii="宋体" w:hAnsi="宋体" w:eastAsia="宋体" w:cs="宋体"/>
          <w:color w:val="auto"/>
          <w:sz w:val="21"/>
          <w:szCs w:val="21"/>
        </w:rPr>
        <w:t>的规定</w:t>
      </w:r>
      <w:r>
        <w:rPr>
          <w:rFonts w:hint="eastAsia"/>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szCs w:val="21"/>
        </w:rPr>
      </w:pPr>
      <w:r>
        <w:rPr>
          <w:rFonts w:hint="eastAsia" w:ascii="宋体" w:hAnsi="宋体" w:eastAsia="宋体" w:cs="宋体"/>
          <w:color w:val="auto"/>
          <w:sz w:val="21"/>
          <w:szCs w:val="21"/>
        </w:rPr>
        <w:t>依据</w:t>
      </w:r>
      <w:r>
        <w:rPr>
          <w:rFonts w:hint="eastAsia" w:hAnsi="宋体" w:cs="宋体"/>
          <w:color w:val="auto"/>
          <w:kern w:val="2"/>
          <w:sz w:val="21"/>
          <w:szCs w:val="21"/>
          <w:u w:val="single"/>
          <w:lang w:val="en-US" w:eastAsia="zh-CN" w:bidi="ar-SA"/>
        </w:rPr>
        <w:t>《道路旅客运输及客运站管理规定》第九十九条第一款第（六）项</w:t>
      </w:r>
      <w:bookmarkStart w:id="2" w:name="OLE_LINK21"/>
      <w:r>
        <w:rPr>
          <w:rFonts w:hint="eastAsia" w:ascii="宋体" w:hAnsi="宋体" w:eastAsia="宋体" w:cs="宋体"/>
          <w:color w:val="auto"/>
          <w:sz w:val="21"/>
          <w:szCs w:val="21"/>
          <w:u w:val="single"/>
        </w:rPr>
        <w:t>“</w:t>
      </w:r>
      <w:r>
        <w:rPr>
          <w:rFonts w:hint="eastAsia" w:hAnsi="宋体" w:cs="宋体"/>
          <w:color w:val="auto"/>
          <w:kern w:val="2"/>
          <w:sz w:val="21"/>
          <w:szCs w:val="21"/>
          <w:u w:val="single"/>
          <w:lang w:val="en-US" w:eastAsia="zh-CN" w:bidi="ar-SA"/>
        </w:rPr>
        <w:t>违反本规定，客运经营者有下列情形之一的，由交通运输主管部门责令改正，处1000元以上2000元以下的罚款：（六）客运包车未持有效的包车客运标志牌进行经营的，不按照包车客运标志牌载明的事项运行的，线路两端均不在车籍所在地的，招揽包车合同以外的旅客乘车的；</w:t>
      </w:r>
      <w:r>
        <w:rPr>
          <w:rFonts w:hint="eastAsia" w:ascii="宋体" w:hAnsi="宋体" w:eastAsia="宋体" w:cs="宋体"/>
          <w:color w:val="auto"/>
          <w:sz w:val="21"/>
          <w:szCs w:val="21"/>
          <w:u w:val="single"/>
        </w:rPr>
        <w:t>”</w:t>
      </w:r>
      <w:r>
        <w:rPr>
          <w:rFonts w:hint="eastAsia" w:cs="宋体"/>
          <w:color w:val="auto"/>
          <w:sz w:val="21"/>
          <w:szCs w:val="21"/>
          <w:u w:val="single"/>
          <w:lang w:eastAsia="zh-CN"/>
        </w:rPr>
        <w:t>，</w:t>
      </w:r>
      <w:r>
        <w:rPr>
          <w:rFonts w:hint="eastAsia" w:ascii="宋体" w:hAnsi="宋体" w:eastAsia="宋体" w:cs="宋体"/>
          <w:color w:val="auto"/>
          <w:sz w:val="21"/>
          <w:szCs w:val="21"/>
          <w:u w:val="single"/>
          <w:lang w:eastAsia="zh-CN"/>
        </w:rPr>
        <w:t>参照</w:t>
      </w:r>
      <w:r>
        <w:rPr>
          <w:rFonts w:hint="eastAsia" w:ascii="宋体" w:hAnsi="宋体" w:eastAsia="宋体" w:cs="宋体"/>
          <w:color w:val="auto"/>
          <w:sz w:val="21"/>
          <w:szCs w:val="21"/>
          <w:u w:val="single"/>
        </w:rPr>
        <w:t>《新疆维吾尔自治区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新疆生产建设兵团</w:t>
      </w:r>
      <w:r>
        <w:rPr>
          <w:rFonts w:hint="eastAsia" w:ascii="宋体" w:hAnsi="宋体" w:eastAsia="宋体" w:cs="宋体"/>
          <w:color w:val="auto"/>
          <w:sz w:val="21"/>
          <w:szCs w:val="21"/>
          <w:u w:val="single"/>
        </w:rPr>
        <w:t>交通运输行政处罚裁量基准》</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202</w:t>
      </w:r>
      <w:r>
        <w:rPr>
          <w:rFonts w:hint="eastAsia" w:ascii="宋体" w:hAnsi="宋体" w:cs="宋体"/>
          <w:color w:val="auto"/>
          <w:sz w:val="21"/>
          <w:szCs w:val="21"/>
          <w:u w:val="single"/>
          <w:lang w:val="en-US" w:eastAsia="zh-CN"/>
        </w:rPr>
        <w:t>5</w:t>
      </w:r>
      <w:r>
        <w:rPr>
          <w:rFonts w:hint="eastAsia" w:ascii="宋体" w:hAnsi="宋体" w:eastAsia="宋体" w:cs="宋体"/>
          <w:color w:val="auto"/>
          <w:sz w:val="21"/>
          <w:szCs w:val="21"/>
          <w:u w:val="single"/>
          <w:lang w:val="en-US" w:eastAsia="zh-CN"/>
        </w:rPr>
        <w:t>年</w:t>
      </w:r>
      <w:r>
        <w:rPr>
          <w:rFonts w:hint="eastAsia" w:ascii="宋体" w:hAnsi="宋体" w:cs="宋体"/>
          <w:color w:val="auto"/>
          <w:sz w:val="21"/>
          <w:szCs w:val="21"/>
          <w:u w:val="single"/>
          <w:lang w:val="en-US" w:eastAsia="zh-CN"/>
        </w:rPr>
        <w:t>10</w:t>
      </w:r>
      <w:r>
        <w:rPr>
          <w:rFonts w:hint="eastAsia" w:ascii="宋体" w:hAnsi="宋体" w:eastAsia="宋体" w:cs="宋体"/>
          <w:color w:val="auto"/>
          <w:sz w:val="21"/>
          <w:szCs w:val="21"/>
          <w:u w:val="single"/>
          <w:lang w:val="en-US" w:eastAsia="zh-CN"/>
        </w:rPr>
        <w:t>月1日起施行</w:t>
      </w:r>
      <w:r>
        <w:rPr>
          <w:rFonts w:hint="eastAsia" w:ascii="宋体" w:hAnsi="宋体" w:eastAsia="宋体" w:cs="宋体"/>
          <w:color w:val="auto"/>
          <w:sz w:val="21"/>
          <w:szCs w:val="21"/>
          <w:u w:val="single"/>
          <w:lang w:eastAsia="zh-CN"/>
        </w:rPr>
        <w:t>）第</w:t>
      </w:r>
      <w:r>
        <w:rPr>
          <w:rFonts w:hint="eastAsia" w:cs="宋体"/>
          <w:color w:val="auto"/>
          <w:sz w:val="21"/>
          <w:szCs w:val="21"/>
          <w:u w:val="single"/>
          <w:lang w:val="en-US" w:eastAsia="zh-CN"/>
        </w:rPr>
        <w:t>90</w:t>
      </w:r>
      <w:r>
        <w:rPr>
          <w:rFonts w:hint="eastAsia" w:ascii="宋体" w:hAnsi="宋体" w:eastAsia="宋体" w:cs="宋体"/>
          <w:color w:val="auto"/>
          <w:sz w:val="21"/>
          <w:szCs w:val="21"/>
          <w:u w:val="single"/>
          <w:lang w:val="en-US" w:eastAsia="zh-CN"/>
        </w:rPr>
        <w:t>项</w:t>
      </w:r>
      <w:r>
        <w:rPr>
          <w:rFonts w:hint="eastAsia" w:ascii="宋体" w:hAnsi="宋体" w:cs="宋体"/>
          <w:color w:val="auto"/>
          <w:sz w:val="21"/>
          <w:szCs w:val="21"/>
          <w:u w:val="single"/>
          <w:lang w:val="en-US" w:eastAsia="zh-CN"/>
        </w:rPr>
        <w:t>中</w:t>
      </w:r>
      <w:r>
        <w:rPr>
          <w:rFonts w:hint="eastAsia" w:ascii="宋体" w:hAnsi="宋体" w:cs="宋体"/>
          <w:color w:val="auto"/>
          <w:sz w:val="21"/>
          <w:szCs w:val="21"/>
          <w:u w:val="single"/>
          <w:lang w:eastAsia="zh-CN"/>
        </w:rPr>
        <w:t>较重</w:t>
      </w:r>
      <w:r>
        <w:rPr>
          <w:rFonts w:hint="eastAsia" w:ascii="宋体" w:hAnsi="宋体" w:eastAsia="宋体" w:cs="宋体"/>
          <w:color w:val="auto"/>
          <w:sz w:val="21"/>
          <w:szCs w:val="21"/>
          <w:u w:val="single"/>
        </w:rPr>
        <w:t>违法情节</w:t>
      </w:r>
      <w:r>
        <w:rPr>
          <w:rFonts w:hint="eastAsia" w:ascii="宋体" w:hAnsi="宋体" w:eastAsia="宋体" w:cs="宋体"/>
          <w:color w:val="auto"/>
          <w:sz w:val="21"/>
          <w:szCs w:val="21"/>
          <w:u w:val="single"/>
          <w:lang w:eastAsia="zh-CN"/>
        </w:rPr>
        <w:t>“二次以上被查处的，处1500元以上2000元以下的罚款”</w:t>
      </w:r>
      <w:bookmarkEnd w:id="2"/>
      <w:r>
        <w:rPr>
          <w:rFonts w:hint="eastAsia" w:ascii="宋体" w:hAnsi="宋体" w:eastAsia="宋体" w:cs="宋体"/>
          <w:color w:val="auto"/>
          <w:sz w:val="21"/>
          <w:szCs w:val="21"/>
          <w:u w:val="none"/>
        </w:rPr>
        <w:t>的</w:t>
      </w:r>
      <w:r>
        <w:rPr>
          <w:rFonts w:hint="eastAsia" w:ascii="宋体" w:hAnsi="宋体" w:eastAsia="宋体" w:cs="宋体"/>
          <w:color w:val="auto"/>
          <w:sz w:val="21"/>
          <w:szCs w:val="21"/>
        </w:rPr>
        <w:t>规定</w:t>
      </w:r>
      <w:r>
        <w:rPr>
          <w:rFonts w:hint="eastAsia" w:hAnsi="宋体"/>
          <w:color w:val="auto"/>
          <w:szCs w:val="21"/>
        </w:rPr>
        <w:t>，决定给予</w:t>
      </w:r>
      <w:r>
        <w:rPr>
          <w:rFonts w:hint="default" w:hAnsi="宋体" w:cs="宋体"/>
          <w:color w:val="auto"/>
          <w:szCs w:val="21"/>
          <w:u w:val="single"/>
        </w:rPr>
        <w:t>罚款</w:t>
      </w:r>
      <w:r>
        <w:rPr>
          <w:rFonts w:hint="eastAsia" w:hAnsi="宋体" w:cs="宋体"/>
          <w:color w:val="auto"/>
          <w:szCs w:val="21"/>
          <w:u w:val="single"/>
          <w:lang w:eastAsia="zh-CN"/>
        </w:rPr>
        <w:t>贰仟元</w:t>
      </w:r>
      <w:r>
        <w:rPr>
          <w:rFonts w:hint="default" w:hAnsi="宋体" w:cs="宋体"/>
          <w:color w:val="auto"/>
          <w:szCs w:val="21"/>
          <w:u w:val="single"/>
        </w:rPr>
        <w:t>整（¥</w:t>
      </w:r>
      <w:r>
        <w:rPr>
          <w:rFonts w:hint="eastAsia" w:hAnsi="宋体" w:cs="宋体"/>
          <w:color w:val="auto"/>
          <w:szCs w:val="21"/>
          <w:u w:val="single"/>
          <w:lang w:val="en-US" w:eastAsia="zh-CN"/>
        </w:rPr>
        <w:t>20</w:t>
      </w:r>
      <w:r>
        <w:rPr>
          <w:rFonts w:hint="default" w:hAnsi="宋体" w:cs="宋体"/>
          <w:color w:val="auto"/>
          <w:szCs w:val="21"/>
          <w:u w:val="single"/>
        </w:rPr>
        <w:t>00</w:t>
      </w:r>
      <w:r>
        <w:rPr>
          <w:rFonts w:hint="eastAsia" w:hAnsi="宋体" w:cs="宋体"/>
          <w:color w:val="auto"/>
          <w:szCs w:val="21"/>
          <w:u w:val="single"/>
          <w:lang w:eastAsia="zh-CN"/>
        </w:rPr>
        <w:t>元</w:t>
      </w:r>
      <w:r>
        <w:rPr>
          <w:rFonts w:hint="default" w:hAnsi="宋体" w:cs="宋体"/>
          <w:color w:val="auto"/>
          <w:szCs w:val="21"/>
          <w:u w:val="single"/>
        </w:rPr>
        <w:t>）</w:t>
      </w:r>
      <w:r>
        <w:rPr>
          <w:rFonts w:hint="eastAsia" w:hAnsi="宋体"/>
          <w:color w:val="auto"/>
          <w:szCs w:val="21"/>
        </w:rPr>
        <w:t>的行政处罚。</w:t>
      </w:r>
    </w:p>
    <w:p>
      <w:pPr>
        <w:spacing w:line="400" w:lineRule="exact"/>
        <w:ind w:firstLine="420" w:firstLineChars="200"/>
        <w:rPr>
          <w:color w:val="auto"/>
          <w:szCs w:val="21"/>
        </w:rPr>
      </w:pPr>
      <w:r>
        <w:rPr>
          <w:color w:val="auto"/>
          <w:szCs w:val="21"/>
        </w:rPr>
        <w:t>处以罚款的，自收到本决定书之日起十五日内缴至</w:t>
      </w:r>
      <w:r>
        <w:rPr>
          <w:rFonts w:hint="eastAsia"/>
          <w:color w:val="auto"/>
          <w:szCs w:val="21"/>
          <w:u w:val="single"/>
        </w:rPr>
        <w:t>沙湾市农村商业银行</w:t>
      </w:r>
      <w:r>
        <w:rPr>
          <w:color w:val="auto"/>
          <w:szCs w:val="21"/>
        </w:rPr>
        <w:t>，账号</w:t>
      </w:r>
      <w:r>
        <w:rPr>
          <w:rFonts w:hint="eastAsia"/>
          <w:color w:val="auto"/>
          <w:szCs w:val="21"/>
          <w:u w:val="single"/>
        </w:rPr>
        <w:t>8309010001201200000545</w:t>
      </w:r>
      <w:r>
        <w:rPr>
          <w:color w:val="auto"/>
          <w:szCs w:val="21"/>
        </w:rPr>
        <w:t>，到期不缴纳罚款的，本机关可以每日按罚款数额的百分之三加处罚款，加处罚款的数额不超过罚款本数。</w:t>
      </w:r>
    </w:p>
    <w:p>
      <w:pPr>
        <w:spacing w:line="400" w:lineRule="exact"/>
        <w:ind w:firstLine="420" w:firstLineChars="200"/>
        <w:rPr>
          <w:rFonts w:hint="default" w:eastAsia="宋体"/>
          <w:color w:val="auto"/>
          <w:szCs w:val="21"/>
          <w:u w:val="single"/>
          <w:lang w:val="en-US" w:eastAsia="zh-CN"/>
        </w:rPr>
      </w:pPr>
      <w:r>
        <w:rPr>
          <w:color w:val="auto"/>
          <w:szCs w:val="21"/>
        </w:rPr>
        <w:t>其他执行方式和期限：</w:t>
      </w:r>
      <w:r>
        <w:rPr>
          <w:rFonts w:hint="eastAsia"/>
          <w:color w:val="auto"/>
          <w:szCs w:val="21"/>
          <w:u w:val="single"/>
          <w:lang w:val="en-US" w:eastAsia="zh-CN"/>
        </w:rPr>
        <w:t xml:space="preserve"> /                        </w:t>
      </w:r>
    </w:p>
    <w:p>
      <w:pPr>
        <w:spacing w:line="400" w:lineRule="exact"/>
        <w:ind w:firstLine="420" w:firstLineChars="200"/>
        <w:rPr>
          <w:color w:val="auto"/>
          <w:szCs w:val="21"/>
        </w:rPr>
      </w:pPr>
      <w:r>
        <w:rPr>
          <w:color w:val="auto"/>
          <w:szCs w:val="21"/>
        </w:rPr>
        <w:t xml:space="preserve">如果不服本处罚决定，可以在六十日内依法向 </w:t>
      </w:r>
      <w:r>
        <w:rPr>
          <w:rFonts w:hint="eastAsia"/>
          <w:color w:val="auto"/>
          <w:szCs w:val="21"/>
          <w:u w:val="single"/>
        </w:rPr>
        <w:t>沙湾市人民政府</w:t>
      </w:r>
      <w:r>
        <w:rPr>
          <w:color w:val="auto"/>
          <w:szCs w:val="21"/>
        </w:rPr>
        <w:t>申请行政复议，或者在六个月内依法向</w:t>
      </w:r>
      <w:r>
        <w:rPr>
          <w:rFonts w:hint="eastAsia"/>
          <w:color w:val="auto"/>
          <w:szCs w:val="21"/>
          <w:u w:val="single"/>
          <w:lang w:eastAsia="zh-CN"/>
        </w:rPr>
        <w:t>沙湾市</w:t>
      </w:r>
      <w:r>
        <w:rPr>
          <w:color w:val="auto"/>
          <w:szCs w:val="21"/>
          <w:u w:val="single"/>
        </w:rPr>
        <w:t>人民法院</w:t>
      </w:r>
      <w:r>
        <w:rPr>
          <w:color w:val="auto"/>
          <w:szCs w:val="21"/>
        </w:rPr>
        <w:t>提起行政诉讼，但本决定不停止执行，法律另有规定的除外。逾期不申请行政复议、不提起行政诉讼又不履行的，本机关将依法申请人民法院强制执行</w:t>
      </w:r>
      <w:r>
        <w:rPr>
          <w:rFonts w:hint="eastAsia"/>
          <w:color w:val="auto"/>
          <w:szCs w:val="21"/>
        </w:rPr>
        <w:t>。</w:t>
      </w:r>
    </w:p>
    <w:p>
      <w:pPr>
        <w:spacing w:line="400" w:lineRule="exact"/>
        <w:ind w:firstLine="420" w:firstLineChars="200"/>
        <w:rPr>
          <w:rFonts w:hint="eastAsia"/>
          <w:color w:val="FF0000"/>
          <w:szCs w:val="21"/>
        </w:rPr>
      </w:pPr>
      <w:r>
        <w:rPr>
          <w:color w:val="FF0000"/>
          <w:szCs w:val="21"/>
        </w:rPr>
        <w:t xml:space="preserve">                        </w:t>
      </w:r>
      <w:r>
        <w:rPr>
          <w:rFonts w:hint="eastAsia"/>
          <w:color w:val="FF0000"/>
          <w:szCs w:val="21"/>
        </w:rPr>
        <w:t xml:space="preserve">                </w:t>
      </w:r>
    </w:p>
    <w:p>
      <w:pPr>
        <w:spacing w:line="400" w:lineRule="exact"/>
        <w:ind w:firstLine="420" w:firstLineChars="200"/>
        <w:rPr>
          <w:rFonts w:hint="eastAsia"/>
          <w:color w:val="FF0000"/>
          <w:szCs w:val="21"/>
        </w:rPr>
      </w:pPr>
    </w:p>
    <w:p>
      <w:pPr>
        <w:spacing w:line="400" w:lineRule="exact"/>
        <w:rPr>
          <w:rFonts w:eastAsia="黑体"/>
          <w:color w:val="auto"/>
          <w:kern w:val="0"/>
          <w:sz w:val="24"/>
          <w:szCs w:val="40"/>
        </w:rPr>
      </w:pPr>
    </w:p>
    <w:p>
      <w:pPr>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2085975" cy="1494155"/>
            <wp:effectExtent l="0" t="0" r="9525" b="10795"/>
            <wp:docPr id="1" name="图片 1" descr="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5"/>
                    <pic:cNvPicPr>
                      <a:picLocks noChangeAspect="1"/>
                    </pic:cNvPicPr>
                  </pic:nvPicPr>
                  <pic:blipFill>
                    <a:blip r:embed="rId4"/>
                    <a:srcRect l="48476" t="18715" r="22268" b="66039"/>
                    <a:stretch>
                      <a:fillRect/>
                    </a:stretch>
                  </pic:blipFill>
                  <pic:spPr>
                    <a:xfrm>
                      <a:off x="0" y="0"/>
                      <a:ext cx="2085975" cy="1494155"/>
                    </a:xfrm>
                    <a:prstGeom prst="rect">
                      <a:avLst/>
                    </a:prstGeom>
                  </pic:spPr>
                </pic:pic>
              </a:graphicData>
            </a:graphic>
          </wp:inline>
        </w:drawing>
      </w: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color w:val="auto"/>
          <w:szCs w:val="21"/>
        </w:rPr>
      </w:pPr>
      <w:bookmarkStart w:id="3" w:name="_GoBack"/>
      <w:bookmarkEnd w:id="3"/>
      <w:r>
        <w:rPr>
          <w:rFonts w:hint="eastAsia"/>
          <w:color w:val="auto"/>
          <w:szCs w:val="21"/>
        </w:rPr>
        <w:t>（</w:t>
      </w:r>
      <w:r>
        <w:rPr>
          <w:color w:val="auto"/>
          <w:szCs w:val="21"/>
        </w:rPr>
        <w:t>本文书一式</w:t>
      </w:r>
      <w:r>
        <w:rPr>
          <w:rFonts w:hint="eastAsia"/>
          <w:color w:val="auto"/>
          <w:szCs w:val="21"/>
          <w:lang w:eastAsia="zh-CN"/>
        </w:rPr>
        <w:t>三</w:t>
      </w:r>
      <w:r>
        <w:rPr>
          <w:color w:val="auto"/>
          <w:szCs w:val="21"/>
        </w:rPr>
        <w:t>份：一份存根，</w:t>
      </w:r>
      <w:r>
        <w:rPr>
          <w:rFonts w:hint="eastAsia"/>
          <w:color w:val="auto"/>
          <w:szCs w:val="21"/>
          <w:lang w:eastAsia="zh-CN"/>
        </w:rPr>
        <w:t>一份交本局财务室留存，</w:t>
      </w:r>
      <w:r>
        <w:rPr>
          <w:color w:val="auto"/>
          <w:szCs w:val="21"/>
        </w:rPr>
        <w:t>一份交当事人或其代理人。）</w:t>
      </w: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35A03"/>
    <w:rsid w:val="58CB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2026-04-16T04:23:00Z</dcterms:created>
  <dc:creator>Administrator</dc:creator>
  <cp:lastModifiedBy>Administrator</cp:lastModifiedBy>
  <dcterms:modified xsi:type="dcterms:W3CDTF">2026-04-16T04:52:00Z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