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沙湾市</w:t>
      </w:r>
      <w:r>
        <w:rPr>
          <w:rFonts w:hint="eastAsia" w:ascii="方正小标宋简体" w:eastAsia="方正小标宋简体" w:cs="仿宋_GB2312"/>
          <w:sz w:val="44"/>
          <w:szCs w:val="44"/>
          <w:lang w:eastAsia="zh-CN"/>
        </w:rPr>
        <w:t>书香街道办事处</w:t>
      </w: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年政府信息公开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年，书香街道在国家级媒体部门发布新闻稿件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篇，自治区级媒体部门发布新闻稿件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篇，地区级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、市级3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书香街道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未收到书面或其他形式要求公开政府信息的申请。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（三）政府信息管理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书香街道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高度重视政务公开工作，结合工作实际，按照“主动公开、及时公开、定期公开、依法公开”的要求，深化政府信息公开。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（四）平台建设情况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政府门户网站为主要载体，积极主动对各个栏目进行完善，及时、快速、准确发布政府信息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坚持把政府信息公开作为推进依法行政、提高行政效能、预防和惩治腐败的重要举措，与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书香街道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各项工作同部署同推进。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加强组织领导。主管部门定期开展专项检查，核查公开质量、信息公开及时性与准确性，接受公民、法人和其他组织的监督，收集社会评议意见，作为工作改进依据。二是强化工作专题培训。组织开展政务公开工作培训加强相关人员的业务知识培训，提升工作人员保密审查、内容编辑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三、收到和处理政府信息公开申请情况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5010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2.申请人逾期未按收费通知要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求缴纳费用、行政机关不再处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p>
      <w:pPr>
        <w:pStyle w:val="8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560" w:lineRule="exact"/>
        <w:ind w:left="4" w:firstLine="66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一是公开渠道融合不够。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线上线下公开载体协同发力不足，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党群服务站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>等线下阵地的信息更新频次有待提升，线上平台互动回应机制不够健全。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工作机制规范化有待加强。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信息公开审核流程、保密审查机制在实操中仍需优化，部分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业务能力与规范化要求存在差距，统筹协调效能需进一步提升。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560" w:lineRule="exact"/>
        <w:ind w:left="4" w:firstLine="66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5"/>
          <w:sz w:val="32"/>
          <w:szCs w:val="32"/>
          <w:lang w:val="en-US" w:eastAsia="zh-CN"/>
        </w:rPr>
        <w:t>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拓宽渠道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提升公开效能。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整合线上与线下社区服务中心等阵地资源，建立“线上+线下”联动公开机制，在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社区公告栏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广场设置信息公开专栏，及时更新重点工作进展。健全互动回应机制，明确专人负责线上咨询答复，提升群众满意度。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强化规范管理。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信息公开审核、保密审查“双重把关”机制，细化工作流程，定期开展业务培训，提升工作人员专业素养。将政府信息公开工作纳入街道年度考核，压实工作责任，形成“主要领导牵头抓、分管领导具体抓、各科室协同推进”的工作格局，推动公开工作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按照《国务院办公厅关于印发〈政府信息公开信息处理费管理办法〉的通知》（国办函〔2020〕109号〕）规定的按件、按量收费标准，本年度没有产生信息公开处理费。</w:t>
      </w:r>
    </w:p>
    <w:sectPr>
      <w:headerReference r:id="rId3" w:type="default"/>
      <w:footerReference r:id="rId4" w:type="default"/>
      <w:pgSz w:w="11907" w:h="16840"/>
      <w:pgMar w:top="2098" w:right="1531" w:bottom="1531" w:left="1531" w:header="851" w:footer="1587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Times New Roman" w:hAnsi="Times New Roman"/>
        <w:sz w:val="28"/>
        <w:szCs w:val="28"/>
      </w:rPr>
    </w:pPr>
    <w:r>
      <w:rPr>
        <w:rStyle w:val="13"/>
        <w:rFonts w:ascii="Times New Roman" w:hAnsi="Times New Roman"/>
        <w:sz w:val="28"/>
        <w:szCs w:val="28"/>
      </w:rPr>
      <w:t>—</w:t>
    </w:r>
    <w:r>
      <w:rPr>
        <w:rStyle w:val="13"/>
        <w:rFonts w:ascii="Times New Roman" w:hAnsi="Times New Roman"/>
        <w:sz w:val="28"/>
        <w:szCs w:val="28"/>
      </w:rPr>
      <w:fldChar w:fldCharType="begin"/>
    </w:r>
    <w:r>
      <w:rPr>
        <w:rStyle w:val="13"/>
        <w:rFonts w:ascii="Times New Roman" w:hAnsi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/>
        <w:sz w:val="28"/>
        <w:szCs w:val="28"/>
      </w:rPr>
      <w:fldChar w:fldCharType="separate"/>
    </w:r>
    <w:r>
      <w:rPr>
        <w:rStyle w:val="13"/>
        <w:rFonts w:ascii="Times New Roman" w:hAnsi="Times New Roman"/>
        <w:sz w:val="28"/>
        <w:szCs w:val="28"/>
      </w:rPr>
      <w:t>10</w:t>
    </w:r>
    <w:r>
      <w:rPr>
        <w:rStyle w:val="13"/>
        <w:rFonts w:ascii="Times New Roman" w:hAnsi="Times New Roman"/>
        <w:sz w:val="28"/>
        <w:szCs w:val="28"/>
      </w:rPr>
      <w:fldChar w:fldCharType="end"/>
    </w:r>
    <w:r>
      <w:rPr>
        <w:rStyle w:val="13"/>
        <w:rFonts w:ascii="Times New Roman" w:hAnsi="Times New Roman"/>
        <w:sz w:val="28"/>
        <w:szCs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F9D94"/>
    <w:multiLevelType w:val="singleLevel"/>
    <w:tmpl w:val="664F9D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2511"/>
    <w:rsid w:val="08B80B5A"/>
    <w:rsid w:val="0B4F6C35"/>
    <w:rsid w:val="0B715E8D"/>
    <w:rsid w:val="0D1B418F"/>
    <w:rsid w:val="14C4595F"/>
    <w:rsid w:val="1E7C74D7"/>
    <w:rsid w:val="1F8E1E00"/>
    <w:rsid w:val="20AD4E7A"/>
    <w:rsid w:val="3F782878"/>
    <w:rsid w:val="410E48A0"/>
    <w:rsid w:val="46876ADC"/>
    <w:rsid w:val="4A9B386F"/>
    <w:rsid w:val="4F3E0E41"/>
    <w:rsid w:val="52A87F9E"/>
    <w:rsid w:val="5334697C"/>
    <w:rsid w:val="543560D7"/>
    <w:rsid w:val="572F3E29"/>
    <w:rsid w:val="63437247"/>
    <w:rsid w:val="6ED63B67"/>
    <w:rsid w:val="719C517B"/>
    <w:rsid w:val="742B1E07"/>
    <w:rsid w:val="756711CB"/>
    <w:rsid w:val="75C335F0"/>
    <w:rsid w:val="77411FA4"/>
    <w:rsid w:val="78A64172"/>
    <w:rsid w:val="7B09486E"/>
    <w:rsid w:val="7F0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="Calibri" w:hAnsi="Calibri" w:eastAsia="楷体_GB2312" w:cs="Times New Roman"/>
      <w:b/>
      <w:kern w:val="44"/>
      <w:sz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420" w:firstLineChars="100"/>
    </w:pPr>
    <w:rPr>
      <w:rFonts w:ascii="Times New Roman" w:hAnsi="Times New Roman"/>
      <w:szCs w:val="21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2024-03-04T02:48:00Z</dcterms:created>
  <dc:creator>qhtf</dc:creator>
  <cp:lastModifiedBy>Administrator</cp:lastModifiedBy>
  <cp:lastPrinted>2026-01-20T10:09:00Z</cp:lastPrinted>
  <dcterms:modified xsi:type="dcterms:W3CDTF">2026-01-29T09:06:09Z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88BB29EBAC7E438EA129216EBF41FA1C</vt:lpwstr>
  </property>
</Properties>
</file>