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沙湾市发改委2024年政府信息公开工作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按照自治区《关于做好政府信息公开工作年度报告编制工作的函》及地、市工作要求，为保障公民、法人和其他组织依法获取政府信息，沙湾市发改委本着公开、全面、准确、及时的原则，大力推进政府信息公开工作，充分发挥政府信息的服务和监督作用。现将沙湾市发改委2024年政府信息公开工作年度报告予以公布，所列数据统计期限为2024年1月1日至2024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沙湾市发改委严格按照《沙湾市人民政府办公室&lt;沙湾市2024年政务公开要点&gt;的通知》（沙政办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〔2024〕17号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）工作要求和安排部署，深入推进政府信息公开工作，不断提高政务公开实效，2024年通过政府网站主动公开信息78条、依申请公开8条。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20"/>
        <w:gridCol w:w="216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5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45"/>
        <w:gridCol w:w="3180"/>
        <w:gridCol w:w="390"/>
        <w:gridCol w:w="705"/>
        <w:gridCol w:w="735"/>
        <w:gridCol w:w="765"/>
        <w:gridCol w:w="735"/>
        <w:gridCol w:w="49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20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3435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法人或其他组织</w:t>
            </w:r>
          </w:p>
        </w:tc>
        <w:tc>
          <w:tcPr>
            <w:tcW w:w="38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商业企业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科研机构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社会公益组织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法律服务机构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38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三、本年度办理结果</w:t>
            </w: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（一）予以公开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（三）不予公开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1.属于国家秘密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2.其他法律行政法规禁止公开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3.危及“三安全一稳定”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4.保护第三方合法权益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5.属于三类内部事务信息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6.属于四类过程性信息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7.属于行政执法案件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8.属于行政查询事项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（四）无法提供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1.本机关不掌握相关政府信息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2.没有现成信息需要另行制作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3.补正后申请内容仍不明确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（五）不予处理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1.信访举报投诉类渠道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3.要求提供公开出版物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4.无正当理由大量反复申请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（六）其他处理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3.其他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（七）总计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四、结转下年度继续办理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tbl>
      <w:tblPr>
        <w:tblStyle w:val="6"/>
        <w:tblpPr w:leftFromText="180" w:rightFromText="180" w:vertAnchor="text" w:horzAnchor="page" w:tblpX="1508" w:tblpY="6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1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存在的主要问题是：部分政府信息公开不及时，工作主动性和效率需进一步提高。下一步，我委将</w:t>
      </w:r>
      <w:r>
        <w:rPr>
          <w:rFonts w:hint="eastAsia" w:ascii="Times New Roman" w:hAnsi="Times New Roman" w:eastAsia="仿宋_GB2312" w:cs="宋体"/>
          <w:sz w:val="32"/>
          <w:szCs w:val="32"/>
        </w:rPr>
        <w:t>深入学习《政府信息公开条例》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法律法规和政策</w:t>
      </w:r>
      <w:r>
        <w:rPr>
          <w:rFonts w:hint="eastAsia" w:ascii="Times New Roman" w:hAnsi="Times New Roman" w:eastAsia="仿宋_GB2312" w:cs="宋体"/>
          <w:sz w:val="32"/>
          <w:szCs w:val="32"/>
        </w:rPr>
        <w:t>文件精神，更好、更准确、更全面的把握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宋体"/>
          <w:sz w:val="32"/>
          <w:szCs w:val="32"/>
        </w:rPr>
        <w:t>要求，明确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工作责任、细化工作措施</w:t>
      </w:r>
      <w:r>
        <w:rPr>
          <w:rFonts w:hint="eastAsia" w:ascii="Times New Roman" w:hAnsi="Times New Roman" w:eastAsia="仿宋_GB2312" w:cs="宋体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严格执行信息公开程序，进一步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提高信息公开工作的水平和能力，推动</w:t>
      </w:r>
      <w:r>
        <w:rPr>
          <w:rFonts w:hint="eastAsia" w:ascii="Times New Roman" w:hAnsi="Times New Roman" w:eastAsia="仿宋_GB2312" w:cs="宋体"/>
          <w:sz w:val="32"/>
          <w:szCs w:val="32"/>
        </w:rPr>
        <w:t>政府信息公开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更有力有效的开展。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本机关按照&lt;&lt;国务院办公厅关于印发&lt;政府信息公开信息处理费管理办法&gt;的通知&gt;&gt;(国办函〔2020]109号)规定的按件、按量收费标准，本年度没有产生信息公开处理费。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9B197"/>
    <w:multiLevelType w:val="singleLevel"/>
    <w:tmpl w:val="1529B19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DFC"/>
    <w:rsid w:val="001310EE"/>
    <w:rsid w:val="01541FBE"/>
    <w:rsid w:val="029B44D3"/>
    <w:rsid w:val="02ED0A5A"/>
    <w:rsid w:val="049B749C"/>
    <w:rsid w:val="04A732AF"/>
    <w:rsid w:val="04FA6DDB"/>
    <w:rsid w:val="064B0456"/>
    <w:rsid w:val="06654509"/>
    <w:rsid w:val="06DD7862"/>
    <w:rsid w:val="070A2A99"/>
    <w:rsid w:val="074B5463"/>
    <w:rsid w:val="07EC690F"/>
    <w:rsid w:val="082D18F6"/>
    <w:rsid w:val="082F2F82"/>
    <w:rsid w:val="09A8571F"/>
    <w:rsid w:val="09FD2198"/>
    <w:rsid w:val="0A2C751F"/>
    <w:rsid w:val="0AC32834"/>
    <w:rsid w:val="0BD41778"/>
    <w:rsid w:val="0D68630B"/>
    <w:rsid w:val="0D7A1AA8"/>
    <w:rsid w:val="0D830CB6"/>
    <w:rsid w:val="0E152FAC"/>
    <w:rsid w:val="0EB070DC"/>
    <w:rsid w:val="0EC07BC1"/>
    <w:rsid w:val="0FC306E9"/>
    <w:rsid w:val="10545A59"/>
    <w:rsid w:val="108904B2"/>
    <w:rsid w:val="10EF7223"/>
    <w:rsid w:val="129B5913"/>
    <w:rsid w:val="12FA6FB1"/>
    <w:rsid w:val="13125545"/>
    <w:rsid w:val="148C60C3"/>
    <w:rsid w:val="16265E64"/>
    <w:rsid w:val="17543053"/>
    <w:rsid w:val="17BE4C81"/>
    <w:rsid w:val="17F3249E"/>
    <w:rsid w:val="18010E13"/>
    <w:rsid w:val="18303CBB"/>
    <w:rsid w:val="185F480A"/>
    <w:rsid w:val="18D21BDA"/>
    <w:rsid w:val="19224548"/>
    <w:rsid w:val="19525097"/>
    <w:rsid w:val="195F43AD"/>
    <w:rsid w:val="1A5A4678"/>
    <w:rsid w:val="1A5A58C9"/>
    <w:rsid w:val="1AFA2058"/>
    <w:rsid w:val="1B841E18"/>
    <w:rsid w:val="1C0B5290"/>
    <w:rsid w:val="1D181F4A"/>
    <w:rsid w:val="1E583572"/>
    <w:rsid w:val="1EC16A83"/>
    <w:rsid w:val="1EF42755"/>
    <w:rsid w:val="1F067F13"/>
    <w:rsid w:val="1F25786B"/>
    <w:rsid w:val="1F94485C"/>
    <w:rsid w:val="2046687E"/>
    <w:rsid w:val="211749D8"/>
    <w:rsid w:val="21E04817"/>
    <w:rsid w:val="23436267"/>
    <w:rsid w:val="24EB0BA1"/>
    <w:rsid w:val="25BF65FB"/>
    <w:rsid w:val="260D0883"/>
    <w:rsid w:val="26C05118"/>
    <w:rsid w:val="273D0B77"/>
    <w:rsid w:val="274554FD"/>
    <w:rsid w:val="277933CE"/>
    <w:rsid w:val="28503431"/>
    <w:rsid w:val="28BA505F"/>
    <w:rsid w:val="28E613A6"/>
    <w:rsid w:val="29585E62"/>
    <w:rsid w:val="298973DB"/>
    <w:rsid w:val="29E60159"/>
    <w:rsid w:val="2A8C4F5A"/>
    <w:rsid w:val="2AEB07F7"/>
    <w:rsid w:val="2B33446E"/>
    <w:rsid w:val="2B7661DC"/>
    <w:rsid w:val="2B7A135F"/>
    <w:rsid w:val="2BAF445C"/>
    <w:rsid w:val="2BD716F9"/>
    <w:rsid w:val="2BFE2C3D"/>
    <w:rsid w:val="2E1113A3"/>
    <w:rsid w:val="2E461550"/>
    <w:rsid w:val="2E4B2482"/>
    <w:rsid w:val="2E6E003B"/>
    <w:rsid w:val="2EE4137C"/>
    <w:rsid w:val="2F137428"/>
    <w:rsid w:val="2F9F78B1"/>
    <w:rsid w:val="2FD5681A"/>
    <w:rsid w:val="30E77847"/>
    <w:rsid w:val="31501EF7"/>
    <w:rsid w:val="32384D1A"/>
    <w:rsid w:val="325F1A77"/>
    <w:rsid w:val="330F4DFC"/>
    <w:rsid w:val="332848FF"/>
    <w:rsid w:val="333A4819"/>
    <w:rsid w:val="339C103A"/>
    <w:rsid w:val="340E0074"/>
    <w:rsid w:val="35897705"/>
    <w:rsid w:val="35F01175"/>
    <w:rsid w:val="361913CE"/>
    <w:rsid w:val="365319B0"/>
    <w:rsid w:val="36817AF9"/>
    <w:rsid w:val="369D3BA6"/>
    <w:rsid w:val="375D74DC"/>
    <w:rsid w:val="38987258"/>
    <w:rsid w:val="38BE10FC"/>
    <w:rsid w:val="39CD7260"/>
    <w:rsid w:val="3AD0140D"/>
    <w:rsid w:val="3BAC4273"/>
    <w:rsid w:val="3D2C727A"/>
    <w:rsid w:val="3D5C3FB9"/>
    <w:rsid w:val="3DEE7CCA"/>
    <w:rsid w:val="3EA55255"/>
    <w:rsid w:val="3F9B06C8"/>
    <w:rsid w:val="3FC91B34"/>
    <w:rsid w:val="40B25A3A"/>
    <w:rsid w:val="41302380"/>
    <w:rsid w:val="41EC3DB8"/>
    <w:rsid w:val="425E35DB"/>
    <w:rsid w:val="42A7632C"/>
    <w:rsid w:val="42D96EB9"/>
    <w:rsid w:val="42EA52D4"/>
    <w:rsid w:val="43AE4CF2"/>
    <w:rsid w:val="43D24ED2"/>
    <w:rsid w:val="442510D9"/>
    <w:rsid w:val="448167FE"/>
    <w:rsid w:val="44DA7903"/>
    <w:rsid w:val="458529BE"/>
    <w:rsid w:val="472F63F6"/>
    <w:rsid w:val="475F50A3"/>
    <w:rsid w:val="47916C99"/>
    <w:rsid w:val="47A44BEB"/>
    <w:rsid w:val="48B039C4"/>
    <w:rsid w:val="4961356F"/>
    <w:rsid w:val="49AB26EA"/>
    <w:rsid w:val="49C60D15"/>
    <w:rsid w:val="4A1F5CB8"/>
    <w:rsid w:val="4B737AD7"/>
    <w:rsid w:val="4BF957B2"/>
    <w:rsid w:val="4D185C09"/>
    <w:rsid w:val="4D67120C"/>
    <w:rsid w:val="4E144BA8"/>
    <w:rsid w:val="4ECA0E53"/>
    <w:rsid w:val="4EF61917"/>
    <w:rsid w:val="4F391107"/>
    <w:rsid w:val="4F9E5261"/>
    <w:rsid w:val="4FD64FE1"/>
    <w:rsid w:val="4FF166B7"/>
    <w:rsid w:val="50234908"/>
    <w:rsid w:val="50835C26"/>
    <w:rsid w:val="512963B4"/>
    <w:rsid w:val="51E113E5"/>
    <w:rsid w:val="53B15DDD"/>
    <w:rsid w:val="545455E7"/>
    <w:rsid w:val="55A842C1"/>
    <w:rsid w:val="566662CB"/>
    <w:rsid w:val="57E37DC1"/>
    <w:rsid w:val="57E60ADA"/>
    <w:rsid w:val="57F13854"/>
    <w:rsid w:val="585B0D05"/>
    <w:rsid w:val="59C36FD2"/>
    <w:rsid w:val="5A554343"/>
    <w:rsid w:val="5A6310DA"/>
    <w:rsid w:val="5B2840CD"/>
    <w:rsid w:val="5B314E1D"/>
    <w:rsid w:val="5B723495"/>
    <w:rsid w:val="5BF062E2"/>
    <w:rsid w:val="5C6F436D"/>
    <w:rsid w:val="5C840D54"/>
    <w:rsid w:val="5D1E0F52"/>
    <w:rsid w:val="5D3046F0"/>
    <w:rsid w:val="5DA62130"/>
    <w:rsid w:val="5E096C5A"/>
    <w:rsid w:val="5E394EA7"/>
    <w:rsid w:val="5E471CBA"/>
    <w:rsid w:val="5E6202E5"/>
    <w:rsid w:val="5EB61D4B"/>
    <w:rsid w:val="5F7E303B"/>
    <w:rsid w:val="5F933EDA"/>
    <w:rsid w:val="5FED586D"/>
    <w:rsid w:val="60323DAB"/>
    <w:rsid w:val="6231350E"/>
    <w:rsid w:val="62C25396"/>
    <w:rsid w:val="62D21DAE"/>
    <w:rsid w:val="62E010C3"/>
    <w:rsid w:val="62E02974"/>
    <w:rsid w:val="62EB7913"/>
    <w:rsid w:val="643861FD"/>
    <w:rsid w:val="66FF570B"/>
    <w:rsid w:val="688D0395"/>
    <w:rsid w:val="68CC36FD"/>
    <w:rsid w:val="68D545C8"/>
    <w:rsid w:val="68E214DC"/>
    <w:rsid w:val="69164A76"/>
    <w:rsid w:val="698044A5"/>
    <w:rsid w:val="69B610FC"/>
    <w:rsid w:val="6C0F21D5"/>
    <w:rsid w:val="6C411AAB"/>
    <w:rsid w:val="6C710F75"/>
    <w:rsid w:val="6D162D88"/>
    <w:rsid w:val="6D3F614A"/>
    <w:rsid w:val="6D692884"/>
    <w:rsid w:val="6E1C4834"/>
    <w:rsid w:val="6EAA0C20"/>
    <w:rsid w:val="6FBD3F60"/>
    <w:rsid w:val="704A134B"/>
    <w:rsid w:val="710A7485"/>
    <w:rsid w:val="71671231"/>
    <w:rsid w:val="72445F08"/>
    <w:rsid w:val="726F6D4C"/>
    <w:rsid w:val="73391C98"/>
    <w:rsid w:val="737465FA"/>
    <w:rsid w:val="73E752B4"/>
    <w:rsid w:val="751C2634"/>
    <w:rsid w:val="75815055"/>
    <w:rsid w:val="76CE7275"/>
    <w:rsid w:val="76DB1E0E"/>
    <w:rsid w:val="775C1463"/>
    <w:rsid w:val="77A02E51"/>
    <w:rsid w:val="77C23DC8"/>
    <w:rsid w:val="781C459E"/>
    <w:rsid w:val="78D00FC5"/>
    <w:rsid w:val="79061112"/>
    <w:rsid w:val="797745D6"/>
    <w:rsid w:val="7A124E54"/>
    <w:rsid w:val="7B966B98"/>
    <w:rsid w:val="7C414EAD"/>
    <w:rsid w:val="7D1C7D0A"/>
    <w:rsid w:val="7D6619C8"/>
    <w:rsid w:val="7D6E3E30"/>
    <w:rsid w:val="7F700E18"/>
    <w:rsid w:val="7F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1199</Characters>
  <Lines>0</Lines>
  <Paragraphs>0</Paragraphs>
  <TotalTime>0</TotalTime>
  <ScaleCrop>false</ScaleCrop>
  <LinksUpToDate>false</LinksUpToDate>
  <CharactersWithSpaces>1199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2023-05-19T09:58:00Z</dcterms:created>
  <dc:creator>lenovo</dc:creator>
  <cp:lastModifiedBy>Administrator</cp:lastModifiedBy>
  <cp:lastPrinted>2025-01-24T06:02:00Z</cp:lastPrinted>
  <dcterms:modified xsi:type="dcterms:W3CDTF">2026-01-28T11:06:13Z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AD724BA2183B41D098131FCC5E2126C0</vt:lpwstr>
  </property>
  <property fmtid="{D5CDD505-2E9C-101B-9397-08002B2CF9AE}" pid="4" name="KSOTemplateDocerSaveRecord">
    <vt:lpwstr>eyJoZGlkIjoiOTFmMmYyZTVjNjY2ZTY0OTdiOTI0NDI3MDg0YzM3YmYiLCJ1c2VySWQiOiIxNjY3NzY4Mzk1In0=</vt:lpwstr>
  </property>
</Properties>
</file>