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eastAsia="zh-CN"/>
        </w:rPr>
      </w:pP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关于沙湾</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市</w:t>
      </w: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市区范围内禁止中型、重型载货车辆通行与</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国四</w:t>
      </w: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及</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以下排放标准柴油货车限行措施的通告</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i w:val="0"/>
          <w:iCs w:val="0"/>
          <w:caps w:val="0"/>
          <w:strike w:val="0"/>
          <w:color w:val="auto"/>
          <w:spacing w:val="0"/>
          <w:sz w:val="24"/>
          <w:szCs w:val="32"/>
          <w:u w:val="none"/>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rPr>
      </w:pPr>
      <w:r>
        <w:rPr>
          <w:rFonts w:hint="eastAsia" w:ascii="仿宋_GB2312" w:hAnsi="仿宋_GB2312" w:eastAsia="仿宋_GB2312" w:cs="仿宋_GB2312"/>
          <w:b w:val="0"/>
          <w:i w:val="0"/>
          <w:iCs w:val="0"/>
          <w:caps w:val="0"/>
          <w:strike w:val="0"/>
          <w:color w:val="auto"/>
          <w:spacing w:val="0"/>
          <w:sz w:val="32"/>
          <w:szCs w:val="32"/>
          <w:u w:val="none"/>
        </w:rPr>
        <w:t>为进一步改善环境空气质量，有效控制和减少柴油货车污染，</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保障道路交通安全畅通，</w:t>
      </w:r>
      <w:r>
        <w:rPr>
          <w:rFonts w:hint="eastAsia" w:ascii="仿宋_GB2312" w:hAnsi="仿宋_GB2312" w:eastAsia="仿宋_GB2312" w:cs="仿宋_GB2312"/>
          <w:b w:val="0"/>
          <w:i w:val="0"/>
          <w:iCs w:val="0"/>
          <w:caps w:val="0"/>
          <w:strike w:val="0"/>
          <w:color w:val="auto"/>
          <w:spacing w:val="0"/>
          <w:sz w:val="32"/>
          <w:szCs w:val="32"/>
          <w:u w:val="none"/>
        </w:rPr>
        <w:t>保护人民群众身体健康，根据《中华人民共和国大气污染防治法》《中华人民共和国道路交通安全法》《新疆维吾尔自治区环境保护条例》《新疆维吾尔自治区大气污染防治条例》等有关规定，现就</w:t>
      </w:r>
      <w:r>
        <w:rPr>
          <w:rFonts w:hint="eastAsia" w:ascii="仿宋_GB2312" w:hAnsi="仿宋_GB2312" w:eastAsia="仿宋_GB2312" w:cs="仿宋_GB2312"/>
          <w:b w:val="0"/>
          <w:i w:val="0"/>
          <w:iCs w:val="0"/>
          <w:caps w:val="0"/>
          <w:strike w:val="0"/>
          <w:color w:val="auto"/>
          <w:spacing w:val="0"/>
          <w:sz w:val="32"/>
          <w:szCs w:val="32"/>
          <w:u w:val="none"/>
          <w:lang w:val="en-US" w:eastAsia="zh-CN"/>
        </w:rPr>
        <w:t>沙湾</w:t>
      </w:r>
      <w:r>
        <w:rPr>
          <w:rFonts w:hint="eastAsia" w:ascii="仿宋_GB2312" w:hAnsi="仿宋_GB2312" w:eastAsia="仿宋_GB2312" w:cs="仿宋_GB2312"/>
          <w:b w:val="0"/>
          <w:i w:val="0"/>
          <w:iCs w:val="0"/>
          <w:caps w:val="0"/>
          <w:strike w:val="0"/>
          <w:color w:val="auto"/>
          <w:spacing w:val="0"/>
          <w:sz w:val="32"/>
          <w:szCs w:val="32"/>
          <w:u w:val="none"/>
        </w:rPr>
        <w:t>市</w:t>
      </w:r>
      <w:r>
        <w:rPr>
          <w:rFonts w:hint="eastAsia" w:ascii="仿宋_GB2312" w:hAnsi="仿宋_GB2312" w:eastAsia="仿宋_GB2312" w:cs="仿宋_GB2312"/>
          <w:b w:val="0"/>
          <w:i w:val="0"/>
          <w:iCs w:val="0"/>
          <w:caps w:val="0"/>
          <w:strike w:val="0"/>
          <w:color w:val="auto"/>
          <w:spacing w:val="0"/>
          <w:sz w:val="32"/>
          <w:szCs w:val="32"/>
          <w:u w:val="none"/>
          <w:lang w:val="en-US" w:eastAsia="zh-CN"/>
        </w:rPr>
        <w:t>市区范围内禁止中型、重型载货车辆通行与</w:t>
      </w:r>
      <w:r>
        <w:rPr>
          <w:rFonts w:hint="eastAsia" w:ascii="仿宋_GB2312" w:hAnsi="仿宋_GB2312" w:eastAsia="仿宋_GB2312" w:cs="仿宋_GB2312"/>
          <w:b w:val="0"/>
          <w:i w:val="0"/>
          <w:iCs w:val="0"/>
          <w:caps w:val="0"/>
          <w:strike w:val="0"/>
          <w:color w:val="auto"/>
          <w:spacing w:val="0"/>
          <w:sz w:val="32"/>
          <w:szCs w:val="32"/>
          <w:u w:val="none"/>
        </w:rPr>
        <w:t>国四</w:t>
      </w:r>
      <w:r>
        <w:rPr>
          <w:rFonts w:hint="eastAsia" w:ascii="仿宋_GB2312" w:hAnsi="仿宋_GB2312" w:eastAsia="仿宋_GB2312" w:cs="仿宋_GB2312"/>
          <w:b w:val="0"/>
          <w:i w:val="0"/>
          <w:iCs w:val="0"/>
          <w:caps w:val="0"/>
          <w:strike w:val="0"/>
          <w:color w:val="auto"/>
          <w:spacing w:val="0"/>
          <w:sz w:val="32"/>
          <w:szCs w:val="32"/>
          <w:u w:val="none"/>
          <w:lang w:val="en-US" w:eastAsia="zh-CN"/>
        </w:rPr>
        <w:t>及</w:t>
      </w:r>
      <w:r>
        <w:rPr>
          <w:rFonts w:hint="eastAsia" w:ascii="仿宋_GB2312" w:hAnsi="仿宋_GB2312" w:eastAsia="仿宋_GB2312" w:cs="仿宋_GB2312"/>
          <w:b w:val="0"/>
          <w:i w:val="0"/>
          <w:iCs w:val="0"/>
          <w:caps w:val="0"/>
          <w:strike w:val="0"/>
          <w:color w:val="auto"/>
          <w:spacing w:val="0"/>
          <w:sz w:val="32"/>
          <w:szCs w:val="32"/>
          <w:u w:val="none"/>
        </w:rPr>
        <w:t>以下排放标准柴油货车限行措施通告如下。</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黑体"/>
          <w:b w:val="0"/>
          <w:i w:val="0"/>
          <w:iCs w:val="0"/>
          <w:caps w:val="0"/>
          <w:strike w:val="0"/>
          <w:color w:val="auto"/>
          <w:spacing w:val="0"/>
          <w:sz w:val="32"/>
          <w:szCs w:val="32"/>
          <w:u w:val="none"/>
          <w:lang w:val="en-US" w:eastAsia="zh-CN"/>
        </w:rPr>
      </w:pPr>
      <w:r>
        <w:rPr>
          <w:rFonts w:hint="eastAsia" w:ascii="黑体" w:hAnsi="黑体" w:eastAsia="黑体" w:cs="黑体"/>
          <w:b w:val="0"/>
          <w:i w:val="0"/>
          <w:iCs w:val="0"/>
          <w:caps w:val="0"/>
          <w:strike w:val="0"/>
          <w:color w:val="auto"/>
          <w:spacing w:val="0"/>
          <w:sz w:val="32"/>
          <w:szCs w:val="32"/>
          <w:u w:val="none"/>
          <w:lang w:val="en-US" w:eastAsia="zh-CN"/>
        </w:rPr>
        <w:t>一、限行规定</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i w:val="0"/>
          <w:iCs w:val="0"/>
          <w:caps w:val="0"/>
          <w:strike w:val="0"/>
          <w:color w:val="auto"/>
          <w:spacing w:val="0"/>
          <w:sz w:val="32"/>
          <w:szCs w:val="32"/>
          <w:u w:val="none"/>
          <w:lang w:val="en-US" w:eastAsia="zh-CN"/>
        </w:rPr>
      </w:pPr>
      <w:r>
        <w:rPr>
          <w:rFonts w:hint="eastAsia" w:ascii="楷体_GB2312" w:hAnsi="楷体_GB2312" w:eastAsia="楷体_GB2312" w:cs="楷体_GB2312"/>
          <w:b w:val="0"/>
          <w:i w:val="0"/>
          <w:iCs w:val="0"/>
          <w:caps w:val="0"/>
          <w:strike w:val="0"/>
          <w:color w:val="auto"/>
          <w:spacing w:val="0"/>
          <w:sz w:val="32"/>
          <w:szCs w:val="32"/>
          <w:u w:val="none"/>
          <w:lang w:val="en-US" w:eastAsia="zh-CN"/>
        </w:rPr>
        <w:t>（一）限行区域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pP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1.</w:t>
      </w: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一类限行区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pP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具体范围：迎宾南路-天山东路-金沟河南路（含）-翠山路（含）-宝山路（含）-西公园路（含）-乌鲁木齐西路（含，西至森林公园检查站）-桃园路（含，西至桃园三期南区、北区）-友好北路（含）-玛纳斯路（含）-大泉路（含）-北京东路（含）-金沟河北路（含）-南京路（含）-凯旋北路（含）-宁波路（含）-重庆路（含）-乌鲁木齐东路围合区域。具体范围参照示意图，以进入城区各路口标识标牌为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pP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2</w:t>
      </w: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w:t>
      </w: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二类限行区：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①</w:t>
      </w:r>
      <w:r>
        <w:rPr>
          <w:rFonts w:hint="eastAsia" w:ascii="仿宋_GB2312" w:hAnsi="仿宋_GB2312" w:eastAsia="仿宋_GB2312" w:cs="仿宋_GB2312"/>
          <w:b w:val="0"/>
          <w:i w:val="0"/>
          <w:iCs w:val="0"/>
          <w:caps w:val="0"/>
          <w:strike w:val="0"/>
          <w:color w:val="auto"/>
          <w:spacing w:val="0"/>
          <w:sz w:val="32"/>
          <w:szCs w:val="32"/>
          <w:u w:val="none"/>
          <w:lang w:val="en-US" w:eastAsia="zh-CN"/>
        </w:rPr>
        <w:t>迎宾北路</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（含）—</w:t>
      </w:r>
      <w:r>
        <w:rPr>
          <w:rFonts w:hint="eastAsia" w:ascii="仿宋_GB2312" w:hAnsi="仿宋_GB2312" w:eastAsia="仿宋_GB2312" w:cs="仿宋_GB2312"/>
          <w:b w:val="0"/>
          <w:i w:val="0"/>
          <w:iCs w:val="0"/>
          <w:caps w:val="0"/>
          <w:strike w:val="0"/>
          <w:color w:val="auto"/>
          <w:spacing w:val="0"/>
          <w:sz w:val="32"/>
          <w:szCs w:val="32"/>
          <w:u w:val="none"/>
          <w:lang w:val="en-US" w:eastAsia="zh-CN"/>
        </w:rPr>
        <w:t>智慧大道东路（含）</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w:t>
      </w:r>
      <w:r>
        <w:rPr>
          <w:rFonts w:hint="eastAsia" w:ascii="仿宋_GB2312" w:hAnsi="仿宋_GB2312" w:eastAsia="仿宋_GB2312" w:cs="仿宋_GB2312"/>
          <w:b w:val="0"/>
          <w:i w:val="0"/>
          <w:iCs w:val="0"/>
          <w:caps w:val="0"/>
          <w:strike w:val="0"/>
          <w:color w:val="auto"/>
          <w:spacing w:val="0"/>
          <w:sz w:val="32"/>
          <w:szCs w:val="32"/>
          <w:u w:val="none"/>
          <w:lang w:val="en-US" w:eastAsia="zh-CN"/>
        </w:rPr>
        <w:t>金沟河北路（含）</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w:t>
      </w:r>
      <w:r>
        <w:rPr>
          <w:rFonts w:hint="eastAsia" w:ascii="仿宋_GB2312" w:hAnsi="仿宋_GB2312" w:eastAsia="仿宋_GB2312" w:cs="仿宋_GB2312"/>
          <w:b w:val="0"/>
          <w:i w:val="0"/>
          <w:iCs w:val="0"/>
          <w:caps w:val="0"/>
          <w:strike w:val="0"/>
          <w:color w:val="auto"/>
          <w:spacing w:val="0"/>
          <w:sz w:val="32"/>
          <w:szCs w:val="32"/>
          <w:u w:val="none"/>
          <w:lang w:val="en-US" w:eastAsia="zh-CN"/>
        </w:rPr>
        <w:t>北京东路</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—北京西路—桃园路（含）—乌鲁木齐西路—乌鲁木齐东路</w:t>
      </w:r>
      <w:r>
        <w:rPr>
          <w:rFonts w:hint="eastAsia" w:ascii="仿宋_GB2312" w:hAnsi="仿宋_GB2312" w:eastAsia="仿宋_GB2312" w:cs="仿宋_GB2312"/>
          <w:b w:val="0"/>
          <w:i w:val="0"/>
          <w:iCs w:val="0"/>
          <w:caps w:val="0"/>
          <w:strike w:val="0"/>
          <w:color w:val="auto"/>
          <w:spacing w:val="0"/>
          <w:sz w:val="32"/>
          <w:szCs w:val="32"/>
          <w:u w:val="none"/>
          <w:lang w:val="en-US" w:eastAsia="zh-CN"/>
        </w:rPr>
        <w:t>围合区域。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②乌鲁木齐东路</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—凯旋路（含）—人民路（含）—金沟河南路（含）—广场东路（含）—广场西路（含）—友好南路（含）—乌鲁木齐西路</w:t>
      </w:r>
      <w:r>
        <w:rPr>
          <w:rFonts w:hint="eastAsia" w:ascii="仿宋_GB2312" w:hAnsi="仿宋_GB2312" w:eastAsia="仿宋_GB2312" w:cs="仿宋_GB2312"/>
          <w:b w:val="0"/>
          <w:i w:val="0"/>
          <w:iCs w:val="0"/>
          <w:caps w:val="0"/>
          <w:strike w:val="0"/>
          <w:color w:val="auto"/>
          <w:spacing w:val="0"/>
          <w:sz w:val="32"/>
          <w:szCs w:val="32"/>
          <w:u w:val="none"/>
          <w:lang w:val="en-US" w:eastAsia="zh-CN"/>
        </w:rPr>
        <w:t>围合区域</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pP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3</w:t>
      </w: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w:t>
      </w: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三类限行区：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智慧大道西路（含）</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—桃园路（含）—北京西路—奎屯路（含）围合区域。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i w:val="0"/>
          <w:iCs w:val="0"/>
          <w:caps w:val="0"/>
          <w:strike w:val="0"/>
          <w:color w:val="auto"/>
          <w:spacing w:val="0"/>
          <w:sz w:val="32"/>
          <w:szCs w:val="32"/>
          <w:u w:val="none"/>
          <w:lang w:val="en-US" w:eastAsia="zh-CN"/>
        </w:rPr>
      </w:pPr>
      <w:r>
        <w:rPr>
          <w:rFonts w:hint="eastAsia" w:ascii="楷体_GB2312" w:hAnsi="楷体_GB2312" w:eastAsia="楷体_GB2312" w:cs="楷体_GB2312"/>
          <w:b w:val="0"/>
          <w:i w:val="0"/>
          <w:iCs w:val="0"/>
          <w:caps w:val="0"/>
          <w:strike w:val="0"/>
          <w:color w:val="auto"/>
          <w:spacing w:val="0"/>
          <w:sz w:val="32"/>
          <w:szCs w:val="32"/>
          <w:u w:val="none"/>
          <w:lang w:val="en-US" w:eastAsia="zh-CN"/>
        </w:rPr>
        <w:t>（二）限行措施及执行时间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0"/>
        <w:jc w:val="left"/>
        <w:textAlignment w:val="auto"/>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pP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1.</w:t>
      </w: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一类限行区：</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自</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202</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6</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年</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3</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月1日起，全天禁止</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中型、重型载货车辆通行，如有需要办理通行许可后方可进入。过境货运车辆绕行外环路（产业园路）。</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0"/>
        <w:jc w:val="left"/>
        <w:textAlignment w:val="auto"/>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pP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2.二类限行区：</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自</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202</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6</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年</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3</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月1日起，全天禁止国三及以下排放标准柴油货车在此区域内通行。</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自2027年3月1日起，</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全天禁止国四</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及以下</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排放标准柴油货车在此区域内通行。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0"/>
        <w:jc w:val="left"/>
        <w:textAlignment w:val="auto"/>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pP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3</w:t>
      </w: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w:t>
      </w:r>
      <w:r>
        <w:rPr>
          <w:rFonts w:hint="eastAsia" w:ascii="仿宋_GB2312" w:hAnsi="仿宋_GB2312" w:eastAsia="仿宋_GB2312" w:cs="仿宋_GB2312"/>
          <w:b/>
          <w:bCs/>
          <w:i w:val="0"/>
          <w:iCs w:val="0"/>
          <w:caps w:val="0"/>
          <w:strike w:val="0"/>
          <w:color w:val="auto"/>
          <w:spacing w:val="0"/>
          <w:kern w:val="2"/>
          <w:sz w:val="32"/>
          <w:szCs w:val="32"/>
          <w:u w:val="none"/>
          <w:lang w:val="en-US" w:eastAsia="zh-CN" w:bidi="ar-SA"/>
        </w:rPr>
        <w:t>三</w:t>
      </w:r>
      <w:r>
        <w:rPr>
          <w:rFonts w:hint="default" w:ascii="仿宋_GB2312" w:hAnsi="仿宋_GB2312" w:eastAsia="仿宋_GB2312" w:cs="仿宋_GB2312"/>
          <w:b/>
          <w:bCs/>
          <w:i w:val="0"/>
          <w:iCs w:val="0"/>
          <w:caps w:val="0"/>
          <w:strike w:val="0"/>
          <w:color w:val="auto"/>
          <w:spacing w:val="0"/>
          <w:kern w:val="2"/>
          <w:sz w:val="32"/>
          <w:szCs w:val="32"/>
          <w:u w:val="none"/>
          <w:lang w:val="en-US" w:eastAsia="zh-CN" w:bidi="ar-SA"/>
        </w:rPr>
        <w:t>类限行区：</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自202</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6</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年</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3</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月1日起，全天禁止国四</w:t>
      </w:r>
      <w:r>
        <w:rPr>
          <w:rFonts w:hint="eastAsia" w:ascii="仿宋_GB2312" w:hAnsi="仿宋_GB2312" w:eastAsia="仿宋_GB2312" w:cs="仿宋_GB2312"/>
          <w:b w:val="0"/>
          <w:i w:val="0"/>
          <w:iCs w:val="0"/>
          <w:caps w:val="0"/>
          <w:strike w:val="0"/>
          <w:color w:val="auto"/>
          <w:spacing w:val="0"/>
          <w:kern w:val="2"/>
          <w:sz w:val="32"/>
          <w:szCs w:val="32"/>
          <w:u w:val="none"/>
          <w:lang w:val="en-US" w:eastAsia="zh-CN" w:bidi="ar-SA"/>
        </w:rPr>
        <w:t>及以下</w:t>
      </w:r>
      <w:r>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t>排放标准柴油货车在此区域内通行。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黑体"/>
          <w:b w:val="0"/>
          <w:i w:val="0"/>
          <w:iCs w:val="0"/>
          <w:caps w:val="0"/>
          <w:strike w:val="0"/>
          <w:color w:val="auto"/>
          <w:spacing w:val="0"/>
          <w:sz w:val="32"/>
          <w:szCs w:val="32"/>
          <w:u w:val="none"/>
          <w:lang w:val="en-US" w:eastAsia="zh-CN"/>
        </w:rPr>
      </w:pPr>
      <w:r>
        <w:rPr>
          <w:rFonts w:hint="eastAsia" w:ascii="黑体" w:hAnsi="黑体" w:eastAsia="黑体" w:cs="黑体"/>
          <w:b w:val="0"/>
          <w:i w:val="0"/>
          <w:iCs w:val="0"/>
          <w:caps w:val="0"/>
          <w:strike w:val="0"/>
          <w:color w:val="auto"/>
          <w:spacing w:val="0"/>
          <w:sz w:val="32"/>
          <w:szCs w:val="32"/>
          <w:u w:val="none"/>
          <w:lang w:val="en-US" w:eastAsia="zh-CN"/>
        </w:rPr>
        <w:t>二、其他规定</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（一）警车、消防车、救护车、工程救险车执行紧急任务的，以及运输医疗急救物资、民生保障物资、应急救灾物资的货运车辆、中国邮政专用车辆等，遇特殊情况保障相关需求时，不受上述限行措施限制。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（二）遇大型活动、道路建设、重污染天气应急预案相应级别启动时及其他情况需调整交通管理措施时，以公安机关交通管理部门发布的相关通告和执勤民警的指挥为准。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（三）违反本通告规定行驶的车辆，由公安机关交通管理部门依法处理。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（四）在本市行政区域内通行的货车除遵守本通告外，还应遵守本市其他限制货车通行的规定。</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 w:val="0"/>
          <w:i w:val="0"/>
          <w:iCs w:val="0"/>
          <w:caps w:val="0"/>
          <w:strike w:val="0"/>
          <w:color w:val="auto"/>
          <w:spacing w:val="0"/>
          <w:sz w:val="32"/>
          <w:szCs w:val="32"/>
          <w:u w:val="none"/>
          <w:lang w:val="en-US" w:eastAsia="zh-CN"/>
        </w:rPr>
      </w:pPr>
      <w:r>
        <w:rPr>
          <w:rFonts w:hint="eastAsia" w:ascii="仿宋_GB2312" w:hAnsi="仿宋_GB2312" w:eastAsia="仿宋_GB2312" w:cs="仿宋_GB2312"/>
          <w:b w:val="0"/>
          <w:i w:val="0"/>
          <w:iCs w:val="0"/>
          <w:caps w:val="0"/>
          <w:strike w:val="0"/>
          <w:color w:val="auto"/>
          <w:spacing w:val="0"/>
          <w:sz w:val="32"/>
          <w:szCs w:val="32"/>
          <w:u w:val="none"/>
          <w:lang w:val="en-US" w:eastAsia="zh-CN"/>
        </w:rPr>
        <w:t>（五）本通告自2026年3月1日起实施，有效期5年。</w:t>
      </w:r>
    </w:p>
    <w:p>
      <w:pPr>
        <w:pStyle w:val="4"/>
        <w:keepNext w:val="0"/>
        <w:keepLines w:val="0"/>
        <w:pageBreakBefore w:val="0"/>
        <w:widowControl/>
        <w:suppressLineNumbers w:val="0"/>
        <w:kinsoku/>
        <w:overflowPunct/>
        <w:topLinePunct w:val="0"/>
        <w:autoSpaceDE/>
        <w:autoSpaceDN/>
        <w:bidi w:val="0"/>
        <w:adjustRightInd/>
        <w:snapToGrid/>
        <w:spacing w:before="0" w:beforeAutospacing="0" w:after="0" w:afterAutospacing="0" w:line="540" w:lineRule="exact"/>
        <w:ind w:left="0" w:right="0" w:firstLine="960" w:firstLineChars="0"/>
        <w:jc w:val="right"/>
        <w:textAlignment w:val="auto"/>
        <w:rPr>
          <w:rFonts w:hint="default" w:ascii="仿宋_GB2312" w:hAnsi="仿宋_GB2312" w:eastAsia="仿宋_GB2312" w:cs="仿宋_GB2312"/>
          <w:b w:val="0"/>
          <w:i w:val="0"/>
          <w:iCs w:val="0"/>
          <w:caps w:val="0"/>
          <w:strike w:val="0"/>
          <w:color w:val="auto"/>
          <w:spacing w:val="0"/>
          <w:kern w:val="2"/>
          <w:sz w:val="32"/>
          <w:szCs w:val="32"/>
          <w:u w:val="none"/>
          <w:lang w:val="en-US" w:eastAsia="zh-CN" w:bidi="ar-SA"/>
        </w:rPr>
      </w:pPr>
    </w:p>
    <w:p>
      <w:pPr>
        <w:rPr>
          <w:rFonts w:hint="eastAsia"/>
          <w:lang w:val="en-US" w:eastAsia="zh-CN"/>
        </w:rPr>
        <w:sectPr>
          <w:pgSz w:w="11906" w:h="16838"/>
          <w:pgMar w:top="2098" w:right="1531" w:bottom="1928" w:left="1531" w:header="851" w:footer="992" w:gutter="0"/>
          <w:cols w:space="425" w:num="1"/>
          <w:docGrid w:type="lines" w:linePitch="312" w:charSpace="0"/>
        </w:sectPr>
      </w:pPr>
      <w:r>
        <w:rPr>
          <w:rFonts w:hint="eastAsia"/>
          <w:lang w:val="en-US" w:eastAsia="zh-CN"/>
        </w:rPr>
        <w:br w:type="page"/>
      </w: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pP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沙湾</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市</w:t>
      </w: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市区范围内禁止中型、重型载货车辆通行与</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国四</w:t>
      </w: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及</w:t>
      </w:r>
      <w:r>
        <w:rPr>
          <w:rFonts w:hint="eastAsia" w:ascii="方正小标宋简体" w:hAnsi="方正小标宋简体" w:eastAsia="方正小标宋简体" w:cs="方正小标宋简体"/>
          <w:b w:val="0"/>
          <w:bCs/>
          <w:i w:val="0"/>
          <w:iCs w:val="0"/>
          <w:caps w:val="0"/>
          <w:strike w:val="0"/>
          <w:color w:val="auto"/>
          <w:spacing w:val="0"/>
          <w:sz w:val="44"/>
          <w:szCs w:val="44"/>
          <w:u w:val="none"/>
        </w:rPr>
        <w:t>以下排放标准柴油货车限行</w:t>
      </w: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区域</w:t>
      </w: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pP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t>示意图</w:t>
      </w: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pP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pPr>
      <w:r>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drawing>
          <wp:inline distT="0" distB="0" distL="114300" distR="114300">
            <wp:extent cx="5613400" cy="5198110"/>
            <wp:effectExtent l="9525" t="9525" r="15875" b="12065"/>
            <wp:docPr id="1" name="图片 1" descr="一类限行区--终-2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类限行区--终-2026.1.5"/>
                    <pic:cNvPicPr>
                      <a:picLocks noChangeAspect="1"/>
                    </pic:cNvPicPr>
                  </pic:nvPicPr>
                  <pic:blipFill>
                    <a:blip r:embed="rId4"/>
                    <a:stretch>
                      <a:fillRect/>
                    </a:stretch>
                  </pic:blipFill>
                  <pic:spPr>
                    <a:xfrm>
                      <a:off x="0" y="0"/>
                      <a:ext cx="5613400" cy="5198110"/>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b w:val="0"/>
          <w:bCs/>
          <w:i w:val="0"/>
          <w:iCs w:val="0"/>
          <w:caps w:val="0"/>
          <w:strike w:val="0"/>
          <w:color w:val="auto"/>
          <w:spacing w:val="0"/>
          <w:sz w:val="44"/>
          <w:szCs w:val="44"/>
          <w:u w:val="none"/>
          <w:lang w:val="en-US" w:eastAsia="zh-CN"/>
        </w:rPr>
      </w:pP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i w:val="0"/>
          <w:iCs w:val="0"/>
          <w:caps w:val="0"/>
          <w:strike w:val="0"/>
          <w:color w:val="auto"/>
          <w:spacing w:val="0"/>
          <w:sz w:val="24"/>
          <w:szCs w:val="32"/>
          <w:u w:val="none"/>
          <w:lang w:eastAsia="zh-CN"/>
        </w:rPr>
      </w:pPr>
      <w:r>
        <w:rPr>
          <w:rFonts w:hint="eastAsia" w:ascii="宋体" w:hAnsi="宋体" w:eastAsia="宋体" w:cs="宋体"/>
          <w:b w:val="0"/>
          <w:i w:val="0"/>
          <w:iCs w:val="0"/>
          <w:caps w:val="0"/>
          <w:strike w:val="0"/>
          <w:color w:val="auto"/>
          <w:spacing w:val="0"/>
          <w:sz w:val="24"/>
          <w:szCs w:val="32"/>
          <w:u w:val="none"/>
          <w:lang w:eastAsia="zh-CN"/>
        </w:rPr>
        <w:drawing>
          <wp:inline distT="0" distB="0" distL="114300" distR="114300">
            <wp:extent cx="5610860" cy="4478020"/>
            <wp:effectExtent l="9525" t="9525" r="18415" b="27305"/>
            <wp:docPr id="5" name="图片 5" descr="二类限行区--终-2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类限行区--终-2026.1.5"/>
                    <pic:cNvPicPr>
                      <a:picLocks noChangeAspect="1"/>
                    </pic:cNvPicPr>
                  </pic:nvPicPr>
                  <pic:blipFill>
                    <a:blip r:embed="rId5"/>
                    <a:stretch>
                      <a:fillRect/>
                    </a:stretch>
                  </pic:blipFill>
                  <pic:spPr>
                    <a:xfrm>
                      <a:off x="0" y="0"/>
                      <a:ext cx="5610860" cy="4478020"/>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val="0"/>
          <w:i w:val="0"/>
          <w:iCs w:val="0"/>
          <w:caps w:val="0"/>
          <w:strike w:val="0"/>
          <w:color w:val="auto"/>
          <w:spacing w:val="0"/>
          <w:sz w:val="24"/>
          <w:szCs w:val="32"/>
          <w:u w:val="none"/>
          <w:lang w:val="en-US" w:eastAsia="zh-CN"/>
        </w:rPr>
      </w:pPr>
    </w:p>
    <w:p>
      <w:pPr>
        <w:pStyle w:val="3"/>
        <w:keepNext w:val="0"/>
        <w:keepLines w:val="0"/>
        <w:pageBreakBefore w:val="0"/>
        <w:widowControl w:val="0"/>
        <w:numPr>
          <w:ilvl w:val="0"/>
          <w:numId w:val="0"/>
        </w:numPr>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i w:val="0"/>
          <w:iCs w:val="0"/>
          <w:caps w:val="0"/>
          <w:strike w:val="0"/>
          <w:color w:val="auto"/>
          <w:spacing w:val="0"/>
          <w:sz w:val="24"/>
          <w:szCs w:val="32"/>
          <w:u w:val="none"/>
        </w:rPr>
      </w:pPr>
      <w:r>
        <w:rPr>
          <w:rFonts w:hint="eastAsia" w:ascii="宋体" w:hAnsi="宋体" w:eastAsia="宋体" w:cs="宋体"/>
          <w:b w:val="0"/>
          <w:i w:val="0"/>
          <w:iCs w:val="0"/>
          <w:caps w:val="0"/>
          <w:strike w:val="0"/>
          <w:color w:val="auto"/>
          <w:spacing w:val="0"/>
          <w:sz w:val="24"/>
          <w:szCs w:val="32"/>
          <w:u w:val="none"/>
          <w:lang w:eastAsia="zh-CN"/>
        </w:rPr>
        <w:drawing>
          <wp:inline distT="0" distB="0" distL="114300" distR="114300">
            <wp:extent cx="5605780" cy="4462145"/>
            <wp:effectExtent l="9525" t="9525" r="23495" b="24130"/>
            <wp:docPr id="6" name="图片 6" descr="三类限行区--终-2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类限行区--终-2026.1.5"/>
                    <pic:cNvPicPr>
                      <a:picLocks noChangeAspect="1"/>
                    </pic:cNvPicPr>
                  </pic:nvPicPr>
                  <pic:blipFill>
                    <a:blip r:embed="rId6"/>
                    <a:stretch>
                      <a:fillRect/>
                    </a:stretch>
                  </pic:blipFill>
                  <pic:spPr>
                    <a:xfrm>
                      <a:off x="0" y="0"/>
                      <a:ext cx="5605780" cy="4462145"/>
                    </a:xfrm>
                    <a:prstGeom prst="rect">
                      <a:avLst/>
                    </a:prstGeom>
                    <a:ln>
                      <a:solidFill>
                        <a:schemeClr val="tx1"/>
                      </a:solidFill>
                    </a:ln>
                  </pic:spPr>
                </pic:pic>
              </a:graphicData>
            </a:graphic>
          </wp:inline>
        </w:drawing>
      </w:r>
    </w:p>
    <w:sectPr>
      <w:pgSz w:w="11906" w:h="16838"/>
      <w:pgMar w:top="1247" w:right="1531" w:bottom="79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A96C3E"/>
    <w:rsid w:val="011D047E"/>
    <w:rsid w:val="0276167E"/>
    <w:rsid w:val="07574EDC"/>
    <w:rsid w:val="0C5F38DA"/>
    <w:rsid w:val="137F2139"/>
    <w:rsid w:val="144F099B"/>
    <w:rsid w:val="17A96C3E"/>
    <w:rsid w:val="1B2D4293"/>
    <w:rsid w:val="1B7E7562"/>
    <w:rsid w:val="20E130EE"/>
    <w:rsid w:val="21113E74"/>
    <w:rsid w:val="2315255D"/>
    <w:rsid w:val="24BB46D0"/>
    <w:rsid w:val="26A60E77"/>
    <w:rsid w:val="289E0FB2"/>
    <w:rsid w:val="321667BA"/>
    <w:rsid w:val="35A26083"/>
    <w:rsid w:val="3CE41466"/>
    <w:rsid w:val="41AD1DA3"/>
    <w:rsid w:val="46FC14DF"/>
    <w:rsid w:val="49C70096"/>
    <w:rsid w:val="4BB16D22"/>
    <w:rsid w:val="503A41EC"/>
    <w:rsid w:val="56640285"/>
    <w:rsid w:val="57E70238"/>
    <w:rsid w:val="5C0B1F25"/>
    <w:rsid w:val="5C553A88"/>
    <w:rsid w:val="5E5341F0"/>
    <w:rsid w:val="648D3931"/>
    <w:rsid w:val="66196CDA"/>
    <w:rsid w:val="673D0C45"/>
    <w:rsid w:val="67EA4876"/>
    <w:rsid w:val="77DE2576"/>
    <w:rsid w:val="78BD078C"/>
    <w:rsid w:val="79964F33"/>
    <w:rsid w:val="7AEA42BB"/>
    <w:rsid w:val="7D0100D1"/>
    <w:rsid w:val="7EC834E7"/>
    <w:rsid w:val="7FFF9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pPr>
    <w:rPr>
      <w:kern w:val="0"/>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1089</Words>
  <Characters>1114</Characters>
  <Lines>0</Lines>
  <Paragraphs>0</Paragraphs>
  <TotalTime>1</TotalTime>
  <ScaleCrop>false</ScaleCrop>
  <LinksUpToDate>false</LinksUpToDate>
  <CharactersWithSpaces>1143</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2025-11-12T10:58:00Z</dcterms:created>
  <dc:creator>米饭团子</dc:creator>
  <cp:lastModifiedBy>业务室</cp:lastModifiedBy>
  <cp:lastPrinted>2025-12-08T04:31:00Z</cp:lastPrinted>
  <dcterms:modified xsi:type="dcterms:W3CDTF">2026-01-23T02:55:39Z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1EAB7FDD01AD4AFCAB0CE291426E3686_13</vt:lpwstr>
  </property>
  <property fmtid="{D5CDD505-2E9C-101B-9397-08002B2CF9AE}" pid="4" name="KSOTemplateDocerSaveRecord">
    <vt:lpwstr>eyJoZGlkIjoiMjk1OTcwYTA2NGE2YmNlNjNjMjAyZGRmNzU4ZGJhMjkiLCJ1c2VySWQiOiI1MzczOTkwNzcifQ==</vt:lpwstr>
  </property>
</Properties>
</file>