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spacing w:val="-12"/>
          <w:sz w:val="36"/>
          <w:szCs w:val="36"/>
        </w:rPr>
      </w:pPr>
    </w:p>
    <w:p>
      <w:pPr>
        <w:pStyle w:val="11"/>
        <w:ind w:firstLine="0" w:firstLineChars="0"/>
        <w:rPr>
          <w:rFonts w:eastAsiaTheme="minorEastAsia"/>
        </w:rPr>
      </w:pPr>
    </w:p>
    <w:p>
      <w:pPr>
        <w:pStyle w:val="11"/>
        <w:ind w:firstLine="0" w:firstLineChars="0"/>
        <w:rPr>
          <w:rFonts w:eastAsiaTheme="minorEastAsia"/>
        </w:rPr>
      </w:pPr>
    </w:p>
    <w:p>
      <w:pPr>
        <w:widowControl w:val="0"/>
        <w:kinsoku/>
        <w:autoSpaceDE/>
        <w:autoSpaceDN/>
        <w:adjustRightInd/>
        <w:snapToGrid/>
        <w:spacing w:line="560" w:lineRule="exact"/>
        <w:ind w:firstLine="0" w:firstLineChars="0"/>
        <w:jc w:val="center"/>
        <w:textAlignment w:val="auto"/>
        <w:rPr>
          <w:rFonts w:hint="eastAsia" w:ascii="方正小标宋简体" w:hAnsi="华文仿宋" w:eastAsia="方正小标宋简体" w:cs="Times New Roman"/>
          <w:snapToGrid/>
          <w:kern w:val="2"/>
          <w:sz w:val="44"/>
          <w:szCs w:val="44"/>
        </w:rPr>
      </w:pPr>
      <w:r>
        <w:rPr>
          <w:rFonts w:hint="eastAsia" w:ascii="方正小标宋简体" w:hAnsi="华文仿宋" w:eastAsia="方正小标宋简体" w:cs="Times New Roman"/>
          <w:snapToGrid/>
          <w:kern w:val="2"/>
          <w:sz w:val="44"/>
          <w:szCs w:val="44"/>
        </w:rPr>
        <w:t>《石河子市鑫睿玮烨矿业有限公司沙湾市宁家河东侧2号建筑用砂矿矿产资源开发利用与生态保护修复方案》评审意见书</w:t>
      </w:r>
    </w:p>
    <w:p>
      <w:pPr>
        <w:jc w:val="center"/>
        <w:rPr>
          <w:rFonts w:ascii="宋体" w:hAnsi="宋体" w:eastAsia="宋体" w:cs="宋体"/>
          <w:sz w:val="32"/>
          <w:szCs w:val="32"/>
        </w:rPr>
      </w:pPr>
    </w:p>
    <w:p>
      <w:pPr>
        <w:jc w:val="center"/>
        <w:rPr>
          <w:rFonts w:ascii="宋体" w:hAnsi="宋体" w:eastAsia="宋体" w:cs="宋体"/>
          <w:sz w:val="32"/>
          <w:szCs w:val="32"/>
        </w:rPr>
      </w:pPr>
    </w:p>
    <w:p>
      <w:pPr>
        <w:jc w:val="center"/>
        <w:rPr>
          <w:rFonts w:ascii="宋体" w:hAnsi="宋体" w:eastAsia="宋体" w:cs="宋体"/>
          <w:sz w:val="32"/>
          <w:szCs w:val="32"/>
        </w:rPr>
      </w:pPr>
    </w:p>
    <w:p>
      <w:pPr>
        <w:jc w:val="center"/>
        <w:rPr>
          <w:rFonts w:ascii="宋体" w:hAnsi="宋体" w:eastAsia="宋体" w:cs="宋体"/>
          <w:color w:val="FFFFFF" w:themeColor="background1"/>
          <w:sz w:val="32"/>
          <w:szCs w:val="32"/>
          <w14:textFill>
            <w14:solidFill>
              <w14:schemeClr w14:val="bg1"/>
            </w14:solidFill>
          </w14:textFill>
        </w:rPr>
      </w:pPr>
      <w:r>
        <w:rPr>
          <w:rFonts w:hint="eastAsia" w:ascii="宋体" w:hAnsi="宋体" w:eastAsia="宋体" w:cs="宋体"/>
          <w:color w:val="FFFFFF" w:themeColor="background1"/>
          <w:sz w:val="32"/>
          <w:szCs w:val="32"/>
          <w14:textFill>
            <w14:solidFill>
              <w14:schemeClr w14:val="bg1"/>
            </w14:solidFill>
          </w14:textFill>
        </w:rPr>
        <w:t>新自然资开垦审发[2022]×××号</w:t>
      </w:r>
    </w:p>
    <w:p>
      <w:pPr>
        <w:spacing w:line="248" w:lineRule="auto"/>
        <w:rPr>
          <w:rFonts w:ascii="宋体" w:hAnsi="宋体" w:eastAsia="宋体" w:cs="宋体"/>
          <w:color w:val="FFFFFF" w:themeColor="background1"/>
          <w14:textFill>
            <w14:solidFill>
              <w14:schemeClr w14:val="bg1"/>
            </w14:solidFill>
          </w14:textFill>
        </w:rPr>
      </w:pPr>
    </w:p>
    <w:p>
      <w:pPr>
        <w:spacing w:line="248" w:lineRule="auto"/>
        <w:rPr>
          <w:rFonts w:ascii="宋体" w:hAnsi="宋体" w:eastAsia="宋体" w:cs="宋体"/>
        </w:rPr>
      </w:pPr>
    </w:p>
    <w:p>
      <w:pPr>
        <w:spacing w:line="248" w:lineRule="auto"/>
        <w:rPr>
          <w:rFonts w:ascii="宋体" w:hAnsi="宋体" w:eastAsia="宋体" w:cs="宋体"/>
        </w:rPr>
      </w:pPr>
    </w:p>
    <w:p>
      <w:pPr>
        <w:spacing w:line="248" w:lineRule="auto"/>
        <w:rPr>
          <w:rFonts w:ascii="宋体" w:hAnsi="宋体" w:eastAsia="宋体" w:cs="宋体"/>
        </w:rPr>
      </w:pPr>
    </w:p>
    <w:p>
      <w:pPr>
        <w:spacing w:line="248" w:lineRule="auto"/>
        <w:rPr>
          <w:rFonts w:ascii="宋体" w:hAnsi="宋体" w:eastAsia="宋体" w:cs="宋体"/>
        </w:rPr>
      </w:pPr>
    </w:p>
    <w:p>
      <w:pPr>
        <w:spacing w:line="248" w:lineRule="auto"/>
        <w:rPr>
          <w:rFonts w:ascii="宋体" w:hAnsi="宋体" w:eastAsia="宋体" w:cs="宋体"/>
        </w:rPr>
      </w:pPr>
    </w:p>
    <w:p>
      <w:pPr>
        <w:spacing w:line="248" w:lineRule="auto"/>
        <w:rPr>
          <w:rFonts w:ascii="宋体" w:hAnsi="宋体" w:eastAsia="宋体" w:cs="宋体"/>
        </w:rPr>
      </w:pPr>
    </w:p>
    <w:p>
      <w:pPr>
        <w:spacing w:line="248" w:lineRule="auto"/>
        <w:rPr>
          <w:rFonts w:ascii="宋体" w:hAnsi="宋体" w:eastAsia="宋体" w:cs="宋体"/>
        </w:rPr>
      </w:pPr>
    </w:p>
    <w:p>
      <w:pPr>
        <w:spacing w:line="248" w:lineRule="auto"/>
        <w:rPr>
          <w:rFonts w:ascii="宋体" w:hAnsi="宋体" w:eastAsia="宋体" w:cs="宋体"/>
        </w:rPr>
      </w:pPr>
    </w:p>
    <w:p>
      <w:pPr>
        <w:spacing w:line="248" w:lineRule="auto"/>
        <w:rPr>
          <w:rFonts w:ascii="宋体" w:hAnsi="宋体" w:eastAsia="宋体" w:cs="宋体"/>
        </w:rPr>
      </w:pPr>
    </w:p>
    <w:p>
      <w:pPr>
        <w:spacing w:line="248" w:lineRule="auto"/>
        <w:rPr>
          <w:rFonts w:ascii="宋体" w:hAnsi="宋体" w:eastAsia="宋体" w:cs="宋体"/>
        </w:rPr>
      </w:pPr>
    </w:p>
    <w:p>
      <w:pPr>
        <w:spacing w:line="248" w:lineRule="auto"/>
        <w:rPr>
          <w:rFonts w:ascii="宋体" w:hAnsi="宋体" w:eastAsia="宋体" w:cs="宋体"/>
        </w:rPr>
      </w:pPr>
    </w:p>
    <w:p>
      <w:pPr>
        <w:spacing w:line="248" w:lineRule="auto"/>
        <w:rPr>
          <w:rFonts w:ascii="宋体" w:hAnsi="宋体" w:eastAsia="宋体" w:cs="宋体"/>
        </w:rPr>
      </w:pPr>
    </w:p>
    <w:p>
      <w:pPr>
        <w:spacing w:line="248" w:lineRule="auto"/>
        <w:rPr>
          <w:rFonts w:ascii="宋体" w:hAnsi="宋体" w:eastAsia="宋体" w:cs="宋体"/>
        </w:rPr>
      </w:pPr>
    </w:p>
    <w:p>
      <w:pPr>
        <w:spacing w:line="248" w:lineRule="auto"/>
        <w:rPr>
          <w:rFonts w:ascii="宋体" w:hAnsi="宋体" w:eastAsia="宋体" w:cs="宋体"/>
        </w:rPr>
      </w:pPr>
    </w:p>
    <w:p>
      <w:pPr>
        <w:spacing w:line="248" w:lineRule="auto"/>
        <w:rPr>
          <w:rFonts w:ascii="宋体" w:hAnsi="宋体" w:eastAsia="宋体" w:cs="宋体"/>
        </w:rPr>
      </w:pPr>
    </w:p>
    <w:p>
      <w:pPr>
        <w:spacing w:line="249" w:lineRule="auto"/>
        <w:rPr>
          <w:rFonts w:ascii="宋体" w:hAnsi="宋体" w:eastAsia="宋体" w:cs="宋体"/>
        </w:rPr>
      </w:pPr>
    </w:p>
    <w:p>
      <w:pPr>
        <w:spacing w:line="249" w:lineRule="auto"/>
        <w:rPr>
          <w:rFonts w:ascii="宋体" w:hAnsi="宋体" w:eastAsia="宋体" w:cs="宋体"/>
        </w:rPr>
      </w:pPr>
    </w:p>
    <w:p>
      <w:pPr>
        <w:spacing w:line="249" w:lineRule="auto"/>
        <w:rPr>
          <w:rFonts w:ascii="宋体" w:hAnsi="宋体" w:eastAsia="宋体" w:cs="宋体"/>
        </w:rPr>
      </w:pPr>
    </w:p>
    <w:p>
      <w:pPr>
        <w:spacing w:line="249" w:lineRule="auto"/>
        <w:rPr>
          <w:rFonts w:ascii="宋体" w:hAnsi="宋体" w:eastAsia="宋体" w:cs="宋体"/>
        </w:rPr>
      </w:pPr>
    </w:p>
    <w:p>
      <w:pPr>
        <w:spacing w:line="249" w:lineRule="auto"/>
        <w:rPr>
          <w:rFonts w:ascii="宋体" w:hAnsi="宋体" w:eastAsia="宋体" w:cs="宋体"/>
        </w:rPr>
      </w:pPr>
    </w:p>
    <w:p>
      <w:pPr>
        <w:spacing w:line="249" w:lineRule="auto"/>
        <w:rPr>
          <w:rFonts w:ascii="宋体" w:hAnsi="宋体" w:eastAsia="宋体" w:cs="宋体"/>
        </w:rPr>
      </w:pPr>
    </w:p>
    <w:p>
      <w:pPr>
        <w:spacing w:line="249" w:lineRule="auto"/>
        <w:rPr>
          <w:rFonts w:ascii="宋体" w:hAnsi="宋体" w:eastAsia="宋体" w:cs="宋体"/>
        </w:rPr>
      </w:pPr>
    </w:p>
    <w:p>
      <w:pPr>
        <w:spacing w:line="360" w:lineRule="auto"/>
        <w:jc w:val="center"/>
        <w:rPr>
          <w:rFonts w:hint="eastAsia" w:ascii="仿宋" w:hAnsi="仿宋" w:eastAsia="仿宋" w:cs="仿宋"/>
          <w:color w:val="auto"/>
          <w:sz w:val="32"/>
          <w:szCs w:val="32"/>
        </w:rPr>
      </w:pPr>
      <w:r>
        <w:rPr>
          <w:rFonts w:hint="eastAsia" w:ascii="仿宋" w:hAnsi="仿宋" w:eastAsia="仿宋" w:cs="仿宋"/>
          <w:sz w:val="32"/>
          <w:szCs w:val="32"/>
        </w:rPr>
        <w:t>二○二五年十月</w:t>
      </w:r>
      <w:r>
        <w:rPr>
          <w:rFonts w:hint="eastAsia" w:ascii="仿宋" w:hAnsi="仿宋" w:eastAsia="仿宋" w:cs="仿宋"/>
          <w:sz w:val="32"/>
          <w:szCs w:val="32"/>
          <w:lang w:val="en-US" w:eastAsia="zh-CN"/>
        </w:rPr>
        <w:t>二十五</w:t>
      </w:r>
      <w:r>
        <w:rPr>
          <w:rFonts w:hint="eastAsia" w:ascii="仿宋" w:hAnsi="仿宋" w:eastAsia="仿宋" w:cs="仿宋"/>
          <w:sz w:val="32"/>
          <w:szCs w:val="32"/>
        </w:rPr>
        <w:t>日</w:t>
      </w:r>
    </w:p>
    <w:p>
      <w:pPr>
        <w:rPr>
          <w:rFonts w:ascii="宋体" w:hAnsi="宋体" w:eastAsia="宋体" w:cs="宋体"/>
        </w:rPr>
        <w:sectPr>
          <w:footerReference r:id="rId3" w:type="default"/>
          <w:pgSz w:w="11907" w:h="16839"/>
          <w:pgMar w:top="1431" w:right="1074" w:bottom="1070" w:left="1622" w:header="0" w:footer="875" w:gutter="0"/>
          <w:cols w:space="720" w:num="1"/>
        </w:sectPr>
      </w:pPr>
    </w:p>
    <w:p>
      <w:pPr>
        <w:widowControl w:val="0"/>
        <w:kinsoku/>
        <w:autoSpaceDE/>
        <w:autoSpaceDN/>
        <w:adjustRightInd/>
        <w:snapToGrid/>
        <w:spacing w:line="560" w:lineRule="exact"/>
        <w:ind w:firstLine="0" w:firstLineChars="0"/>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送审单位：石河子市鑫睿玮烨矿业有限公司</w:t>
      </w:r>
    </w:p>
    <w:p>
      <w:pPr>
        <w:widowControl w:val="0"/>
        <w:kinsoku/>
        <w:autoSpaceDE/>
        <w:autoSpaceDN/>
        <w:adjustRightInd/>
        <w:snapToGrid/>
        <w:spacing w:line="560" w:lineRule="exact"/>
        <w:ind w:firstLine="0" w:firstLineChars="0"/>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编制单位：乌鲁木齐市润天通达矿业技术咨询服务有限公司</w:t>
      </w:r>
    </w:p>
    <w:p>
      <w:pPr>
        <w:widowControl w:val="0"/>
        <w:kinsoku/>
        <w:autoSpaceDE/>
        <w:autoSpaceDN/>
        <w:adjustRightInd/>
        <w:snapToGrid/>
        <w:spacing w:line="560" w:lineRule="exact"/>
        <w:ind w:firstLine="0" w:firstLineChars="0"/>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项目负责人：刘忠杰</w:t>
      </w:r>
    </w:p>
    <w:p>
      <w:pPr>
        <w:widowControl w:val="0"/>
        <w:kinsoku/>
        <w:autoSpaceDE/>
        <w:autoSpaceDN/>
        <w:adjustRightInd/>
        <w:snapToGrid/>
        <w:spacing w:line="560" w:lineRule="exact"/>
        <w:ind w:firstLine="0" w:firstLineChars="0"/>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编制人员：刘忠杰  许文强</w:t>
      </w:r>
    </w:p>
    <w:p>
      <w:pPr>
        <w:widowControl w:val="0"/>
        <w:kinsoku/>
        <w:autoSpaceDE/>
        <w:autoSpaceDN/>
        <w:adjustRightInd/>
        <w:snapToGrid/>
        <w:spacing w:line="560" w:lineRule="exact"/>
        <w:ind w:firstLine="0" w:firstLineChars="0"/>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评审专家组长：张书林</w:t>
      </w:r>
    </w:p>
    <w:p>
      <w:pPr>
        <w:widowControl w:val="0"/>
        <w:kinsoku/>
        <w:autoSpaceDE/>
        <w:autoSpaceDN/>
        <w:adjustRightInd/>
        <w:snapToGrid/>
        <w:spacing w:line="560" w:lineRule="exact"/>
        <w:ind w:firstLine="0" w:firstLineChars="0"/>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评审专家组成员：</w:t>
      </w:r>
      <w:bookmarkStart w:id="0" w:name="_Hlk91929016"/>
      <w:r>
        <w:rPr>
          <w:rFonts w:hint="eastAsia" w:ascii="仿宋_GB2312" w:hAnsi="仿宋_GB2312" w:eastAsia="仿宋_GB2312" w:cs="仿宋_GB2312"/>
          <w:snapToGrid/>
          <w:kern w:val="2"/>
          <w:sz w:val="32"/>
          <w:szCs w:val="32"/>
        </w:rPr>
        <w:t xml:space="preserve">张书林  王勇 </w:t>
      </w:r>
      <w:bookmarkEnd w:id="0"/>
      <w:r>
        <w:rPr>
          <w:rFonts w:hint="eastAsia" w:ascii="仿宋_GB2312" w:hAnsi="仿宋_GB2312" w:eastAsia="仿宋_GB2312" w:cs="仿宋_GB2312"/>
          <w:snapToGrid/>
          <w:kern w:val="2"/>
          <w:sz w:val="32"/>
          <w:szCs w:val="32"/>
        </w:rPr>
        <w:t xml:space="preserve"> 刘湘茹  </w:t>
      </w:r>
    </w:p>
    <w:p>
      <w:pPr>
        <w:widowControl w:val="0"/>
        <w:kinsoku/>
        <w:autoSpaceDE/>
        <w:autoSpaceDN/>
        <w:adjustRightInd/>
        <w:snapToGrid/>
        <w:spacing w:line="560" w:lineRule="exact"/>
        <w:ind w:firstLine="0" w:firstLineChars="0"/>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评审时间：2025年10月2日</w:t>
      </w:r>
    </w:p>
    <w:p>
      <w:pPr>
        <w:spacing w:line="560" w:lineRule="exact"/>
        <w:ind w:firstLine="564" w:firstLineChars="200"/>
        <w:rPr>
          <w:rFonts w:ascii="宋体" w:hAnsi="宋体" w:eastAsia="宋体" w:cs="宋体"/>
          <w:spacing w:val="1"/>
          <w:sz w:val="28"/>
          <w:szCs w:val="28"/>
        </w:rPr>
      </w:pPr>
    </w:p>
    <w:p>
      <w:pPr>
        <w:spacing w:line="204" w:lineRule="auto"/>
        <w:ind w:firstLine="429"/>
        <w:rPr>
          <w:rFonts w:ascii="宋体" w:hAnsi="宋体" w:eastAsia="宋体" w:cs="宋体"/>
          <w:sz w:val="28"/>
          <w:szCs w:val="28"/>
        </w:rPr>
      </w:pPr>
    </w:p>
    <w:p>
      <w:pPr>
        <w:rPr>
          <w:rFonts w:ascii="宋体" w:hAnsi="宋体" w:eastAsia="宋体" w:cs="宋体"/>
        </w:rPr>
        <w:sectPr>
          <w:footerReference r:id="rId4" w:type="default"/>
          <w:pgSz w:w="11907" w:h="16839"/>
          <w:pgMar w:top="1431" w:right="1785" w:bottom="1070" w:left="1661" w:header="0" w:footer="875" w:gutter="0"/>
          <w:cols w:space="720" w:num="1"/>
        </w:sectPr>
      </w:pPr>
    </w:p>
    <w:p>
      <w:pPr>
        <w:spacing w:line="480" w:lineRule="exact"/>
        <w:ind w:left="280" w:hanging="320" w:hangingChars="100"/>
        <w:rPr>
          <w:rFonts w:hint="eastAsia" w:ascii="仿宋_GB2312" w:hAnsi="仿宋_GB2312" w:eastAsia="仿宋_GB2312" w:cs="仿宋_GB2312"/>
          <w:snapToGrid/>
          <w:kern w:val="2"/>
          <w:sz w:val="32"/>
          <w:szCs w:val="32"/>
        </w:rPr>
        <w:sectPr>
          <w:pgSz w:w="12240" w:h="15840"/>
          <w:pgMar w:top="1440" w:right="1800" w:bottom="1440" w:left="1800" w:header="720" w:footer="720" w:gutter="0"/>
          <w:cols w:space="720" w:num="1"/>
        </w:sectPr>
      </w:pPr>
      <w:bookmarkStart w:id="11" w:name="_GoBack"/>
      <w:bookmarkEnd w:id="11"/>
    </w:p>
    <w:p>
      <w:pPr>
        <w:widowControl w:val="0"/>
        <w:kinsoku/>
        <w:autoSpaceDE/>
        <w:autoSpaceDN/>
        <w:adjustRightInd/>
        <w:snapToGrid/>
        <w:spacing w:line="560" w:lineRule="exact"/>
        <w:ind w:firstLine="0" w:firstLineChars="0"/>
        <w:jc w:val="center"/>
        <w:textAlignment w:val="auto"/>
        <w:rPr>
          <w:rFonts w:hint="eastAsia" w:ascii="方正小标宋简体" w:hAnsi="华文仿宋" w:eastAsia="方正小标宋简体" w:cs="Times New Roman"/>
          <w:snapToGrid/>
          <w:kern w:val="2"/>
          <w:sz w:val="44"/>
          <w:szCs w:val="44"/>
        </w:rPr>
      </w:pPr>
      <w:r>
        <w:rPr>
          <w:rFonts w:hint="eastAsia" w:ascii="方正小标宋简体" w:hAnsi="华文仿宋" w:eastAsia="方正小标宋简体" w:cs="Times New Roman"/>
          <w:snapToGrid/>
          <w:kern w:val="2"/>
          <w:sz w:val="44"/>
          <w:szCs w:val="44"/>
        </w:rPr>
        <w:t>《石河子市鑫睿玮烨矿业有限公司沙湾市宁家河东侧2号建筑用砂矿矿产资源开发利用与生态保护修复方案》专家审查意见</w:t>
      </w:r>
    </w:p>
    <w:p>
      <w:pPr>
        <w:widowControl w:val="0"/>
        <w:kinsoku/>
        <w:autoSpaceDE/>
        <w:autoSpaceDN/>
        <w:adjustRightInd/>
        <w:snapToGrid/>
        <w:spacing w:line="560" w:lineRule="exact"/>
        <w:ind w:firstLine="0" w:firstLineChars="0"/>
        <w:jc w:val="center"/>
        <w:textAlignment w:val="auto"/>
        <w:rPr>
          <w:rFonts w:hint="eastAsia" w:ascii="方正小标宋简体" w:hAnsi="华文仿宋" w:eastAsia="方正小标宋简体" w:cs="Times New Roman"/>
          <w:snapToGrid/>
          <w:kern w:val="2"/>
          <w:sz w:val="44"/>
          <w:szCs w:val="44"/>
        </w:rPr>
      </w:pPr>
    </w:p>
    <w:p>
      <w:pPr>
        <w:spacing w:line="500" w:lineRule="exact"/>
        <w:ind w:firstLine="640" w:firstLineChars="200"/>
        <w:jc w:val="both"/>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受石河子市鑫睿玮烨矿业有限公司委托</w:t>
      </w:r>
      <w:r>
        <w:rPr>
          <w:rFonts w:hint="eastAsia" w:ascii="宋体" w:hAnsi="宋体" w:eastAsia="宋体" w:cs="宋体"/>
          <w:spacing w:val="1"/>
          <w:sz w:val="28"/>
          <w:szCs w:val="28"/>
        </w:rPr>
        <w:t>，</w:t>
      </w:r>
      <w:r>
        <w:rPr>
          <w:rFonts w:hint="eastAsia" w:ascii="仿宋_GB2312" w:hAnsi="仿宋_GB2312" w:eastAsia="仿宋_GB2312" w:cs="仿宋_GB2312"/>
          <w:snapToGrid/>
          <w:kern w:val="2"/>
          <w:sz w:val="32"/>
          <w:szCs w:val="32"/>
        </w:rPr>
        <w:t>由乌鲁木齐市润天通达矿业技术咨询服务有限公司编制的《石河子市鑫睿玮烨矿业有限公司沙湾市宁家河东侧2号建筑用砂矿矿产资源开发利用与生态保护修复方案》（以下简称</w:t>
      </w:r>
      <w:bookmarkStart w:id="1" w:name="_Hlk91835451"/>
      <w:r>
        <w:rPr>
          <w:rFonts w:hint="eastAsia" w:ascii="仿宋_GB2312" w:hAnsi="仿宋_GB2312" w:eastAsia="仿宋_GB2312" w:cs="仿宋_GB2312"/>
          <w:snapToGrid/>
          <w:kern w:val="2"/>
          <w:sz w:val="32"/>
          <w:szCs w:val="32"/>
        </w:rPr>
        <w:t>《方案》</w:t>
      </w:r>
      <w:bookmarkEnd w:id="1"/>
      <w:r>
        <w:rPr>
          <w:rFonts w:hint="eastAsia" w:ascii="仿宋_GB2312" w:hAnsi="仿宋_GB2312" w:eastAsia="仿宋_GB2312" w:cs="仿宋_GB2312"/>
          <w:snapToGrid/>
          <w:kern w:val="2"/>
          <w:sz w:val="32"/>
          <w:szCs w:val="32"/>
        </w:rPr>
        <w:t>）于2025年10月提交评审专家组审核，评审专家组采取函审方式对该《方案》进行了审查，并提出审查意见。编制单位根据专家意见对《方案》进行修改完善。经主审专家复核，《方案》符合规范要求。现形成评审意见如下：</w:t>
      </w:r>
    </w:p>
    <w:p>
      <w:pPr>
        <w:widowControl w:val="0"/>
        <w:kinsoku/>
        <w:autoSpaceDE/>
        <w:autoSpaceDN/>
        <w:adjustRightInd/>
        <w:snapToGrid/>
        <w:spacing w:line="560" w:lineRule="exact"/>
        <w:ind w:firstLine="640" w:firstLineChars="200"/>
        <w:jc w:val="both"/>
        <w:textAlignment w:val="auto"/>
        <w:rPr>
          <w:rFonts w:hint="eastAsia" w:ascii="黑体" w:hAnsi="黑体" w:eastAsia="黑体" w:cs="仿宋_GB2312"/>
          <w:snapToGrid/>
          <w:kern w:val="2"/>
          <w:sz w:val="32"/>
          <w:szCs w:val="32"/>
        </w:rPr>
      </w:pPr>
      <w:r>
        <w:rPr>
          <w:rFonts w:hint="eastAsia" w:ascii="黑体" w:hAnsi="黑体" w:eastAsia="黑体" w:cs="仿宋_GB2312"/>
          <w:snapToGrid/>
          <w:kern w:val="2"/>
          <w:sz w:val="32"/>
          <w:szCs w:val="32"/>
        </w:rPr>
        <w:t>一、采矿权基本情况及编制目的</w:t>
      </w:r>
    </w:p>
    <w:p>
      <w:pPr>
        <w:spacing w:line="500" w:lineRule="exact"/>
        <w:ind w:firstLine="640" w:firstLineChars="200"/>
        <w:jc w:val="both"/>
        <w:rPr>
          <w:rFonts w:ascii="宋体" w:hAnsi="宋体" w:eastAsia="宋体" w:cs="宋体"/>
          <w:color w:val="auto"/>
          <w:spacing w:val="1"/>
          <w:sz w:val="28"/>
          <w:szCs w:val="28"/>
        </w:rPr>
      </w:pPr>
      <w:r>
        <w:rPr>
          <w:rFonts w:hint="eastAsia" w:ascii="仿宋_GB2312" w:hAnsi="仿宋_GB2312" w:eastAsia="仿宋_GB2312" w:cs="仿宋_GB2312"/>
          <w:snapToGrid/>
          <w:kern w:val="2"/>
          <w:sz w:val="32"/>
          <w:szCs w:val="32"/>
        </w:rPr>
        <w:t>由于石河子市鑫睿玮烨矿业有限公司在开采生产前发现普查报告中矿区覆盖层厚度与实际情况出入较大，为了准确的掌握矿山资源储量，指导矿山后续的生产与开采，2025年6月石河子市鑫睿玮烨矿业有限公司对矿山保有资源储量重新进行了核实，编制提交了《新疆沙湾市宁家河东侧2号建筑用砂矿资源储量核实报告》，资源量估算标高由892m-844m变更为892m-823m，由于矿区资源量估算标高发生了变化，石河子市鑫睿玮烨矿业有限公司委托乌鲁木齐市润天通达矿业技术咨询服务有限公司按照自然资源厅《关于进一步推进和完善矿产资源管理有关工作的通知》（新自然资规〔2021〕3号）文的文件要求重新编制《石河子市鑫睿玮烨矿业有限公司沙湾市宁家河东侧2号建筑用砂矿矿产资源开发利用与生态保护修复方案》</w:t>
      </w:r>
      <w:r>
        <w:rPr>
          <w:rFonts w:hint="eastAsia" w:ascii="宋体" w:hAnsi="宋体" w:eastAsia="宋体" w:cs="宋体"/>
          <w:color w:val="auto"/>
          <w:spacing w:val="1"/>
          <w:sz w:val="28"/>
          <w:szCs w:val="28"/>
        </w:rPr>
        <w:t>。</w:t>
      </w:r>
    </w:p>
    <w:p>
      <w:pPr>
        <w:spacing w:line="500" w:lineRule="exact"/>
        <w:ind w:firstLine="640" w:firstLineChars="200"/>
        <w:jc w:val="both"/>
        <w:rPr>
          <w:rFonts w:ascii="宋体" w:hAnsi="宋体" w:eastAsia="宋体" w:cs="宋体"/>
          <w:color w:val="auto"/>
          <w:spacing w:val="1"/>
          <w:sz w:val="28"/>
          <w:szCs w:val="28"/>
        </w:rPr>
      </w:pPr>
      <w:r>
        <w:rPr>
          <w:rFonts w:hint="eastAsia" w:ascii="仿宋_GB2312" w:hAnsi="仿宋_GB2312" w:eastAsia="仿宋_GB2312" w:cs="仿宋_GB2312"/>
          <w:snapToGrid/>
          <w:kern w:val="2"/>
          <w:sz w:val="32"/>
          <w:szCs w:val="32"/>
        </w:rPr>
        <w:t>本次编制</w:t>
      </w:r>
      <w:bookmarkStart w:id="2" w:name="_Hlk91836438"/>
      <w:r>
        <w:rPr>
          <w:rFonts w:hint="eastAsia" w:ascii="仿宋_GB2312" w:hAnsi="仿宋_GB2312" w:eastAsia="仿宋_GB2312" w:cs="仿宋_GB2312"/>
          <w:snapToGrid/>
          <w:kern w:val="2"/>
          <w:sz w:val="32"/>
          <w:szCs w:val="32"/>
        </w:rPr>
        <w:t>《方案》</w:t>
      </w:r>
      <w:bookmarkEnd w:id="2"/>
      <w:r>
        <w:rPr>
          <w:rFonts w:hint="eastAsia" w:ascii="仿宋_GB2312" w:hAnsi="仿宋_GB2312" w:eastAsia="仿宋_GB2312" w:cs="仿宋_GB2312"/>
          <w:snapToGrid/>
          <w:kern w:val="2"/>
          <w:sz w:val="32"/>
          <w:szCs w:val="32"/>
        </w:rPr>
        <w:t>目的：为矿山企业变更《采矿许可证》开采标高范围提供技术依据；为本矿山开发环境评价提供依据；为自然资源管理部门对矿山开采依法进行监管提供技术依据；在确保技术可行的前提下，尽量做到持续稳产；方案采用成熟先进的工艺和设备，以提高劳动生产率，降低成本；为矿山企业实施矿山地质环境保护、治理和监测及土地复垦提供技术依据，将矿山企业的生态保护修复工作目标、任务、措施和计划等落到实处；为矿山生态保护修复工作的实施管理、监督检查以及生态保护修复基金的计提等提供依据，为自然资源管理部门监督、检查、督促矿山企业落实矿山地质环境保护与土地复垦责任义务提供重要依据；使矿山开采造成的地质环境破坏得以有效恢复，使被损毁的土地恢复并达到最佳综合效益的状态，努力实现社会经济、生态环境的可持续发展</w:t>
      </w:r>
      <w:r>
        <w:rPr>
          <w:rFonts w:hint="eastAsia" w:ascii="宋体" w:hAnsi="宋体" w:eastAsia="宋体" w:cs="宋体"/>
          <w:color w:val="auto"/>
          <w:spacing w:val="1"/>
          <w:sz w:val="28"/>
          <w:szCs w:val="28"/>
        </w:rPr>
        <w:t>。</w:t>
      </w:r>
    </w:p>
    <w:p>
      <w:pPr>
        <w:widowControl w:val="0"/>
        <w:kinsoku/>
        <w:autoSpaceDE/>
        <w:autoSpaceDN/>
        <w:adjustRightInd/>
        <w:snapToGrid/>
        <w:spacing w:line="560" w:lineRule="exact"/>
        <w:ind w:firstLine="640" w:firstLineChars="200"/>
        <w:jc w:val="both"/>
        <w:textAlignment w:val="auto"/>
        <w:rPr>
          <w:rFonts w:hint="eastAsia" w:ascii="黑体" w:hAnsi="黑体" w:eastAsia="黑体" w:cs="仿宋_GB2312"/>
          <w:snapToGrid/>
          <w:kern w:val="2"/>
          <w:sz w:val="32"/>
          <w:szCs w:val="32"/>
        </w:rPr>
      </w:pPr>
      <w:r>
        <w:rPr>
          <w:rFonts w:hint="eastAsia" w:ascii="黑体" w:hAnsi="黑体" w:eastAsia="黑体" w:cs="仿宋_GB2312"/>
          <w:snapToGrid/>
          <w:kern w:val="2"/>
          <w:sz w:val="32"/>
          <w:szCs w:val="32"/>
        </w:rPr>
        <w:t>二、设计利用资源储量政策符合性</w:t>
      </w:r>
    </w:p>
    <w:p>
      <w:pPr>
        <w:spacing w:line="500" w:lineRule="exact"/>
        <w:ind w:firstLine="560" w:firstLineChars="200"/>
        <w:jc w:val="both"/>
        <w:rPr>
          <w:rFonts w:hint="eastAsia" w:ascii="仿宋_GB2312" w:hAnsi="仿宋_GB2312" w:eastAsia="仿宋_GB2312" w:cs="仿宋_GB2312"/>
          <w:snapToGrid/>
          <w:kern w:val="2"/>
          <w:sz w:val="32"/>
          <w:szCs w:val="32"/>
        </w:rPr>
      </w:pPr>
      <w:bookmarkStart w:id="3" w:name="_Hlk91836993"/>
      <w:r>
        <w:rPr>
          <w:rFonts w:hint="eastAsia" w:ascii="宋体" w:hAnsi="宋体" w:eastAsia="宋体" w:cs="宋体"/>
          <w:color w:val="auto"/>
          <w:sz w:val="28"/>
          <w:szCs w:val="28"/>
        </w:rPr>
        <w:t>《</w:t>
      </w:r>
      <w:r>
        <w:rPr>
          <w:rFonts w:hint="eastAsia" w:ascii="仿宋_GB2312" w:hAnsi="仿宋_GB2312" w:eastAsia="仿宋_GB2312" w:cs="仿宋_GB2312"/>
          <w:snapToGrid/>
          <w:kern w:val="2"/>
          <w:sz w:val="32"/>
          <w:szCs w:val="32"/>
        </w:rPr>
        <w:t>方案》</w:t>
      </w:r>
      <w:bookmarkEnd w:id="3"/>
      <w:r>
        <w:rPr>
          <w:rFonts w:hint="eastAsia" w:ascii="仿宋_GB2312" w:hAnsi="仿宋_GB2312" w:eastAsia="仿宋_GB2312" w:cs="仿宋_GB2312"/>
          <w:snapToGrid/>
          <w:kern w:val="2"/>
          <w:sz w:val="32"/>
          <w:szCs w:val="32"/>
        </w:rPr>
        <w:t>依据的资源量已通过评审（《新疆沙湾市宁家河东侧2号建筑用砂矿资源储量核实报告评审意见书》（沙自然资储核〔2025〕001号），设计利用资源量类型确定合理，设计利用资源量、可采资源量的确定符合自治区自然资源厅相关政策要求。</w:t>
      </w:r>
    </w:p>
    <w:p>
      <w:pPr>
        <w:spacing w:line="500" w:lineRule="exact"/>
        <w:ind w:firstLine="640" w:firstLineChars="200"/>
        <w:jc w:val="both"/>
        <w:rPr>
          <w:rFonts w:ascii="宋体" w:hAnsi="宋体" w:eastAsia="宋体" w:cs="宋体"/>
          <w:b/>
          <w:bCs/>
          <w:color w:val="auto"/>
          <w:spacing w:val="-4"/>
          <w:sz w:val="28"/>
          <w:szCs w:val="28"/>
        </w:rPr>
      </w:pPr>
      <w:r>
        <w:rPr>
          <w:rFonts w:hint="eastAsia" w:ascii="黑体" w:hAnsi="黑体" w:eastAsia="黑体" w:cs="仿宋_GB2312"/>
          <w:snapToGrid/>
          <w:kern w:val="2"/>
          <w:sz w:val="32"/>
          <w:szCs w:val="32"/>
        </w:rPr>
        <w:t>三、设计利用储量、设计开采规模及服务年限</w:t>
      </w:r>
    </w:p>
    <w:p>
      <w:pPr>
        <w:spacing w:line="500" w:lineRule="exact"/>
        <w:ind w:firstLine="640" w:firstLineChars="200"/>
        <w:jc w:val="both"/>
        <w:rPr>
          <w:rFonts w:ascii="宋体" w:hAnsi="宋体" w:eastAsia="宋体" w:cs="宋体"/>
          <w:color w:val="auto"/>
          <w:sz w:val="28"/>
          <w:szCs w:val="28"/>
        </w:rPr>
      </w:pPr>
      <w:r>
        <w:rPr>
          <w:rFonts w:hint="eastAsia" w:ascii="仿宋_GB2312" w:hAnsi="仿宋_GB2312" w:eastAsia="仿宋_GB2312" w:cs="仿宋_GB2312"/>
          <w:snapToGrid/>
          <w:kern w:val="2"/>
          <w:sz w:val="32"/>
          <w:szCs w:val="32"/>
        </w:rPr>
        <w:t>《方案》依据《新疆沙湾市宁家河东侧2号建筑用砂矿资源储量核实报告评审意见书》（沙自然资储核〔2025〕001号），矿山评审通过的保有资源量合计343.35万立方米，边坡损失量为16.32万立方米，设计损失率为4.75%。设计利用资源量为327.03万立方米，总剥离量630.90万立方米，剥采比为1.93（立方米/立方米）。本次方案设计采矿回采率98％</w:t>
      </w:r>
      <w:r>
        <w:rPr>
          <w:rFonts w:hint="eastAsia" w:ascii="宋体" w:hAnsi="宋体" w:eastAsia="宋体" w:cs="宋体"/>
          <w:color w:val="auto"/>
          <w:sz w:val="28"/>
          <w:szCs w:val="28"/>
        </w:rPr>
        <w:t>。</w:t>
      </w:r>
    </w:p>
    <w:p>
      <w:pPr>
        <w:spacing w:line="500" w:lineRule="exact"/>
        <w:ind w:firstLine="640" w:firstLineChars="200"/>
        <w:jc w:val="both"/>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本次设计矿山生产规模为50万立方米/年（2381立方米/天），其设计服务年限为6.41年。</w:t>
      </w:r>
    </w:p>
    <w:p>
      <w:pPr>
        <w:spacing w:line="500" w:lineRule="exact"/>
        <w:ind w:firstLine="640" w:firstLineChars="200"/>
        <w:jc w:val="both"/>
        <w:rPr>
          <w:rFonts w:hint="eastAsia" w:ascii="黑体" w:hAnsi="黑体" w:eastAsia="黑体" w:cs="仿宋_GB2312"/>
          <w:snapToGrid/>
          <w:kern w:val="2"/>
          <w:sz w:val="32"/>
          <w:szCs w:val="32"/>
        </w:rPr>
      </w:pPr>
      <w:r>
        <w:rPr>
          <w:rFonts w:hint="eastAsia" w:ascii="黑体" w:hAnsi="黑体" w:eastAsia="黑体" w:cs="仿宋_GB2312"/>
          <w:snapToGrid/>
          <w:kern w:val="2"/>
          <w:sz w:val="32"/>
          <w:szCs w:val="32"/>
        </w:rPr>
        <w:t>四、采矿方案</w:t>
      </w:r>
    </w:p>
    <w:p>
      <w:pPr>
        <w:spacing w:line="500" w:lineRule="exact"/>
        <w:ind w:firstLine="640" w:firstLineChars="200"/>
        <w:jc w:val="both"/>
        <w:rPr>
          <w:rFonts w:ascii="宋体" w:hAnsi="宋体" w:eastAsia="宋体" w:cs="宋体"/>
          <w:spacing w:val="1"/>
          <w:sz w:val="28"/>
          <w:szCs w:val="28"/>
        </w:rPr>
      </w:pPr>
      <w:r>
        <w:rPr>
          <w:rFonts w:hint="eastAsia" w:ascii="仿宋_GB2312" w:hAnsi="仿宋_GB2312" w:eastAsia="仿宋_GB2312" w:cs="仿宋_GB2312"/>
          <w:snapToGrid/>
          <w:kern w:val="2"/>
          <w:sz w:val="32"/>
          <w:szCs w:val="32"/>
        </w:rPr>
        <w:t>矿山采用自上而下水平分层露天采矿方法，设计开采范围为：+892米～+823米标高范围内的资源量，设计采矿回采率98％</w:t>
      </w:r>
      <w:r>
        <w:rPr>
          <w:rFonts w:hint="eastAsia" w:ascii="宋体" w:hAnsi="宋体" w:eastAsia="宋体" w:cs="宋体"/>
          <w:spacing w:val="1"/>
          <w:sz w:val="28"/>
          <w:szCs w:val="28"/>
        </w:rPr>
        <w:t>。</w:t>
      </w:r>
    </w:p>
    <w:p>
      <w:pPr>
        <w:spacing w:line="500" w:lineRule="exact"/>
        <w:ind w:firstLine="640" w:firstLineChars="200"/>
        <w:jc w:val="both"/>
        <w:rPr>
          <w:rFonts w:hint="eastAsia" w:ascii="黑体" w:hAnsi="黑体" w:eastAsia="黑体" w:cs="仿宋_GB2312"/>
          <w:snapToGrid/>
          <w:kern w:val="2"/>
          <w:sz w:val="32"/>
          <w:szCs w:val="32"/>
        </w:rPr>
      </w:pPr>
      <w:r>
        <w:rPr>
          <w:rFonts w:hint="eastAsia" w:ascii="黑体" w:hAnsi="黑体" w:eastAsia="黑体" w:cs="仿宋_GB2312"/>
          <w:snapToGrid/>
          <w:kern w:val="2"/>
          <w:sz w:val="32"/>
          <w:szCs w:val="32"/>
        </w:rPr>
        <w:t>五、产品方案</w:t>
      </w:r>
    </w:p>
    <w:p>
      <w:pPr>
        <w:spacing w:line="500" w:lineRule="exact"/>
        <w:ind w:firstLine="640" w:firstLineChars="200"/>
        <w:jc w:val="both"/>
        <w:rPr>
          <w:rFonts w:ascii="宋体" w:hAnsi="宋体" w:eastAsia="宋体" w:cs="宋体"/>
          <w:color w:val="auto"/>
          <w:spacing w:val="-4"/>
          <w:sz w:val="28"/>
          <w:szCs w:val="28"/>
        </w:rPr>
      </w:pPr>
      <w:r>
        <w:rPr>
          <w:rFonts w:hint="eastAsia" w:ascii="仿宋_GB2312" w:hAnsi="仿宋_GB2312" w:eastAsia="仿宋_GB2312" w:cs="仿宋_GB2312"/>
          <w:snapToGrid/>
          <w:kern w:val="2"/>
          <w:sz w:val="32"/>
          <w:szCs w:val="32"/>
        </w:rPr>
        <w:t>矿山产品方案为：粒径0.075～0.5mm的粉砂、0.5～5mm的细砂、5～10mm的细石子、10～20mm的小石子。</w:t>
      </w:r>
    </w:p>
    <w:p>
      <w:pPr>
        <w:spacing w:line="500" w:lineRule="exact"/>
        <w:ind w:firstLine="640" w:firstLineChars="200"/>
        <w:jc w:val="both"/>
        <w:rPr>
          <w:rFonts w:ascii="宋体" w:hAnsi="宋体" w:eastAsia="宋体" w:cs="宋体"/>
          <w:b/>
          <w:bCs/>
          <w:color w:val="auto"/>
          <w:spacing w:val="-1"/>
          <w:sz w:val="28"/>
          <w:szCs w:val="28"/>
        </w:rPr>
      </w:pPr>
      <w:r>
        <w:rPr>
          <w:rFonts w:hint="eastAsia" w:ascii="黑体" w:hAnsi="黑体" w:eastAsia="黑体" w:cs="仿宋_GB2312"/>
          <w:snapToGrid/>
          <w:kern w:val="2"/>
          <w:sz w:val="32"/>
          <w:szCs w:val="32"/>
        </w:rPr>
        <w:t>六、绿色矿山建设</w:t>
      </w:r>
    </w:p>
    <w:p>
      <w:pPr>
        <w:spacing w:line="500" w:lineRule="exact"/>
        <w:ind w:firstLine="640" w:firstLineChars="200"/>
        <w:jc w:val="both"/>
        <w:rPr>
          <w:rFonts w:ascii="宋体" w:hAnsi="宋体" w:eastAsia="宋体" w:cs="宋体"/>
          <w:color w:val="auto"/>
          <w:spacing w:val="-2"/>
          <w:sz w:val="28"/>
          <w:szCs w:val="28"/>
        </w:rPr>
      </w:pPr>
      <w:r>
        <w:rPr>
          <w:rFonts w:hint="eastAsia" w:ascii="仿宋_GB2312" w:hAnsi="仿宋_GB2312" w:eastAsia="仿宋_GB2312" w:cs="仿宋_GB2312"/>
          <w:snapToGrid/>
          <w:kern w:val="2"/>
          <w:sz w:val="32"/>
          <w:szCs w:val="32"/>
        </w:rPr>
        <w:t>设计采取的开采工艺以及选矿工艺符合本行业绿色矿山建设规范和节约与综合利用要求。设计采矿回采率、选矿回收率、综合利用率指标为</w:t>
      </w:r>
      <w:r>
        <w:rPr>
          <w:rFonts w:hint="eastAsia" w:ascii="宋体" w:hAnsi="宋体" w:eastAsia="宋体" w:cs="宋体"/>
          <w:color w:val="auto"/>
          <w:spacing w:val="1"/>
          <w:sz w:val="28"/>
          <w:szCs w:val="28"/>
        </w:rPr>
        <w:t>：</w:t>
      </w:r>
    </w:p>
    <w:p>
      <w:pPr>
        <w:spacing w:line="500" w:lineRule="exact"/>
        <w:ind w:firstLine="640" w:firstLineChars="200"/>
        <w:jc w:val="both"/>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1.开采回采率</w:t>
      </w:r>
    </w:p>
    <w:p>
      <w:pPr>
        <w:spacing w:line="500" w:lineRule="exact"/>
        <w:ind w:firstLine="640" w:firstLineChars="200"/>
        <w:jc w:val="both"/>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生产工艺技术和设备应符合国土资源部《矿产资源节约与综合利用鼓励、限制和淘汰技术目录》要求。砂石矿山资源综合利用率不低于95%。结合本矿设计回采率98％，可得符合要求。</w:t>
      </w:r>
    </w:p>
    <w:p>
      <w:pPr>
        <w:spacing w:line="500" w:lineRule="exact"/>
        <w:ind w:firstLine="640" w:firstLineChars="200"/>
        <w:jc w:val="both"/>
        <w:rPr>
          <w:rFonts w:ascii="宋体" w:hAnsi="宋体" w:eastAsia="宋体" w:cs="宋体"/>
          <w:spacing w:val="1"/>
          <w:sz w:val="28"/>
          <w:szCs w:val="28"/>
        </w:rPr>
      </w:pPr>
      <w:r>
        <w:rPr>
          <w:rFonts w:hint="eastAsia" w:ascii="仿宋_GB2312" w:hAnsi="仿宋_GB2312" w:eastAsia="仿宋_GB2312" w:cs="仿宋_GB2312"/>
          <w:snapToGrid/>
          <w:kern w:val="2"/>
          <w:sz w:val="32"/>
          <w:szCs w:val="32"/>
        </w:rPr>
        <w:t>2.选矿回收率</w:t>
      </w:r>
    </w:p>
    <w:p>
      <w:pPr>
        <w:spacing w:line="500" w:lineRule="exact"/>
        <w:ind w:firstLine="640" w:firstLineChars="200"/>
        <w:jc w:val="both"/>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该矿产品为建筑用砂，各粒级建筑用砂选矿产率合计为97.79%。</w:t>
      </w:r>
    </w:p>
    <w:p>
      <w:pPr>
        <w:spacing w:line="500" w:lineRule="exact"/>
        <w:ind w:firstLine="640" w:firstLineChars="200"/>
        <w:jc w:val="both"/>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3.尾矿综合利用率</w:t>
      </w:r>
    </w:p>
    <w:p>
      <w:pPr>
        <w:spacing w:line="500" w:lineRule="exact"/>
        <w:ind w:firstLine="640" w:firstLineChars="200"/>
        <w:jc w:val="both"/>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该矿筛分洗砂产生的尾矿为泥渣和废石，设计作为废料用于回填露天采坑。</w:t>
      </w:r>
    </w:p>
    <w:p>
      <w:pPr>
        <w:spacing w:line="500" w:lineRule="exact"/>
        <w:ind w:firstLine="640" w:firstLineChars="200"/>
        <w:jc w:val="both"/>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4.伴生资源利用</w:t>
      </w:r>
    </w:p>
    <w:p>
      <w:pPr>
        <w:spacing w:line="500" w:lineRule="exact"/>
        <w:ind w:firstLine="640" w:firstLineChars="200"/>
        <w:jc w:val="both"/>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该矿山为建筑用砂矿，无其它有有益共伴生矿产资源。</w:t>
      </w:r>
    </w:p>
    <w:p>
      <w:pPr>
        <w:spacing w:line="500" w:lineRule="exact"/>
        <w:ind w:firstLine="640" w:firstLineChars="200"/>
        <w:jc w:val="both"/>
        <w:rPr>
          <w:rFonts w:hint="eastAsia" w:ascii="黑体" w:hAnsi="黑体" w:eastAsia="黑体" w:cs="仿宋_GB2312"/>
          <w:snapToGrid/>
          <w:kern w:val="2"/>
          <w:sz w:val="32"/>
          <w:szCs w:val="32"/>
        </w:rPr>
      </w:pPr>
      <w:r>
        <w:rPr>
          <w:rFonts w:hint="eastAsia" w:ascii="黑体" w:hAnsi="黑体" w:eastAsia="黑体" w:cs="仿宋_GB2312"/>
          <w:snapToGrid/>
          <w:kern w:val="2"/>
          <w:sz w:val="32"/>
          <w:szCs w:val="32"/>
        </w:rPr>
        <w:t>七、矿区地质环境</w:t>
      </w:r>
      <w:bookmarkStart w:id="4" w:name="_Hlk91925963"/>
      <w:r>
        <w:rPr>
          <w:rFonts w:hint="eastAsia" w:ascii="黑体" w:hAnsi="黑体" w:eastAsia="黑体" w:cs="仿宋_GB2312"/>
          <w:snapToGrid/>
          <w:kern w:val="2"/>
          <w:sz w:val="32"/>
          <w:szCs w:val="32"/>
        </w:rPr>
        <w:t>治理恢复</w:t>
      </w:r>
      <w:bookmarkEnd w:id="4"/>
    </w:p>
    <w:p>
      <w:pPr>
        <w:spacing w:line="500" w:lineRule="exact"/>
        <w:ind w:firstLine="640" w:firstLineChars="200"/>
        <w:jc w:val="both"/>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（一）本次工作查明了矿山环境现状，分析了矿山环境发展趋势，其论述内容基本全面，结论基本正确。</w:t>
      </w:r>
    </w:p>
    <w:p>
      <w:pPr>
        <w:spacing w:line="500" w:lineRule="exact"/>
        <w:ind w:firstLine="640" w:firstLineChars="200"/>
        <w:jc w:val="both"/>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（二）确定评估级别为一级，评估区面积0.4526平方千米，评估等级划分正确，评估范围确定合理。</w:t>
      </w:r>
    </w:p>
    <w:p>
      <w:pPr>
        <w:spacing w:line="500" w:lineRule="exact"/>
        <w:ind w:firstLine="640" w:firstLineChars="200"/>
        <w:jc w:val="both"/>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（三）矿山地质环境影响现状评估划分为较轻区，面积45.26公顷，为整个评估区，现状条件下评估区内地质灾害不发育，矿业活动对含水层、地形地貌景观、土地资源和大气污染的破坏程度较轻。</w:t>
      </w:r>
    </w:p>
    <w:p>
      <w:pPr>
        <w:spacing w:line="500" w:lineRule="exact"/>
        <w:ind w:firstLine="640" w:firstLineChars="200"/>
        <w:jc w:val="both"/>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（四）对采矿活动对矿山地质环境的影响进行了预测评估，预测评估矿山地质环境影响程度分为严重区、较严重区和较轻区。</w:t>
      </w:r>
    </w:p>
    <w:p>
      <w:pPr>
        <w:spacing w:line="500" w:lineRule="exact"/>
        <w:ind w:firstLine="640" w:firstLineChars="200"/>
        <w:jc w:val="both"/>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严重区：面积29.85公顷，为规划露天采坑（包括工业广场、成品堆放场、表土堆放场、废石堆放场、排土场）。</w:t>
      </w:r>
    </w:p>
    <w:p>
      <w:pPr>
        <w:spacing w:line="500" w:lineRule="exact"/>
        <w:ind w:firstLine="640" w:firstLineChars="200"/>
        <w:jc w:val="both"/>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较严重区：面积0.61公顷，包括规划矿山道路和规划矿部生活区；</w:t>
      </w:r>
    </w:p>
    <w:p>
      <w:pPr>
        <w:spacing w:line="500" w:lineRule="exact"/>
        <w:ind w:firstLine="640" w:firstLineChars="200"/>
        <w:jc w:val="both"/>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较轻区：面积14.80公顷，为上述区域以外的评估区其他区域。</w:t>
      </w:r>
    </w:p>
    <w:p>
      <w:pPr>
        <w:spacing w:line="500" w:lineRule="exact"/>
        <w:ind w:firstLine="640" w:firstLineChars="200"/>
        <w:jc w:val="both"/>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（五）确定了矿山环境保护与治理恢复的原则、目标和任务，对矿区进行了矿山环境保护与治理恢复分区，并提出了具体的保护、治理以及监测方案，并进行了经费概算。</w:t>
      </w:r>
    </w:p>
    <w:p>
      <w:pPr>
        <w:spacing w:line="500" w:lineRule="exact"/>
        <w:ind w:firstLine="640" w:firstLineChars="200"/>
        <w:jc w:val="both"/>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1、矿山环境保护与综合治理分区</w:t>
      </w:r>
    </w:p>
    <w:p>
      <w:pPr>
        <w:spacing w:line="500" w:lineRule="exact"/>
        <w:ind w:firstLine="640" w:firstLineChars="200"/>
        <w:jc w:val="both"/>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矿山地质环境保护与恢复治理分区划分为矿山地质环境重点防治区（Ⅰ）、次重点防治区（Ⅱ）、一般防治区（Ⅲ），其中重点防治区为露天采矿场（包括工业广场、成品堆放场、表土堆放场、废石堆放场、排土场），面积为29.85公顷；次重点防治区为生活区和矿山道路，面积为0.61公顷；一般防治区为除重点防治区以外其他区域，面积为14.80公顷。</w:t>
      </w:r>
    </w:p>
    <w:p>
      <w:pPr>
        <w:spacing w:line="500" w:lineRule="exact"/>
        <w:ind w:firstLine="640" w:firstLineChars="200"/>
        <w:jc w:val="both"/>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2、地质环境治理工程</w:t>
      </w:r>
    </w:p>
    <w:p>
      <w:pPr>
        <w:spacing w:line="500" w:lineRule="exact"/>
        <w:ind w:firstLine="640" w:firstLineChars="200"/>
        <w:jc w:val="both"/>
        <w:rPr>
          <w:rFonts w:ascii="宋体" w:hAnsi="宋体" w:eastAsia="宋体" w:cs="宋体"/>
          <w:color w:val="auto"/>
          <w:sz w:val="28"/>
          <w:szCs w:val="28"/>
        </w:rPr>
      </w:pPr>
      <w:r>
        <w:rPr>
          <w:rFonts w:hint="eastAsia" w:ascii="仿宋_GB2312" w:hAnsi="仿宋_GB2312" w:eastAsia="仿宋_GB2312" w:cs="仿宋_GB2312"/>
          <w:snapToGrid/>
          <w:kern w:val="2"/>
          <w:sz w:val="32"/>
          <w:szCs w:val="32"/>
        </w:rPr>
        <w:t>（1）矿山地质灾害防治及监测：</w:t>
      </w:r>
    </w:p>
    <w:p>
      <w:pPr>
        <w:spacing w:line="500" w:lineRule="exact"/>
        <w:ind w:firstLine="640" w:firstLineChars="200"/>
        <w:jc w:val="both"/>
        <w:rPr>
          <w:rFonts w:ascii="宋体" w:hAnsi="宋体" w:eastAsia="宋体" w:cs="宋体"/>
          <w:color w:val="auto"/>
          <w:sz w:val="28"/>
          <w:szCs w:val="28"/>
        </w:rPr>
      </w:pPr>
      <w:r>
        <w:rPr>
          <w:rFonts w:hint="eastAsia" w:ascii="仿宋_GB2312" w:hAnsi="仿宋_GB2312" w:eastAsia="仿宋_GB2312" w:cs="仿宋_GB2312"/>
          <w:snapToGrid/>
          <w:kern w:val="2"/>
          <w:sz w:val="32"/>
          <w:szCs w:val="32"/>
        </w:rPr>
        <w:t>2025年11月底前在规划露天采坑区外围5米设置铁丝围栏2320米及警示牌14块；对露警示牌和围栏进行监测。</w:t>
      </w:r>
    </w:p>
    <w:p>
      <w:pPr>
        <w:spacing w:line="500" w:lineRule="exact"/>
        <w:ind w:firstLine="640" w:firstLineChars="200"/>
        <w:jc w:val="both"/>
        <w:rPr>
          <w:rFonts w:ascii="宋体" w:hAnsi="宋体" w:eastAsia="宋体" w:cs="宋体"/>
          <w:color w:val="auto"/>
          <w:sz w:val="28"/>
          <w:szCs w:val="28"/>
        </w:rPr>
      </w:pPr>
      <w:r>
        <w:rPr>
          <w:rFonts w:hint="eastAsia" w:ascii="仿宋_GB2312" w:hAnsi="仿宋_GB2312" w:eastAsia="仿宋_GB2312" w:cs="仿宋_GB2312"/>
          <w:snapToGrid/>
          <w:kern w:val="2"/>
          <w:sz w:val="32"/>
          <w:szCs w:val="32"/>
        </w:rPr>
        <w:t>（2）含水层破坏的预防、修复及监测</w:t>
      </w:r>
      <w:r>
        <w:rPr>
          <w:rFonts w:hint="eastAsia" w:ascii="宋体" w:hAnsi="宋体" w:eastAsia="宋体" w:cs="宋体"/>
          <w:color w:val="auto"/>
          <w:sz w:val="28"/>
          <w:szCs w:val="28"/>
        </w:rPr>
        <w:t>：</w:t>
      </w:r>
    </w:p>
    <w:p>
      <w:pPr>
        <w:spacing w:line="500" w:lineRule="exact"/>
        <w:ind w:firstLine="640" w:firstLineChars="200"/>
        <w:jc w:val="both"/>
        <w:rPr>
          <w:rFonts w:ascii="宋体" w:hAnsi="宋体" w:eastAsia="宋体" w:cs="宋体"/>
          <w:color w:val="auto"/>
          <w:sz w:val="28"/>
          <w:szCs w:val="28"/>
        </w:rPr>
      </w:pPr>
      <w:r>
        <w:rPr>
          <w:rFonts w:hint="eastAsia" w:ascii="仿宋_GB2312" w:hAnsi="仿宋_GB2312" w:eastAsia="仿宋_GB2312" w:cs="仿宋_GB2312"/>
          <w:snapToGrid/>
          <w:kern w:val="2"/>
          <w:sz w:val="32"/>
          <w:szCs w:val="32"/>
        </w:rPr>
        <w:t>矿区含水层单一，地下水埋藏大于50米，富水性弱。采矿活动不会抽排地下水，无含水层破坏，普查期间地质浅井均未揭露含水层，矿区及周边无地下泉水出露，本方案不进行含水层破坏的监测。</w:t>
      </w:r>
    </w:p>
    <w:p>
      <w:pPr>
        <w:numPr>
          <w:ilvl w:val="0"/>
          <w:numId w:val="1"/>
        </w:numPr>
        <w:spacing w:line="500" w:lineRule="exact"/>
        <w:ind w:firstLine="640" w:firstLineChars="200"/>
        <w:jc w:val="both"/>
        <w:rPr>
          <w:rFonts w:ascii="宋体" w:hAnsi="宋体" w:eastAsia="宋体" w:cs="宋体"/>
          <w:color w:val="auto"/>
          <w:sz w:val="28"/>
          <w:szCs w:val="28"/>
        </w:rPr>
      </w:pPr>
      <w:r>
        <w:rPr>
          <w:rFonts w:hint="eastAsia" w:ascii="仿宋_GB2312" w:hAnsi="仿宋_GB2312" w:eastAsia="仿宋_GB2312" w:cs="仿宋_GB2312"/>
          <w:snapToGrid/>
          <w:kern w:val="2"/>
          <w:sz w:val="32"/>
          <w:szCs w:val="32"/>
        </w:rPr>
        <w:t>地形地貌景观破坏的预防、修复及监测</w:t>
      </w:r>
      <w:r>
        <w:rPr>
          <w:rFonts w:hint="eastAsia" w:ascii="宋体" w:hAnsi="宋体" w:eastAsia="宋体" w:cs="宋体"/>
          <w:color w:val="auto"/>
          <w:sz w:val="28"/>
          <w:szCs w:val="28"/>
        </w:rPr>
        <w:t>：</w:t>
      </w:r>
    </w:p>
    <w:p>
      <w:pPr>
        <w:numPr>
          <w:ilvl w:val="0"/>
          <w:numId w:val="1"/>
        </w:numPr>
        <w:spacing w:line="500" w:lineRule="exact"/>
        <w:ind w:firstLine="640" w:firstLineChars="200"/>
        <w:jc w:val="both"/>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优化工程施工方案，尤其是工业场地，尽量避免和减少破坏地形地貌景观；合理堆放固体物质，严格控制废石场范围，新掘出矿石及时消化，选用合适的综合利用技术，加大综合利用量，减少对地形地貌景观的破坏；采矿期间保护矿区内的卫生环境，减少对地形地貌景观的破坏；优化设计、一步到位，尽量利用现有道路，走向应尽量和当地的自然景观相协调；每年对地形地貌景观损毁情况进行监测。</w:t>
      </w:r>
    </w:p>
    <w:p>
      <w:pPr>
        <w:numPr>
          <w:ilvl w:val="0"/>
          <w:numId w:val="1"/>
        </w:numPr>
        <w:spacing w:line="500" w:lineRule="exact"/>
        <w:ind w:firstLine="640" w:firstLineChars="200"/>
        <w:jc w:val="both"/>
        <w:rPr>
          <w:rFonts w:ascii="宋体" w:hAnsi="宋体" w:eastAsia="宋体" w:cs="宋体"/>
          <w:color w:val="auto"/>
          <w:sz w:val="28"/>
          <w:szCs w:val="28"/>
        </w:rPr>
      </w:pPr>
      <w:bookmarkStart w:id="5" w:name="_Toc76982487"/>
      <w:bookmarkStart w:id="6" w:name="_Toc76982307"/>
      <w:bookmarkStart w:id="7" w:name="_Toc76981923"/>
      <w:bookmarkStart w:id="8" w:name="_Toc4933"/>
      <w:r>
        <w:rPr>
          <w:rFonts w:hint="eastAsia" w:ascii="仿宋_GB2312" w:hAnsi="仿宋_GB2312" w:eastAsia="仿宋_GB2312" w:cs="仿宋_GB2312"/>
          <w:snapToGrid/>
          <w:kern w:val="2"/>
          <w:sz w:val="32"/>
          <w:szCs w:val="32"/>
        </w:rPr>
        <w:t>水土环境污染</w:t>
      </w:r>
      <w:bookmarkEnd w:id="5"/>
      <w:bookmarkEnd w:id="6"/>
      <w:bookmarkEnd w:id="7"/>
      <w:bookmarkEnd w:id="8"/>
      <w:r>
        <w:rPr>
          <w:rFonts w:hint="eastAsia" w:ascii="仿宋_GB2312" w:hAnsi="仿宋_GB2312" w:eastAsia="仿宋_GB2312" w:cs="仿宋_GB2312"/>
          <w:snapToGrid/>
          <w:kern w:val="2"/>
          <w:sz w:val="32"/>
          <w:szCs w:val="32"/>
        </w:rPr>
        <w:t>的预防、修复及监测</w:t>
      </w:r>
      <w:r>
        <w:rPr>
          <w:rFonts w:hint="eastAsia" w:ascii="宋体" w:hAnsi="宋体" w:eastAsia="宋体" w:cs="宋体"/>
          <w:color w:val="auto"/>
          <w:sz w:val="28"/>
          <w:szCs w:val="28"/>
        </w:rPr>
        <w:t>：</w:t>
      </w:r>
    </w:p>
    <w:p>
      <w:pPr>
        <w:spacing w:line="500" w:lineRule="exact"/>
        <w:ind w:firstLine="640" w:firstLineChars="200"/>
        <w:jc w:val="both"/>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在矿山开采过程中</w:t>
      </w:r>
      <w:r>
        <w:rPr>
          <w:rFonts w:hint="eastAsia" w:ascii="宋体" w:hAnsi="宋体" w:eastAsia="宋体" w:cs="宋体"/>
          <w:color w:val="auto"/>
          <w:sz w:val="28"/>
          <w:szCs w:val="28"/>
        </w:rPr>
        <w:t>，</w:t>
      </w:r>
      <w:r>
        <w:rPr>
          <w:rFonts w:hint="eastAsia" w:ascii="仿宋_GB2312" w:hAnsi="仿宋_GB2312" w:eastAsia="仿宋_GB2312" w:cs="仿宋_GB2312"/>
          <w:snapToGrid/>
          <w:kern w:val="2"/>
          <w:sz w:val="32"/>
          <w:szCs w:val="32"/>
        </w:rPr>
        <w:t>做到废石不乱堆放，合理有序堆放在废石堆放场；生活污水经处理达标后用于矿区道路降尘；生活垃圾定期拉运至沙湾市垃圾处理站处理；每年采集土壤样进行监测。</w:t>
      </w:r>
    </w:p>
    <w:p>
      <w:pPr>
        <w:numPr>
          <w:ilvl w:val="0"/>
          <w:numId w:val="1"/>
        </w:numPr>
        <w:spacing w:line="500" w:lineRule="exact"/>
        <w:ind w:firstLine="640" w:firstLineChars="200"/>
        <w:jc w:val="both"/>
        <w:rPr>
          <w:rFonts w:ascii="宋体" w:hAnsi="宋体" w:eastAsia="宋体" w:cs="宋体"/>
          <w:color w:val="auto"/>
          <w:sz w:val="28"/>
          <w:szCs w:val="28"/>
        </w:rPr>
      </w:pPr>
      <w:r>
        <w:rPr>
          <w:rFonts w:hint="eastAsia" w:ascii="仿宋_GB2312" w:hAnsi="仿宋_GB2312" w:eastAsia="仿宋_GB2312" w:cs="仿宋_GB2312"/>
          <w:snapToGrid/>
          <w:kern w:val="2"/>
          <w:sz w:val="32"/>
          <w:szCs w:val="32"/>
        </w:rPr>
        <w:t>大气环境的预防、修复及监测</w:t>
      </w:r>
      <w:r>
        <w:rPr>
          <w:rFonts w:hint="eastAsia" w:ascii="宋体" w:hAnsi="宋体" w:eastAsia="宋体" w:cs="宋体"/>
          <w:color w:val="auto"/>
          <w:sz w:val="28"/>
          <w:szCs w:val="28"/>
        </w:rPr>
        <w:t>：</w:t>
      </w:r>
    </w:p>
    <w:p>
      <w:pPr>
        <w:spacing w:line="500" w:lineRule="exact"/>
        <w:ind w:firstLine="640" w:firstLineChars="200"/>
        <w:jc w:val="both"/>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矿山开采对大气污染程度较轻</w:t>
      </w:r>
      <w:r>
        <w:rPr>
          <w:rFonts w:hint="eastAsia" w:ascii="宋体" w:hAnsi="宋体" w:eastAsia="宋体" w:cs="宋体"/>
          <w:color w:val="auto"/>
          <w:sz w:val="28"/>
          <w:szCs w:val="28"/>
        </w:rPr>
        <w:t>，</w:t>
      </w:r>
      <w:r>
        <w:rPr>
          <w:rFonts w:hint="eastAsia" w:ascii="仿宋_GB2312" w:hAnsi="仿宋_GB2312" w:eastAsia="仿宋_GB2312" w:cs="仿宋_GB2312"/>
          <w:snapToGrid/>
          <w:kern w:val="2"/>
          <w:sz w:val="32"/>
          <w:szCs w:val="32"/>
        </w:rPr>
        <w:t>开采期间严格按设计进行开采，定期对废料堆放场和矿山道路进行洒水降尘措施，减轻对大气的污染，每年对生活区、工业广场、露天采矿场、表土堆放场、废石堆放场、排土场及矿山道路进行大气监测。</w:t>
      </w:r>
    </w:p>
    <w:p>
      <w:pPr>
        <w:widowControl w:val="0"/>
        <w:kinsoku/>
        <w:autoSpaceDE/>
        <w:autoSpaceDN/>
        <w:adjustRightInd/>
        <w:snapToGrid/>
        <w:spacing w:line="560" w:lineRule="exact"/>
        <w:ind w:firstLine="640" w:firstLineChars="200"/>
        <w:jc w:val="both"/>
        <w:textAlignment w:val="auto"/>
        <w:rPr>
          <w:rFonts w:hint="eastAsia" w:ascii="黑体" w:hAnsi="黑体" w:eastAsia="黑体" w:cs="仿宋_GB2312"/>
          <w:snapToGrid/>
          <w:kern w:val="2"/>
          <w:sz w:val="32"/>
          <w:szCs w:val="32"/>
        </w:rPr>
      </w:pPr>
      <w:r>
        <w:rPr>
          <w:rFonts w:hint="eastAsia" w:ascii="黑体" w:hAnsi="黑体" w:eastAsia="黑体" w:cs="仿宋_GB2312"/>
          <w:snapToGrid/>
          <w:kern w:val="2"/>
          <w:sz w:val="32"/>
          <w:szCs w:val="32"/>
        </w:rPr>
        <w:t>八、矿区土地复垦</w:t>
      </w:r>
    </w:p>
    <w:p>
      <w:pPr>
        <w:spacing w:line="500" w:lineRule="exact"/>
        <w:ind w:firstLine="640" w:firstLineChars="200"/>
        <w:jc w:val="both"/>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1、矿区土地利用现状</w:t>
      </w:r>
    </w:p>
    <w:p>
      <w:pPr>
        <w:spacing w:line="500" w:lineRule="exact"/>
        <w:ind w:firstLine="640" w:firstLineChars="200"/>
        <w:jc w:val="both"/>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矿区范围面积0.30平方千米，矿区范围内的土地利用现状类型为草地（天然牧草地）。本次规划矿山布局除矿山道路和生活区外全部位于矿区范围内，所占用的土地类型为草地（天然牧草地），土地权属为国有土地。矿山建设不涉及基本农田和林地，土地权属为国有。</w:t>
      </w:r>
    </w:p>
    <w:p>
      <w:pPr>
        <w:spacing w:line="500" w:lineRule="exact"/>
        <w:ind w:firstLine="640" w:firstLineChars="200"/>
        <w:jc w:val="both"/>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2、土地复垦区与复垦责任范围</w:t>
      </w:r>
    </w:p>
    <w:p>
      <w:pPr>
        <w:spacing w:line="500" w:lineRule="exact"/>
        <w:ind w:firstLine="640" w:firstLineChars="200"/>
        <w:jc w:val="both"/>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本方案土地复垦区面积为30.46公顷，包括规划露天采坑、规划矿山道路、规划工业广场、规划矿部生活区、规划废料堆放场、规划表土堆放场、规划排土场。最终确定本方案复垦责任范围为30.46公顷，土地复垦率100%。</w:t>
      </w:r>
    </w:p>
    <w:p>
      <w:pPr>
        <w:spacing w:line="500" w:lineRule="exact"/>
        <w:ind w:firstLine="640" w:firstLineChars="200"/>
        <w:jc w:val="both"/>
        <w:rPr>
          <w:rFonts w:ascii="宋体" w:hAnsi="宋体" w:eastAsia="宋体" w:cs="宋体"/>
          <w:color w:val="auto"/>
          <w:sz w:val="28"/>
          <w:szCs w:val="28"/>
        </w:rPr>
      </w:pPr>
      <w:r>
        <w:rPr>
          <w:rFonts w:hint="eastAsia" w:ascii="仿宋_GB2312" w:hAnsi="仿宋_GB2312" w:eastAsia="仿宋_GB2312" w:cs="仿宋_GB2312"/>
          <w:snapToGrid/>
          <w:kern w:val="2"/>
          <w:sz w:val="32"/>
          <w:szCs w:val="32"/>
        </w:rPr>
        <w:t>3、矿区土地适宜性评价</w:t>
      </w:r>
    </w:p>
    <w:p>
      <w:pPr>
        <w:spacing w:line="500" w:lineRule="exact"/>
        <w:ind w:firstLine="640" w:firstLineChars="200"/>
        <w:jc w:val="both"/>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本方案复垦适宜性评价范围为复垦责任区，合计面积30.46公顷，包括规划露天采坑、规划矿山道路、规划工业广场、规划矿部生活区、规划废料堆放场、规划表土堆放场、规划排土场，确定损毁土地的复垦方向以恢复原功能为主，即复垦为草地（天然牧草地）。</w:t>
      </w:r>
    </w:p>
    <w:p>
      <w:pPr>
        <w:spacing w:line="500" w:lineRule="exact"/>
        <w:ind w:firstLine="640" w:firstLineChars="200"/>
        <w:jc w:val="both"/>
        <w:rPr>
          <w:rFonts w:ascii="宋体" w:hAnsi="宋体" w:eastAsia="宋体" w:cs="宋体"/>
          <w:color w:val="auto"/>
          <w:sz w:val="28"/>
          <w:szCs w:val="28"/>
        </w:rPr>
      </w:pPr>
      <w:r>
        <w:rPr>
          <w:rFonts w:hint="eastAsia" w:ascii="仿宋_GB2312" w:hAnsi="仿宋_GB2312" w:eastAsia="仿宋_GB2312" w:cs="仿宋_GB2312"/>
          <w:snapToGrid/>
          <w:kern w:val="2"/>
          <w:sz w:val="32"/>
          <w:szCs w:val="32"/>
        </w:rPr>
        <w:t>4、矿区水土资源平衡分析</w:t>
      </w:r>
    </w:p>
    <w:p>
      <w:pPr>
        <w:spacing w:line="500" w:lineRule="exact"/>
        <w:ind w:firstLine="640" w:firstLineChars="200"/>
        <w:jc w:val="both"/>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（1）表土资源平衡分析</w:t>
      </w:r>
    </w:p>
    <w:p>
      <w:pPr>
        <w:spacing w:line="500" w:lineRule="exact"/>
        <w:ind w:firstLine="640" w:firstLineChars="200"/>
        <w:jc w:val="both"/>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矿山地表有一层厚度约21.0米的覆盖层，主要为砂土和少量砾石，土壤肥力低，矿山开采前对露天采场区域进行表土剥离工作，除矿部生活区和矿山道路以外其他矿建设施在露天采场内建设，压占物为砖混、彩钢、砂土及废石，对拟损毁露天采场、矿部生活区和矿山道路进行表土剥离，剥离时对表层熟土（0-50cm）的收集，将表层熟土剥离后拉运至表土堆放场用于复垦覆土，土地复垦时表层熟土覆土在复垦区表层，为植被恢复提供便利。地表0.5米至矿体上部的深层生土肥力低，不利于植被生长，基建期将此层废土剥离后堆放在排土场，矿山生产期第二年开始将当年剥离废土回填至上年度开采完毕区域，实现废土在采矿场进行内排，不外运。最终损毁面积30.46公顷，采矿场剥离表土厚度0.5米，矿山道路和生活区剥离表土厚度0.5米，剥离量约15.23万立方米。</w:t>
      </w:r>
    </w:p>
    <w:p>
      <w:pPr>
        <w:spacing w:line="500" w:lineRule="exact"/>
        <w:ind w:firstLine="600" w:firstLineChars="200"/>
        <w:jc w:val="both"/>
        <w:rPr>
          <w:rFonts w:hint="eastAsia" w:ascii="仿宋_GB2312" w:hAnsi="仿宋_GB2312" w:eastAsia="仿宋_GB2312" w:cs="仿宋_GB2312"/>
          <w:snapToGrid/>
          <w:kern w:val="2"/>
          <w:sz w:val="30"/>
          <w:szCs w:val="30"/>
        </w:rPr>
      </w:pPr>
      <w:r>
        <w:rPr>
          <w:rFonts w:hint="eastAsia" w:ascii="仿宋_GB2312" w:hAnsi="仿宋_GB2312" w:eastAsia="仿宋_GB2312" w:cs="仿宋_GB2312"/>
          <w:snapToGrid/>
          <w:kern w:val="2"/>
          <w:sz w:val="30"/>
          <w:szCs w:val="30"/>
        </w:rPr>
        <w:t>剥离的表土堆放于规划表土堆放场，表土堆放高度5米，分层堆放，堆积坡度不大于30º，表土堆放场容积约5.5万立方米，定期对表土场洒水降尘，表土全部用于复垦期露天采坑、矿部生活区和矿山道路地表覆土。</w:t>
      </w:r>
    </w:p>
    <w:p>
      <w:pPr>
        <w:spacing w:line="500" w:lineRule="exact"/>
        <w:ind w:firstLine="600" w:firstLineChars="200"/>
        <w:jc w:val="both"/>
        <w:rPr>
          <w:rFonts w:ascii="宋体" w:hAnsi="宋体" w:eastAsia="宋体" w:cs="宋体"/>
          <w:color w:val="auto"/>
          <w:sz w:val="28"/>
          <w:szCs w:val="28"/>
        </w:rPr>
      </w:pPr>
      <w:r>
        <w:rPr>
          <w:rFonts w:hint="eastAsia" w:ascii="仿宋_GB2312" w:hAnsi="仿宋_GB2312" w:eastAsia="仿宋_GB2312" w:cs="仿宋_GB2312"/>
          <w:snapToGrid/>
          <w:kern w:val="2"/>
          <w:sz w:val="30"/>
          <w:szCs w:val="30"/>
        </w:rPr>
        <w:t>由需土量分析和供土量分析可知，复垦区内需土量15.23万立方米，供给量为15.23万立方米，基本满足覆土需求</w:t>
      </w:r>
      <w:r>
        <w:rPr>
          <w:rFonts w:hint="eastAsia" w:ascii="宋体" w:hAnsi="宋体" w:eastAsia="宋体" w:cs="宋体"/>
          <w:color w:val="auto"/>
          <w:sz w:val="28"/>
          <w:szCs w:val="28"/>
        </w:rPr>
        <w:t>。</w:t>
      </w:r>
    </w:p>
    <w:p>
      <w:pPr>
        <w:spacing w:line="500" w:lineRule="exact"/>
        <w:ind w:firstLine="600" w:firstLineChars="200"/>
        <w:jc w:val="both"/>
        <w:rPr>
          <w:rFonts w:hint="eastAsia" w:ascii="仿宋_GB2312" w:hAnsi="仿宋_GB2312" w:eastAsia="仿宋_GB2312" w:cs="仿宋_GB2312"/>
          <w:snapToGrid/>
          <w:kern w:val="2"/>
          <w:sz w:val="30"/>
          <w:szCs w:val="30"/>
        </w:rPr>
      </w:pPr>
      <w:r>
        <w:rPr>
          <w:rFonts w:hint="eastAsia" w:ascii="仿宋_GB2312" w:hAnsi="仿宋_GB2312" w:eastAsia="仿宋_GB2312" w:cs="仿宋_GB2312"/>
          <w:snapToGrid/>
          <w:kern w:val="2"/>
          <w:sz w:val="30"/>
          <w:szCs w:val="30"/>
        </w:rPr>
        <w:t>（2）废土、废石资源平衡分析</w:t>
      </w:r>
    </w:p>
    <w:p>
      <w:pPr>
        <w:spacing w:line="500" w:lineRule="exact"/>
        <w:ind w:firstLine="600" w:firstLineChars="200"/>
        <w:jc w:val="both"/>
        <w:rPr>
          <w:rFonts w:hint="eastAsia" w:ascii="仿宋_GB2312" w:hAnsi="仿宋_GB2312" w:eastAsia="仿宋_GB2312" w:cs="仿宋_GB2312"/>
          <w:snapToGrid/>
          <w:kern w:val="2"/>
          <w:sz w:val="30"/>
          <w:szCs w:val="30"/>
        </w:rPr>
      </w:pPr>
      <w:r>
        <w:rPr>
          <w:rFonts w:hint="eastAsia" w:ascii="仿宋_GB2312" w:hAnsi="仿宋_GB2312" w:eastAsia="仿宋_GB2312" w:cs="仿宋_GB2312"/>
          <w:snapToGrid/>
          <w:kern w:val="2"/>
          <w:sz w:val="30"/>
          <w:szCs w:val="30"/>
        </w:rPr>
        <w:t>矿山废土为地表0.5米至矿体上部的深层生土，该土层肥力低，不利于植被生长，基建期将此层废土（生土）剥离后堆放在排土场，矿山生产期第二年开始将当年剥离废土回填至上年度开采完毕区域，实现废土在采矿场进行内排，不外运。矿山基建期（含生产期第一年）剥离废土约138.32万立方米，预计矿山每年产生剥离废土约88.29立方米，生产服务年限内共计产生剥离废土约615.97万立方米。</w:t>
      </w:r>
    </w:p>
    <w:p>
      <w:pPr>
        <w:spacing w:line="500" w:lineRule="exact"/>
        <w:ind w:firstLine="600" w:firstLineChars="200"/>
        <w:jc w:val="both"/>
        <w:rPr>
          <w:rFonts w:ascii="宋体" w:hAnsi="宋体" w:eastAsia="宋体" w:cs="宋体"/>
          <w:color w:val="auto"/>
          <w:sz w:val="28"/>
          <w:szCs w:val="28"/>
        </w:rPr>
      </w:pPr>
      <w:r>
        <w:rPr>
          <w:rFonts w:hint="eastAsia" w:ascii="仿宋_GB2312" w:hAnsi="仿宋_GB2312" w:eastAsia="仿宋_GB2312" w:cs="仿宋_GB2312"/>
          <w:snapToGrid/>
          <w:kern w:val="2"/>
          <w:sz w:val="30"/>
          <w:szCs w:val="30"/>
        </w:rPr>
        <w:t>生产废石为筛分废料，主要为砂土，年产废石约1.13万立方米，矿山生产服务年限内共计产生废石量约7.28万立方米。</w:t>
      </w:r>
    </w:p>
    <w:p>
      <w:pPr>
        <w:spacing w:line="500" w:lineRule="exact"/>
        <w:ind w:firstLine="600" w:firstLineChars="200"/>
        <w:jc w:val="both"/>
        <w:rPr>
          <w:rFonts w:hint="eastAsia" w:ascii="仿宋_GB2312" w:hAnsi="仿宋_GB2312" w:eastAsia="仿宋_GB2312" w:cs="仿宋_GB2312"/>
          <w:snapToGrid/>
          <w:kern w:val="2"/>
          <w:sz w:val="30"/>
          <w:szCs w:val="30"/>
        </w:rPr>
      </w:pPr>
      <w:r>
        <w:rPr>
          <w:rFonts w:hint="eastAsia" w:ascii="仿宋_GB2312" w:hAnsi="仿宋_GB2312" w:eastAsia="仿宋_GB2312" w:cs="仿宋_GB2312"/>
          <w:snapToGrid/>
          <w:kern w:val="2"/>
          <w:sz w:val="30"/>
          <w:szCs w:val="30"/>
        </w:rPr>
        <w:t>矿山闭坑后各地面设施拆除，规划工业广场、规划矿部生活区共计建筑面积3400平方米，拆除地表建筑，按每平方米拆除地表建筑0.5立方米计算，设施拆除方量约0.17万立方米，闭坑后全部拆除拉运至沙湾市建筑垃圾处理厂集中处理。</w:t>
      </w:r>
    </w:p>
    <w:p>
      <w:pPr>
        <w:spacing w:line="500" w:lineRule="exact"/>
        <w:ind w:firstLine="600" w:firstLineChars="200"/>
        <w:jc w:val="both"/>
        <w:rPr>
          <w:rFonts w:hint="eastAsia" w:ascii="仿宋_GB2312" w:hAnsi="仿宋_GB2312" w:eastAsia="仿宋_GB2312" w:cs="仿宋_GB2312"/>
          <w:snapToGrid/>
          <w:kern w:val="2"/>
          <w:sz w:val="30"/>
          <w:szCs w:val="30"/>
        </w:rPr>
      </w:pPr>
      <w:r>
        <w:rPr>
          <w:rFonts w:hint="eastAsia" w:ascii="仿宋_GB2312" w:hAnsi="仿宋_GB2312" w:eastAsia="仿宋_GB2312" w:cs="仿宋_GB2312"/>
          <w:snapToGrid/>
          <w:kern w:val="2"/>
          <w:sz w:val="30"/>
          <w:szCs w:val="30"/>
        </w:rPr>
        <w:t>矿山基建工程及矿山服务年限6.41年共产生废石体积22.77万立方米、拆除废弃物0.17万立方米。</w:t>
      </w:r>
    </w:p>
    <w:p>
      <w:pPr>
        <w:spacing w:line="500" w:lineRule="exact"/>
        <w:ind w:firstLine="600" w:firstLineChars="200"/>
        <w:jc w:val="both"/>
        <w:rPr>
          <w:rFonts w:hint="eastAsia" w:ascii="仿宋_GB2312" w:hAnsi="仿宋_GB2312" w:eastAsia="仿宋_GB2312" w:cs="仿宋_GB2312"/>
          <w:snapToGrid/>
          <w:kern w:val="2"/>
          <w:sz w:val="30"/>
          <w:szCs w:val="30"/>
        </w:rPr>
      </w:pPr>
      <w:r>
        <w:rPr>
          <w:rFonts w:hint="eastAsia" w:ascii="仿宋_GB2312" w:hAnsi="仿宋_GB2312" w:eastAsia="仿宋_GB2312" w:cs="仿宋_GB2312"/>
          <w:snapToGrid/>
          <w:kern w:val="2"/>
          <w:sz w:val="30"/>
          <w:szCs w:val="30"/>
        </w:rPr>
        <w:t>矿山开采资源量327.03万立方米，最终采坑体积约976.53万立方米，设计矿山恢复治理最终对采坑边坡由≤35°筑坡修复至≤30°。矿山整体填方量7.28万立方米，每年对开采完毕的采坑边坡进行筑坡回填处理，采坑边坡筑坡至≤30°，为了利于边坡植被恢复，每隔5米修筑1个宽约2米的台阶，筑坡量为23.94万立方米，不足方量利用剥离废土进行筑坡，剩余废土用于回填采坑，回填厚度约21.0米，回填最终标高为844米，后期对采坑底部稍加平整，覆土后播撒草籽复绿，总体与周围地貌相协调。</w:t>
      </w:r>
    </w:p>
    <w:p>
      <w:pPr>
        <w:spacing w:line="500" w:lineRule="exact"/>
        <w:ind w:firstLine="600" w:firstLineChars="200"/>
        <w:jc w:val="both"/>
        <w:rPr>
          <w:rFonts w:ascii="宋体" w:hAnsi="宋体" w:eastAsia="宋体" w:cs="宋体"/>
          <w:color w:val="auto"/>
          <w:sz w:val="28"/>
          <w:szCs w:val="28"/>
        </w:rPr>
      </w:pPr>
      <w:r>
        <w:rPr>
          <w:rFonts w:hint="eastAsia" w:ascii="仿宋_GB2312" w:hAnsi="仿宋_GB2312" w:eastAsia="仿宋_GB2312" w:cs="仿宋_GB2312"/>
          <w:snapToGrid/>
          <w:kern w:val="2"/>
          <w:sz w:val="30"/>
          <w:szCs w:val="30"/>
        </w:rPr>
        <w:t>（3）水资源平衡分析</w:t>
      </w:r>
    </w:p>
    <w:p>
      <w:pPr>
        <w:spacing w:line="500" w:lineRule="exact"/>
        <w:ind w:firstLine="600" w:firstLineChars="200"/>
        <w:jc w:val="both"/>
        <w:rPr>
          <w:rFonts w:hint="eastAsia" w:ascii="仿宋_GB2312" w:hAnsi="仿宋_GB2312" w:eastAsia="仿宋_GB2312" w:cs="仿宋_GB2312"/>
          <w:snapToGrid/>
          <w:kern w:val="2"/>
          <w:sz w:val="30"/>
          <w:szCs w:val="30"/>
        </w:rPr>
      </w:pPr>
      <w:r>
        <w:rPr>
          <w:rFonts w:hint="eastAsia" w:ascii="仿宋_GB2312" w:hAnsi="仿宋_GB2312" w:eastAsia="仿宋_GB2312" w:cs="仿宋_GB2312"/>
          <w:snapToGrid/>
          <w:kern w:val="2"/>
          <w:sz w:val="30"/>
          <w:szCs w:val="30"/>
        </w:rPr>
        <w:t>根据矿区自然、气象水文条件及复垦工程实施的可操作性，确定本项目土地复垦方向为天然牧草地，该区雨季降雨较多，复垦播撒草籽时节为雨季，可为草籽提供生长所需水分，播种前参照《干旱区矿山生态修复工程水、土、种子富集技术规范》(DB65/T 4814-2024)实施水、土、种子富集技术，即设计在复垦天然牧草地区域进行覆土工程时，使用机械挖设宽约40cm，深度约10cm的种植沟，营造出起伏的微地形，使土壤、水分和植物种子在种植沟底部富集，利于植被生长，因此不涉及灌溉工程。复垦过程中用水为生活用水及机械用水，复垦工程用水由沙湾市拉运，用水量较小。</w:t>
      </w:r>
    </w:p>
    <w:p>
      <w:pPr>
        <w:spacing w:line="500" w:lineRule="exact"/>
        <w:ind w:firstLine="600" w:firstLineChars="200"/>
        <w:jc w:val="both"/>
        <w:rPr>
          <w:rFonts w:ascii="宋体" w:hAnsi="宋体" w:eastAsia="宋体" w:cs="宋体"/>
          <w:color w:val="auto"/>
          <w:sz w:val="28"/>
          <w:szCs w:val="28"/>
        </w:rPr>
      </w:pPr>
      <w:r>
        <w:rPr>
          <w:rFonts w:hint="eastAsia" w:ascii="仿宋_GB2312" w:hAnsi="仿宋_GB2312" w:eastAsia="仿宋_GB2312" w:cs="仿宋_GB2312"/>
          <w:snapToGrid/>
          <w:kern w:val="2"/>
          <w:sz w:val="30"/>
          <w:szCs w:val="30"/>
        </w:rPr>
        <w:t>因此本项目土地复垦工程可实现水源供需平衡</w:t>
      </w:r>
      <w:r>
        <w:rPr>
          <w:rFonts w:hint="eastAsia" w:ascii="宋体" w:hAnsi="宋体" w:eastAsia="宋体" w:cs="宋体"/>
          <w:color w:val="auto"/>
          <w:sz w:val="28"/>
          <w:szCs w:val="28"/>
        </w:rPr>
        <w:t>。</w:t>
      </w:r>
    </w:p>
    <w:p>
      <w:pPr>
        <w:spacing w:line="500" w:lineRule="exact"/>
        <w:ind w:firstLine="600" w:firstLineChars="200"/>
        <w:jc w:val="both"/>
        <w:rPr>
          <w:rFonts w:ascii="宋体" w:hAnsi="宋体" w:eastAsia="宋体" w:cs="宋体"/>
          <w:color w:val="auto"/>
          <w:sz w:val="28"/>
          <w:szCs w:val="28"/>
        </w:rPr>
      </w:pPr>
      <w:r>
        <w:rPr>
          <w:rFonts w:hint="eastAsia" w:ascii="仿宋_GB2312" w:hAnsi="仿宋_GB2312" w:eastAsia="仿宋_GB2312" w:cs="仿宋_GB2312"/>
          <w:snapToGrid/>
          <w:kern w:val="2"/>
          <w:sz w:val="30"/>
          <w:szCs w:val="30"/>
        </w:rPr>
        <w:t>5、土地复垦工程措施</w:t>
      </w:r>
    </w:p>
    <w:p>
      <w:pPr>
        <w:spacing w:line="500" w:lineRule="exact"/>
        <w:ind w:firstLine="600" w:firstLineChars="200"/>
        <w:jc w:val="both"/>
        <w:rPr>
          <w:rFonts w:hint="eastAsia" w:ascii="仿宋_GB2312" w:hAnsi="仿宋_GB2312" w:eastAsia="仿宋_GB2312" w:cs="仿宋_GB2312"/>
          <w:snapToGrid/>
          <w:kern w:val="2"/>
          <w:sz w:val="30"/>
          <w:szCs w:val="30"/>
        </w:rPr>
      </w:pPr>
      <w:bookmarkStart w:id="9" w:name="_Hlk92294388"/>
      <w:r>
        <w:rPr>
          <w:rFonts w:hint="eastAsia" w:ascii="仿宋_GB2312" w:hAnsi="仿宋_GB2312" w:eastAsia="仿宋_GB2312" w:cs="仿宋_GB2312"/>
          <w:snapToGrid/>
          <w:kern w:val="2"/>
          <w:sz w:val="30"/>
          <w:szCs w:val="30"/>
        </w:rPr>
        <w:t>本方案划分7个土地复垦单元，主要的复垦单元为规划露天采坑、规划矿山道路、规划工业广场、规划矿部生活区、规划废料堆放场、规划表土堆放场、规划排土场。各单元复垦方向均为草地（天然牧草地），土地复垦率为100%。</w:t>
      </w:r>
    </w:p>
    <w:p>
      <w:pPr>
        <w:spacing w:line="500" w:lineRule="exact"/>
        <w:ind w:firstLine="600" w:firstLineChars="200"/>
        <w:jc w:val="both"/>
        <w:rPr>
          <w:rFonts w:ascii="宋体" w:hAnsi="宋体" w:eastAsia="宋体" w:cs="宋体"/>
          <w:color w:val="auto"/>
          <w:sz w:val="28"/>
          <w:szCs w:val="28"/>
        </w:rPr>
      </w:pPr>
      <w:r>
        <w:rPr>
          <w:rFonts w:hint="eastAsia" w:ascii="仿宋_GB2312" w:hAnsi="仿宋_GB2312" w:eastAsia="仿宋_GB2312" w:cs="仿宋_GB2312"/>
          <w:snapToGrid/>
          <w:kern w:val="2"/>
          <w:sz w:val="30"/>
          <w:szCs w:val="30"/>
        </w:rPr>
        <w:t>主要复垦措施为拆除全部地表建筑设施，建筑拆除物拉运至沙湾市统一处理；利用废土、废石对露天采坑进行内排筑坡，对全部复垦区域进行场地平整。复垦土地类型为草地（天然牧草地）</w:t>
      </w:r>
      <w:r>
        <w:rPr>
          <w:rFonts w:hint="eastAsia" w:ascii="宋体" w:hAnsi="宋体" w:eastAsia="宋体" w:cs="宋体"/>
          <w:color w:val="auto"/>
          <w:sz w:val="28"/>
          <w:szCs w:val="28"/>
        </w:rPr>
        <w:t>。</w:t>
      </w:r>
    </w:p>
    <w:bookmarkEnd w:id="9"/>
    <w:p>
      <w:pPr>
        <w:spacing w:line="500" w:lineRule="exact"/>
        <w:ind w:firstLine="600" w:firstLineChars="200"/>
        <w:jc w:val="both"/>
        <w:rPr>
          <w:rFonts w:hint="eastAsia" w:ascii="仿宋_GB2312" w:hAnsi="仿宋_GB2312" w:eastAsia="仿宋_GB2312" w:cs="仿宋_GB2312"/>
          <w:snapToGrid/>
          <w:kern w:val="2"/>
          <w:sz w:val="30"/>
          <w:szCs w:val="30"/>
        </w:rPr>
      </w:pPr>
      <w:r>
        <w:rPr>
          <w:rFonts w:hint="eastAsia" w:ascii="仿宋_GB2312" w:hAnsi="仿宋_GB2312" w:eastAsia="仿宋_GB2312" w:cs="仿宋_GB2312"/>
          <w:snapToGrid/>
          <w:kern w:val="2"/>
          <w:sz w:val="30"/>
          <w:szCs w:val="30"/>
        </w:rPr>
        <w:t>6、土地复垦监测</w:t>
      </w:r>
    </w:p>
    <w:p>
      <w:pPr>
        <w:spacing w:line="500" w:lineRule="exact"/>
        <w:ind w:firstLine="600" w:firstLineChars="200"/>
        <w:jc w:val="both"/>
        <w:rPr>
          <w:rFonts w:hint="eastAsia" w:ascii="仿宋_GB2312" w:hAnsi="仿宋_GB2312" w:eastAsia="仿宋_GB2312" w:cs="仿宋_GB2312"/>
          <w:snapToGrid/>
          <w:kern w:val="2"/>
          <w:sz w:val="30"/>
          <w:szCs w:val="30"/>
        </w:rPr>
      </w:pPr>
      <w:bookmarkStart w:id="10" w:name="_Hlk92295462"/>
      <w:r>
        <w:rPr>
          <w:rFonts w:hint="eastAsia" w:ascii="仿宋_GB2312" w:hAnsi="仿宋_GB2312" w:eastAsia="仿宋_GB2312" w:cs="仿宋_GB2312"/>
          <w:snapToGrid/>
          <w:kern w:val="2"/>
          <w:sz w:val="30"/>
          <w:szCs w:val="30"/>
        </w:rPr>
        <w:t>各复垦单元分别设置1个监测点，包括规划露天采坑、规划矿山道路、规划工业广场、规划矿部生活区、规划废料堆放场、规划表土堆放场、规划排土场7个复垦单元，共7个监测点。主要进行土地损毁监测和复垦实施效果监测</w:t>
      </w:r>
      <w:bookmarkEnd w:id="10"/>
      <w:r>
        <w:rPr>
          <w:rFonts w:hint="eastAsia" w:ascii="仿宋_GB2312" w:hAnsi="仿宋_GB2312" w:eastAsia="仿宋_GB2312" w:cs="仿宋_GB2312"/>
          <w:snapToGrid/>
          <w:kern w:val="2"/>
          <w:sz w:val="30"/>
          <w:szCs w:val="30"/>
        </w:rPr>
        <w:t>。</w:t>
      </w:r>
    </w:p>
    <w:p>
      <w:pPr>
        <w:spacing w:line="500" w:lineRule="exact"/>
        <w:ind w:firstLine="600" w:firstLineChars="200"/>
        <w:jc w:val="both"/>
        <w:rPr>
          <w:rFonts w:hint="eastAsia" w:ascii="仿宋_GB2312" w:hAnsi="仿宋_GB2312" w:eastAsia="仿宋_GB2312" w:cs="仿宋_GB2312"/>
          <w:snapToGrid/>
          <w:kern w:val="2"/>
          <w:sz w:val="30"/>
          <w:szCs w:val="30"/>
        </w:rPr>
      </w:pPr>
      <w:r>
        <w:rPr>
          <w:rFonts w:hint="eastAsia" w:ascii="仿宋_GB2312" w:hAnsi="仿宋_GB2312" w:eastAsia="仿宋_GB2312" w:cs="仿宋_GB2312"/>
          <w:snapToGrid/>
          <w:kern w:val="2"/>
          <w:sz w:val="30"/>
          <w:szCs w:val="30"/>
        </w:rPr>
        <w:t>7、土地复垦实施年限</w:t>
      </w:r>
    </w:p>
    <w:p>
      <w:pPr>
        <w:spacing w:line="500" w:lineRule="exact"/>
        <w:ind w:firstLine="600" w:firstLineChars="200"/>
        <w:jc w:val="both"/>
        <w:rPr>
          <w:rFonts w:hint="eastAsia" w:ascii="仿宋_GB2312" w:hAnsi="仿宋_GB2312" w:eastAsia="仿宋_GB2312" w:cs="仿宋_GB2312"/>
          <w:snapToGrid/>
          <w:kern w:val="2"/>
          <w:sz w:val="30"/>
          <w:szCs w:val="30"/>
        </w:rPr>
      </w:pPr>
      <w:r>
        <w:rPr>
          <w:rFonts w:hint="eastAsia" w:ascii="仿宋_GB2312" w:hAnsi="仿宋_GB2312" w:eastAsia="仿宋_GB2312" w:cs="仿宋_GB2312"/>
          <w:snapToGrid/>
          <w:kern w:val="2"/>
          <w:sz w:val="30"/>
          <w:szCs w:val="30"/>
        </w:rPr>
        <w:t>矿山计划于2032年10月开采完毕，于2032年11月-2036年4月进行全面的土地复垦工作，矿山损毁土地类型为草地（天然牧草地），计划施工期为0.5年及复垦管护期3年，最终土地复垦实施年限为3年6个月。</w:t>
      </w:r>
    </w:p>
    <w:p>
      <w:pPr>
        <w:spacing w:line="500" w:lineRule="exact"/>
        <w:ind w:firstLine="600" w:firstLineChars="200"/>
        <w:jc w:val="both"/>
        <w:rPr>
          <w:rFonts w:hint="eastAsia" w:ascii="仿宋_GB2312" w:hAnsi="仿宋_GB2312" w:eastAsia="仿宋_GB2312" w:cs="仿宋_GB2312"/>
          <w:snapToGrid/>
          <w:kern w:val="2"/>
          <w:sz w:val="30"/>
          <w:szCs w:val="30"/>
        </w:rPr>
      </w:pPr>
      <w:r>
        <w:rPr>
          <w:rFonts w:hint="eastAsia" w:ascii="仿宋_GB2312" w:hAnsi="仿宋_GB2312" w:eastAsia="仿宋_GB2312" w:cs="仿宋_GB2312"/>
          <w:snapToGrid/>
          <w:kern w:val="2"/>
          <w:sz w:val="30"/>
          <w:szCs w:val="30"/>
        </w:rPr>
        <w:t>8、土地复垦阶段工作安排</w:t>
      </w:r>
    </w:p>
    <w:p>
      <w:pPr>
        <w:spacing w:line="500" w:lineRule="exact"/>
        <w:ind w:firstLine="600" w:firstLineChars="200"/>
        <w:jc w:val="both"/>
        <w:rPr>
          <w:rFonts w:hint="eastAsia" w:ascii="仿宋_GB2312" w:hAnsi="仿宋_GB2312" w:eastAsia="仿宋_GB2312" w:cs="仿宋_GB2312"/>
          <w:snapToGrid/>
          <w:kern w:val="2"/>
          <w:sz w:val="30"/>
          <w:szCs w:val="30"/>
        </w:rPr>
      </w:pPr>
      <w:r>
        <w:rPr>
          <w:rFonts w:hint="eastAsia" w:ascii="仿宋_GB2312" w:hAnsi="仿宋_GB2312" w:eastAsia="仿宋_GB2312" w:cs="仿宋_GB2312"/>
          <w:snapToGrid/>
          <w:kern w:val="2"/>
          <w:sz w:val="30"/>
          <w:szCs w:val="30"/>
        </w:rPr>
        <w:t>本矿山期建期0.5年，矿山服务年限为6.41年，复垦管护期3.5年，共10.41年。按照轻重缓急、分阶段实施的原则，将矿山土地复垦工作划分为近期（含基建期0.5年、生产期4.5年，2025年11月-2030年10月），中期1.91年（生产期，2030年11月-2032年10月），远期3.5年（复垦管护期3.5年，2032年11月-2036年4月）。</w:t>
      </w:r>
    </w:p>
    <w:p>
      <w:pPr>
        <w:widowControl w:val="0"/>
        <w:kinsoku/>
        <w:autoSpaceDE/>
        <w:autoSpaceDN/>
        <w:adjustRightInd/>
        <w:snapToGrid/>
        <w:spacing w:line="560" w:lineRule="exact"/>
        <w:ind w:firstLine="640" w:firstLineChars="200"/>
        <w:jc w:val="both"/>
        <w:textAlignment w:val="auto"/>
        <w:rPr>
          <w:rFonts w:hint="eastAsia" w:ascii="黑体" w:hAnsi="黑体" w:eastAsia="黑体" w:cs="仿宋_GB2312"/>
          <w:snapToGrid/>
          <w:kern w:val="2"/>
          <w:sz w:val="32"/>
          <w:szCs w:val="32"/>
        </w:rPr>
      </w:pPr>
      <w:r>
        <w:rPr>
          <w:rFonts w:hint="eastAsia" w:ascii="黑体" w:hAnsi="黑体" w:eastAsia="黑体" w:cs="仿宋_GB2312"/>
          <w:snapToGrid/>
          <w:kern w:val="2"/>
          <w:sz w:val="32"/>
          <w:szCs w:val="32"/>
        </w:rPr>
        <w:t>九、技术经济指标</w:t>
      </w:r>
    </w:p>
    <w:p>
      <w:pPr>
        <w:spacing w:line="500" w:lineRule="exact"/>
        <w:ind w:firstLine="600" w:firstLineChars="200"/>
        <w:jc w:val="both"/>
        <w:rPr>
          <w:rFonts w:hint="eastAsia" w:ascii="仿宋_GB2312" w:hAnsi="仿宋_GB2312" w:eastAsia="仿宋_GB2312" w:cs="仿宋_GB2312"/>
          <w:snapToGrid/>
          <w:kern w:val="2"/>
          <w:sz w:val="30"/>
          <w:szCs w:val="30"/>
        </w:rPr>
      </w:pPr>
      <w:r>
        <w:rPr>
          <w:rFonts w:hint="eastAsia" w:ascii="仿宋_GB2312" w:hAnsi="仿宋_GB2312" w:eastAsia="仿宋_GB2312" w:cs="仿宋_GB2312"/>
          <w:snapToGrid/>
          <w:kern w:val="2"/>
          <w:sz w:val="30"/>
          <w:szCs w:val="30"/>
        </w:rPr>
        <w:t>该砂厂为自上而下水平分层露天采矿方式，采砂建设投资全部自筹。从上述经济分析可以看出，该项目总投资2289.37万元，正常生产后年净利润为381.73万元，年上缴税金509.02万元，生产期年平均开采制造成本781.04万元，生产期年平均加工制造成本219.47万元，项目投资净利润率39.82%，投资利税率42.85%，投资回收期为5.39年。</w:t>
      </w:r>
    </w:p>
    <w:p>
      <w:pPr>
        <w:spacing w:line="500" w:lineRule="exact"/>
        <w:ind w:firstLine="600" w:firstLineChars="200"/>
        <w:jc w:val="both"/>
        <w:rPr>
          <w:rFonts w:hint="eastAsia" w:ascii="仿宋_GB2312" w:hAnsi="仿宋_GB2312" w:eastAsia="仿宋_GB2312" w:cs="仿宋_GB2312"/>
          <w:snapToGrid/>
          <w:kern w:val="2"/>
          <w:sz w:val="30"/>
          <w:szCs w:val="30"/>
        </w:rPr>
      </w:pPr>
      <w:r>
        <w:rPr>
          <w:rFonts w:hint="eastAsia" w:ascii="仿宋_GB2312" w:hAnsi="仿宋_GB2312" w:eastAsia="仿宋_GB2312" w:cs="仿宋_GB2312"/>
          <w:snapToGrid/>
          <w:kern w:val="2"/>
          <w:sz w:val="30"/>
          <w:szCs w:val="30"/>
        </w:rPr>
        <w:t>本方案矿山地质环境治理工程和土地复垦工程经费估算，矿山地质环境治理和土地复垦工程动态总投资为346.86万元，静态总投资310.68万元。矿山地质环境治理静态总投资153.43万元，其中：工程施工费110.71万元，监测费19.16万元，其他费用16.26万元，预备费7.31万元；土地复垦工程静态总投资157.25万元，其中：工程施工费123.23万元，监测与管护费8.44万元，其他费用18.09万元，预备费7.49万元。</w:t>
      </w:r>
    </w:p>
    <w:p>
      <w:pPr>
        <w:widowControl w:val="0"/>
        <w:kinsoku/>
        <w:autoSpaceDE/>
        <w:autoSpaceDN/>
        <w:adjustRightInd/>
        <w:snapToGrid/>
        <w:spacing w:line="560" w:lineRule="exact"/>
        <w:ind w:firstLine="640" w:firstLineChars="200"/>
        <w:jc w:val="both"/>
        <w:textAlignment w:val="auto"/>
        <w:rPr>
          <w:rFonts w:hint="eastAsia" w:ascii="黑体" w:hAnsi="黑体" w:eastAsia="黑体" w:cs="仿宋_GB2312"/>
          <w:snapToGrid/>
          <w:kern w:val="2"/>
          <w:sz w:val="32"/>
          <w:szCs w:val="32"/>
        </w:rPr>
      </w:pPr>
      <w:r>
        <w:rPr>
          <w:rFonts w:hint="eastAsia" w:ascii="黑体" w:hAnsi="黑体" w:eastAsia="黑体" w:cs="仿宋_GB2312"/>
          <w:snapToGrid/>
          <w:kern w:val="2"/>
          <w:sz w:val="32"/>
          <w:szCs w:val="32"/>
        </w:rPr>
        <w:t>十、存在的问题及建议</w:t>
      </w:r>
    </w:p>
    <w:p>
      <w:pPr>
        <w:spacing w:line="500" w:lineRule="exact"/>
        <w:ind w:firstLine="600" w:firstLineChars="200"/>
        <w:jc w:val="both"/>
        <w:rPr>
          <w:rFonts w:hint="eastAsia" w:ascii="仿宋_GB2312" w:hAnsi="仿宋_GB2312" w:eastAsia="仿宋_GB2312" w:cs="仿宋_GB2312"/>
          <w:snapToGrid/>
          <w:kern w:val="2"/>
          <w:sz w:val="30"/>
          <w:szCs w:val="30"/>
        </w:rPr>
      </w:pPr>
      <w:r>
        <w:rPr>
          <w:rFonts w:hint="eastAsia" w:ascii="仿宋_GB2312" w:hAnsi="仿宋_GB2312" w:eastAsia="仿宋_GB2312" w:cs="仿宋_GB2312"/>
          <w:snapToGrid/>
          <w:kern w:val="2"/>
          <w:sz w:val="30"/>
          <w:szCs w:val="30"/>
        </w:rPr>
        <w:t>1、矿山在开采过程中，应设专门机构加强矿山地质环境监测，发现地质灾害迹象或地质环境问题应及时上报，有关部门应及时处理。</w:t>
      </w:r>
    </w:p>
    <w:p>
      <w:pPr>
        <w:spacing w:line="500" w:lineRule="exact"/>
        <w:ind w:firstLine="600" w:firstLineChars="200"/>
        <w:jc w:val="both"/>
        <w:rPr>
          <w:rFonts w:hint="eastAsia" w:ascii="仿宋_GB2312" w:hAnsi="仿宋_GB2312" w:eastAsia="仿宋_GB2312" w:cs="仿宋_GB2312"/>
          <w:snapToGrid/>
          <w:kern w:val="2"/>
          <w:sz w:val="30"/>
          <w:szCs w:val="30"/>
        </w:rPr>
      </w:pPr>
      <w:r>
        <w:rPr>
          <w:rFonts w:hint="eastAsia" w:ascii="仿宋_GB2312" w:hAnsi="仿宋_GB2312" w:eastAsia="仿宋_GB2312" w:cs="仿宋_GB2312"/>
          <w:snapToGrid/>
          <w:kern w:val="2"/>
          <w:sz w:val="30"/>
          <w:szCs w:val="30"/>
        </w:rPr>
        <w:t>2、矿山生产过程中，应严格执行国家现行的矿山安全生产规范、规程、规定和标准，确保矿山建设和生产的安全。</w:t>
      </w:r>
    </w:p>
    <w:p>
      <w:pPr>
        <w:spacing w:line="500" w:lineRule="exact"/>
        <w:ind w:firstLine="600" w:firstLineChars="200"/>
        <w:jc w:val="both"/>
        <w:rPr>
          <w:rFonts w:ascii="宋体" w:hAnsi="宋体" w:eastAsia="宋体" w:cs="宋体"/>
          <w:color w:val="auto"/>
          <w:sz w:val="28"/>
          <w:szCs w:val="28"/>
        </w:rPr>
      </w:pPr>
      <w:r>
        <w:rPr>
          <w:rFonts w:hint="eastAsia" w:ascii="仿宋_GB2312" w:hAnsi="仿宋_GB2312" w:eastAsia="仿宋_GB2312" w:cs="仿宋_GB2312"/>
          <w:snapToGrid/>
          <w:kern w:val="2"/>
          <w:sz w:val="30"/>
          <w:szCs w:val="30"/>
        </w:rPr>
        <w:t>3、加强矿山地质环境保护与土地复垦的管理及监督工作</w:t>
      </w:r>
      <w:r>
        <w:rPr>
          <w:rFonts w:hint="eastAsia" w:ascii="宋体" w:hAnsi="宋体" w:eastAsia="宋体" w:cs="宋体"/>
          <w:color w:val="auto"/>
          <w:sz w:val="28"/>
          <w:szCs w:val="28"/>
        </w:rPr>
        <w:t>。</w:t>
      </w:r>
    </w:p>
    <w:p>
      <w:pPr>
        <w:spacing w:line="360" w:lineRule="auto"/>
        <w:ind w:firstLine="200"/>
        <w:jc w:val="both"/>
        <w:rPr>
          <w:rFonts w:ascii="宋体" w:hAnsi="宋体" w:eastAsia="宋体" w:cs="宋体"/>
          <w:color w:val="auto"/>
          <w:sz w:val="28"/>
          <w:szCs w:val="28"/>
        </w:rPr>
      </w:pPr>
    </w:p>
    <w:p>
      <w:pPr>
        <w:spacing w:line="560" w:lineRule="exact"/>
        <w:ind w:firstLine="480"/>
        <w:rPr>
          <w:rFonts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仿宋_GB2312" w:hAnsi="仿宋_GB2312" w:eastAsia="仿宋_GB2312" w:cs="仿宋_GB2312"/>
          <w:snapToGrid/>
          <w:kern w:val="2"/>
          <w:sz w:val="30"/>
          <w:szCs w:val="30"/>
        </w:rPr>
        <w:t>评审专家组</w:t>
      </w:r>
    </w:p>
    <w:p>
      <w:pPr>
        <w:spacing w:line="560" w:lineRule="exact"/>
        <w:ind w:firstLine="48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 xml:space="preserve">                     </w:t>
      </w:r>
      <w:r>
        <w:rPr>
          <w:rFonts w:ascii="宋体" w:hAnsi="宋体" w:eastAsia="宋体" w:cs="宋体"/>
          <w:color w:val="auto"/>
          <w:sz w:val="28"/>
          <w:szCs w:val="28"/>
        </w:rPr>
        <w:t xml:space="preserve">              </w:t>
      </w:r>
      <w:r>
        <w:rPr>
          <w:rFonts w:hint="eastAsia" w:ascii="宋体" w:hAnsi="宋体" w:eastAsia="宋体" w:cs="宋体"/>
          <w:color w:val="auto"/>
          <w:sz w:val="28"/>
          <w:szCs w:val="28"/>
        </w:rPr>
        <w:t xml:space="preserve">  202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5</w:t>
      </w:r>
    </w:p>
    <w:p>
      <w:pPr>
        <w:rPr>
          <w:rFonts w:eastAsiaTheme="minorEastAsia"/>
        </w:rPr>
      </w:pPr>
    </w:p>
    <w:p>
      <w:pPr>
        <w:pStyle w:val="11"/>
        <w:rPr>
          <w:rFonts w:eastAsiaTheme="minorEastAsia"/>
        </w:rPr>
      </w:pPr>
    </w:p>
    <w:p>
      <w:pPr>
        <w:pStyle w:val="10"/>
      </w:pPr>
    </w:p>
    <w:p>
      <w:pPr>
        <w:rPr>
          <w:rFonts w:eastAsiaTheme="minorEastAsia"/>
        </w:rPr>
      </w:pPr>
    </w:p>
    <w:p>
      <w:pPr>
        <w:pStyle w:val="11"/>
        <w:rPr>
          <w:rFonts w:eastAsiaTheme="minorEastAsia"/>
        </w:rPr>
      </w:pPr>
    </w:p>
    <w:p>
      <w:pPr>
        <w:pStyle w:val="10"/>
      </w:pPr>
    </w:p>
    <w:p>
      <w:pPr>
        <w:rPr>
          <w:rFonts w:eastAsiaTheme="minorEastAsia"/>
        </w:rPr>
      </w:pPr>
    </w:p>
    <w:p>
      <w:pPr>
        <w:pStyle w:val="11"/>
        <w:rPr>
          <w:rFonts w:hint="eastAsia" w:eastAsiaTheme="minorEastAsia"/>
        </w:rPr>
      </w:pPr>
    </w:p>
    <w:p>
      <w:pPr>
        <w:pStyle w:val="10"/>
        <w:rPr>
          <w:rFonts w:hint="eastAsia"/>
        </w:rPr>
      </w:pPr>
    </w:p>
    <w:p>
      <w:pPr>
        <w:rPr>
          <w:rFonts w:hint="eastAsia" w:eastAsiaTheme="minorEastAsia"/>
        </w:rPr>
      </w:pPr>
    </w:p>
    <w:p>
      <w:pPr>
        <w:pStyle w:val="11"/>
        <w:rPr>
          <w:rFonts w:hint="eastAsia" w:eastAsiaTheme="minorEastAsia"/>
        </w:rPr>
      </w:pPr>
    </w:p>
    <w:p>
      <w:pPr>
        <w:pStyle w:val="10"/>
        <w:rPr>
          <w:rFonts w:hint="eastAsia"/>
        </w:rPr>
      </w:pPr>
    </w:p>
    <w:p>
      <w:pPr>
        <w:rPr>
          <w:rFonts w:hint="eastAsia" w:eastAsiaTheme="minorEastAsia"/>
        </w:rPr>
      </w:pPr>
    </w:p>
    <w:p>
      <w:pPr>
        <w:pStyle w:val="11"/>
        <w:rPr>
          <w:rFonts w:hint="eastAsia" w:eastAsiaTheme="minorEastAsia"/>
        </w:rPr>
      </w:pPr>
    </w:p>
    <w:p>
      <w:pPr>
        <w:pStyle w:val="10"/>
        <w:rPr>
          <w:rFonts w:hint="eastAsia"/>
        </w:rPr>
      </w:pPr>
    </w:p>
    <w:p>
      <w:pPr>
        <w:rPr>
          <w:rFonts w:hint="eastAsia" w:eastAsiaTheme="minorEastAsia"/>
        </w:rPr>
      </w:pPr>
    </w:p>
    <w:p>
      <w:pPr>
        <w:pStyle w:val="10"/>
      </w:pPr>
    </w:p>
    <w:p>
      <w:pPr>
        <w:rPr>
          <w:rFonts w:eastAsiaTheme="minorEastAsia"/>
        </w:rPr>
      </w:pPr>
    </w:p>
    <w:p>
      <w:pPr>
        <w:pStyle w:val="11"/>
        <w:rPr>
          <w:rFonts w:eastAsiaTheme="minorEastAsia"/>
        </w:rPr>
      </w:pPr>
    </w:p>
    <w:p>
      <w:pPr>
        <w:pStyle w:val="10"/>
        <w:ind w:left="0" w:firstLine="0"/>
        <w:rPr>
          <w:rFonts w:hAnsi="宋体" w:cs="宋体"/>
          <w:color w:val="auto"/>
          <w:sz w:val="28"/>
          <w:szCs w:val="28"/>
        </w:rPr>
      </w:pPr>
      <w:r>
        <w:rPr>
          <w:rFonts w:hint="eastAsia" w:hAnsi="宋体" w:cs="宋体"/>
          <w:color w:val="auto"/>
          <w:sz w:val="28"/>
          <w:szCs w:val="28"/>
        </w:rPr>
        <w:t xml:space="preserve">   </w:t>
      </w:r>
      <w:r>
        <w:rPr>
          <w:rFonts w:hint="eastAsia" w:ascii="仿宋_GB2312" w:hAnsi="仿宋_GB2312" w:eastAsia="仿宋_GB2312" w:cs="仿宋_GB2312"/>
          <w:snapToGrid/>
          <w:color w:val="000000"/>
          <w:kern w:val="2"/>
          <w:sz w:val="30"/>
          <w:szCs w:val="30"/>
          <w:lang w:val="en-US" w:eastAsia="zh-CN" w:bidi="ar-SA"/>
        </w:rPr>
        <w:t>附：评审专家组名单</w:t>
      </w:r>
    </w:p>
    <w:p>
      <w:pPr>
        <w:widowControl w:val="0"/>
        <w:kinsoku/>
        <w:autoSpaceDE/>
        <w:autoSpaceDN/>
        <w:adjustRightInd/>
        <w:snapToGrid/>
        <w:spacing w:line="560" w:lineRule="exact"/>
        <w:ind w:firstLine="0" w:firstLineChars="0"/>
        <w:jc w:val="center"/>
        <w:textAlignment w:val="auto"/>
        <w:rPr>
          <w:rFonts w:hint="eastAsia" w:ascii="方正小标宋简体" w:hAnsi="华文仿宋" w:eastAsia="方正小标宋简体" w:cs="Times New Roman"/>
          <w:snapToGrid/>
          <w:kern w:val="2"/>
          <w:sz w:val="44"/>
          <w:szCs w:val="44"/>
        </w:rPr>
      </w:pPr>
    </w:p>
    <w:p>
      <w:pPr>
        <w:widowControl w:val="0"/>
        <w:kinsoku/>
        <w:autoSpaceDE/>
        <w:autoSpaceDN/>
        <w:adjustRightInd/>
        <w:snapToGrid/>
        <w:spacing w:line="560" w:lineRule="exact"/>
        <w:ind w:firstLine="0" w:firstLineChars="0"/>
        <w:jc w:val="center"/>
        <w:textAlignment w:val="auto"/>
        <w:rPr>
          <w:rFonts w:hint="eastAsia" w:ascii="方正小标宋简体" w:hAnsi="华文仿宋" w:eastAsia="方正小标宋简体" w:cs="Times New Roman"/>
          <w:snapToGrid/>
          <w:kern w:val="2"/>
          <w:sz w:val="44"/>
          <w:szCs w:val="44"/>
        </w:rPr>
      </w:pPr>
    </w:p>
    <w:p>
      <w:pPr>
        <w:widowControl w:val="0"/>
        <w:kinsoku/>
        <w:autoSpaceDE/>
        <w:autoSpaceDN/>
        <w:adjustRightInd/>
        <w:snapToGrid/>
        <w:spacing w:line="560" w:lineRule="exact"/>
        <w:ind w:firstLine="0" w:firstLineChars="0"/>
        <w:jc w:val="center"/>
        <w:textAlignment w:val="auto"/>
        <w:rPr>
          <w:rFonts w:hint="eastAsia" w:ascii="方正小标宋简体" w:hAnsi="华文仿宋" w:eastAsia="方正小标宋简体" w:cs="Times New Roman"/>
          <w:snapToGrid/>
          <w:kern w:val="2"/>
          <w:sz w:val="44"/>
          <w:szCs w:val="44"/>
        </w:rPr>
      </w:pPr>
      <w:r>
        <w:rPr>
          <w:rFonts w:hint="eastAsia" w:ascii="方正小标宋简体" w:hAnsi="华文仿宋" w:eastAsia="方正小标宋简体" w:cs="Times New Roman"/>
          <w:snapToGrid/>
          <w:kern w:val="2"/>
          <w:sz w:val="44"/>
          <w:szCs w:val="44"/>
        </w:rPr>
        <w:t>《石河子市鑫睿玮烨矿业有限公司沙湾市宁家河东侧2号建筑用砂矿矿产资源开发利用与生态保护修复方案》</w:t>
      </w:r>
    </w:p>
    <w:p>
      <w:pPr>
        <w:widowControl w:val="0"/>
        <w:kinsoku/>
        <w:autoSpaceDE/>
        <w:autoSpaceDN/>
        <w:adjustRightInd/>
        <w:snapToGrid/>
        <w:spacing w:line="560" w:lineRule="exact"/>
        <w:ind w:firstLine="0" w:firstLineChars="0"/>
        <w:jc w:val="center"/>
        <w:textAlignment w:val="auto"/>
        <w:rPr>
          <w:rFonts w:hint="eastAsia" w:ascii="方正小标宋简体" w:hAnsi="华文仿宋" w:eastAsia="方正小标宋简体" w:cs="Times New Roman"/>
          <w:snapToGrid/>
          <w:kern w:val="2"/>
          <w:sz w:val="44"/>
          <w:szCs w:val="44"/>
        </w:rPr>
      </w:pPr>
    </w:p>
    <w:p>
      <w:pPr>
        <w:spacing w:line="560" w:lineRule="exact"/>
        <w:jc w:val="center"/>
        <w:rPr>
          <w:rFonts w:ascii="宋体" w:hAnsi="宋体" w:eastAsia="宋体" w:cs="宋体"/>
          <w:b/>
          <w:bCs/>
          <w:color w:val="auto"/>
          <w:sz w:val="28"/>
          <w:szCs w:val="28"/>
        </w:rPr>
      </w:pPr>
      <w:r>
        <w:rPr>
          <w:rFonts w:hint="eastAsia" w:ascii="仿宋_GB2312" w:hAnsi="仿宋_GB2312" w:eastAsia="仿宋_GB2312" w:cs="仿宋_GB2312"/>
          <w:snapToGrid/>
          <w:color w:val="000000"/>
          <w:kern w:val="2"/>
          <w:sz w:val="30"/>
          <w:szCs w:val="30"/>
          <w:lang w:val="en-US" w:eastAsia="zh-CN" w:bidi="ar-SA"/>
        </w:rPr>
        <w:t>评审专家组成员名单</w:t>
      </w:r>
    </w:p>
    <w:tbl>
      <w:tblPr>
        <w:tblStyle w:val="13"/>
        <w:tblW w:w="928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67"/>
        <w:gridCol w:w="2427"/>
        <w:gridCol w:w="1774"/>
        <w:gridCol w:w="1856"/>
        <w:gridCol w:w="18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7" w:hRule="atLeast"/>
          <w:jc w:val="center"/>
        </w:trPr>
        <w:tc>
          <w:tcPr>
            <w:tcW w:w="1367" w:type="dxa"/>
            <w:vAlign w:val="center"/>
          </w:tcPr>
          <w:p>
            <w:pPr>
              <w:jc w:val="center"/>
              <w:rPr>
                <w:rFonts w:ascii="仿宋" w:hAnsi="仿宋" w:eastAsia="仿宋" w:cs="宋体"/>
                <w:color w:val="auto"/>
                <w:sz w:val="28"/>
                <w:szCs w:val="28"/>
              </w:rPr>
            </w:pPr>
            <w:r>
              <w:rPr>
                <w:rFonts w:hint="eastAsia" w:ascii="仿宋" w:hAnsi="仿宋" w:eastAsia="仿宋" w:cs="宋体"/>
                <w:color w:val="auto"/>
                <w:sz w:val="28"/>
                <w:szCs w:val="28"/>
              </w:rPr>
              <w:t>姓名</w:t>
            </w:r>
          </w:p>
        </w:tc>
        <w:tc>
          <w:tcPr>
            <w:tcW w:w="2427" w:type="dxa"/>
            <w:vAlign w:val="center"/>
          </w:tcPr>
          <w:p>
            <w:pPr>
              <w:jc w:val="center"/>
              <w:rPr>
                <w:rFonts w:ascii="仿宋" w:hAnsi="仿宋" w:eastAsia="仿宋" w:cs="宋体"/>
                <w:color w:val="auto"/>
                <w:sz w:val="28"/>
                <w:szCs w:val="28"/>
              </w:rPr>
            </w:pPr>
            <w:r>
              <w:rPr>
                <w:rFonts w:hint="eastAsia" w:ascii="仿宋" w:hAnsi="仿宋" w:eastAsia="仿宋" w:cs="宋体"/>
                <w:color w:val="auto"/>
                <w:sz w:val="28"/>
                <w:szCs w:val="28"/>
              </w:rPr>
              <w:t>单  位</w:t>
            </w:r>
          </w:p>
        </w:tc>
        <w:tc>
          <w:tcPr>
            <w:tcW w:w="1774" w:type="dxa"/>
            <w:vAlign w:val="center"/>
          </w:tcPr>
          <w:p>
            <w:pPr>
              <w:jc w:val="center"/>
              <w:rPr>
                <w:rFonts w:ascii="仿宋" w:hAnsi="仿宋" w:eastAsia="仿宋" w:cs="宋体"/>
                <w:color w:val="auto"/>
                <w:sz w:val="28"/>
                <w:szCs w:val="28"/>
              </w:rPr>
            </w:pPr>
            <w:r>
              <w:rPr>
                <w:rFonts w:hint="eastAsia" w:ascii="仿宋" w:hAnsi="仿宋" w:eastAsia="仿宋" w:cs="宋体"/>
                <w:color w:val="auto"/>
                <w:sz w:val="28"/>
                <w:szCs w:val="28"/>
              </w:rPr>
              <w:t>专业</w:t>
            </w:r>
          </w:p>
        </w:tc>
        <w:tc>
          <w:tcPr>
            <w:tcW w:w="1856" w:type="dxa"/>
            <w:vAlign w:val="center"/>
          </w:tcPr>
          <w:p>
            <w:pPr>
              <w:jc w:val="center"/>
              <w:rPr>
                <w:rFonts w:ascii="仿宋" w:hAnsi="仿宋" w:eastAsia="仿宋" w:cs="宋体"/>
                <w:color w:val="auto"/>
                <w:sz w:val="28"/>
                <w:szCs w:val="28"/>
              </w:rPr>
            </w:pPr>
            <w:r>
              <w:rPr>
                <w:rFonts w:hint="eastAsia" w:ascii="仿宋" w:hAnsi="仿宋" w:eastAsia="仿宋" w:cs="宋体"/>
                <w:color w:val="auto"/>
                <w:sz w:val="28"/>
                <w:szCs w:val="28"/>
              </w:rPr>
              <w:t>技术职称</w:t>
            </w:r>
          </w:p>
        </w:tc>
        <w:tc>
          <w:tcPr>
            <w:tcW w:w="1857" w:type="dxa"/>
            <w:vAlign w:val="center"/>
          </w:tcPr>
          <w:p>
            <w:pPr>
              <w:jc w:val="center"/>
              <w:rPr>
                <w:rFonts w:ascii="仿宋" w:hAnsi="仿宋" w:eastAsia="仿宋" w:cs="宋体"/>
                <w:color w:val="auto"/>
                <w:sz w:val="28"/>
                <w:szCs w:val="28"/>
              </w:rPr>
            </w:pPr>
            <w:r>
              <w:rPr>
                <w:rFonts w:hint="eastAsia" w:ascii="仿宋" w:hAnsi="仿宋" w:eastAsia="仿宋" w:cs="宋体"/>
                <w:color w:val="auto"/>
                <w:sz w:val="28"/>
                <w:szCs w:val="28"/>
              </w:rPr>
              <w:t>签名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7" w:hRule="atLeast"/>
          <w:jc w:val="center"/>
        </w:trPr>
        <w:tc>
          <w:tcPr>
            <w:tcW w:w="1367" w:type="dxa"/>
            <w:vAlign w:val="center"/>
          </w:tcPr>
          <w:p>
            <w:pPr>
              <w:jc w:val="center"/>
              <w:rPr>
                <w:rFonts w:ascii="仿宋" w:hAnsi="仿宋" w:eastAsia="仿宋" w:cs="宋体"/>
                <w:color w:val="auto"/>
                <w:sz w:val="28"/>
                <w:szCs w:val="28"/>
              </w:rPr>
            </w:pPr>
            <w:r>
              <w:rPr>
                <w:rFonts w:hint="eastAsia" w:ascii="仿宋" w:hAnsi="仿宋" w:eastAsia="仿宋" w:cs="宋体"/>
                <w:color w:val="auto"/>
                <w:sz w:val="28"/>
                <w:szCs w:val="28"/>
              </w:rPr>
              <w:t>张书林</w:t>
            </w:r>
          </w:p>
        </w:tc>
        <w:tc>
          <w:tcPr>
            <w:tcW w:w="2427" w:type="dxa"/>
            <w:vAlign w:val="center"/>
          </w:tcPr>
          <w:p>
            <w:pPr>
              <w:jc w:val="center"/>
              <w:rPr>
                <w:rFonts w:ascii="仿宋" w:hAnsi="仿宋" w:eastAsia="仿宋" w:cs="宋体"/>
                <w:color w:val="auto"/>
                <w:sz w:val="28"/>
                <w:szCs w:val="28"/>
              </w:rPr>
            </w:pPr>
            <w:r>
              <w:rPr>
                <w:rFonts w:hint="eastAsia" w:ascii="仿宋" w:hAnsi="仿宋" w:eastAsia="仿宋" w:cs="宋体"/>
                <w:color w:val="auto"/>
                <w:sz w:val="28"/>
                <w:szCs w:val="28"/>
              </w:rPr>
              <w:t>新疆天地源矿业公司</w:t>
            </w:r>
          </w:p>
        </w:tc>
        <w:tc>
          <w:tcPr>
            <w:tcW w:w="1774" w:type="dxa"/>
            <w:vAlign w:val="center"/>
          </w:tcPr>
          <w:p>
            <w:pPr>
              <w:jc w:val="center"/>
              <w:rPr>
                <w:rFonts w:ascii="仿宋" w:hAnsi="仿宋" w:eastAsia="仿宋" w:cs="宋体"/>
                <w:color w:val="auto"/>
                <w:sz w:val="28"/>
                <w:szCs w:val="28"/>
              </w:rPr>
            </w:pPr>
            <w:r>
              <w:rPr>
                <w:rFonts w:hint="eastAsia" w:ascii="仿宋" w:hAnsi="仿宋" w:eastAsia="仿宋" w:cs="宋体"/>
                <w:color w:val="auto"/>
                <w:sz w:val="28"/>
                <w:szCs w:val="28"/>
              </w:rPr>
              <w:t>采   矿</w:t>
            </w:r>
          </w:p>
        </w:tc>
        <w:tc>
          <w:tcPr>
            <w:tcW w:w="1856" w:type="dxa"/>
            <w:vAlign w:val="center"/>
          </w:tcPr>
          <w:p>
            <w:pPr>
              <w:jc w:val="center"/>
              <w:rPr>
                <w:rFonts w:ascii="仿宋" w:hAnsi="仿宋" w:eastAsia="仿宋" w:cs="宋体"/>
                <w:color w:val="auto"/>
                <w:sz w:val="28"/>
                <w:szCs w:val="28"/>
              </w:rPr>
            </w:pPr>
            <w:r>
              <w:rPr>
                <w:rFonts w:hint="eastAsia" w:ascii="仿宋" w:hAnsi="仿宋" w:eastAsia="仿宋" w:cs="宋体"/>
                <w:color w:val="auto"/>
                <w:sz w:val="28"/>
                <w:szCs w:val="28"/>
              </w:rPr>
              <w:t>高级工程师</w:t>
            </w:r>
          </w:p>
        </w:tc>
        <w:tc>
          <w:tcPr>
            <w:tcW w:w="1857" w:type="dxa"/>
            <w:vAlign w:val="center"/>
          </w:tcPr>
          <w:p>
            <w:pPr>
              <w:jc w:val="center"/>
              <w:rPr>
                <w:rFonts w:ascii="仿宋" w:hAnsi="仿宋" w:eastAsia="仿宋" w:cs="宋体"/>
                <w:color w:val="auto"/>
                <w:sz w:val="28"/>
                <w:szCs w:val="28"/>
              </w:rPr>
            </w:pPr>
            <w:r>
              <w:rPr>
                <w:rFonts w:hint="eastAsia" w:ascii="仿宋" w:hAnsi="仿宋" w:eastAsia="仿宋" w:cs="宋体"/>
                <w:color w:val="auto"/>
                <w:sz w:val="28"/>
                <w:szCs w:val="28"/>
              </w:rPr>
              <w:drawing>
                <wp:inline distT="0" distB="0" distL="114300" distR="114300">
                  <wp:extent cx="1042035" cy="570230"/>
                  <wp:effectExtent l="0" t="0" r="5715" b="1270"/>
                  <wp:docPr id="4" name="图片 1" descr="d2fcb4e6f502ba747fb167e654c3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d2fcb4e6f502ba747fb167e654c3e14"/>
                          <pic:cNvPicPr>
                            <a:picLocks noChangeAspect="1"/>
                          </pic:cNvPicPr>
                        </pic:nvPicPr>
                        <pic:blipFill>
                          <a:blip r:embed="rId7" cstate="print"/>
                          <a:stretch>
                            <a:fillRect/>
                          </a:stretch>
                        </pic:blipFill>
                        <pic:spPr>
                          <a:xfrm>
                            <a:off x="0" y="0"/>
                            <a:ext cx="1042035" cy="570230"/>
                          </a:xfrm>
                          <a:prstGeom prst="rect">
                            <a:avLst/>
                          </a:prstGeom>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7" w:hRule="atLeast"/>
          <w:jc w:val="center"/>
        </w:trPr>
        <w:tc>
          <w:tcPr>
            <w:tcW w:w="1367" w:type="dxa"/>
            <w:vAlign w:val="center"/>
          </w:tcPr>
          <w:p>
            <w:pPr>
              <w:jc w:val="center"/>
              <w:rPr>
                <w:rFonts w:ascii="仿宋" w:hAnsi="仿宋" w:eastAsia="仿宋" w:cs="宋体"/>
                <w:color w:val="FF0000"/>
                <w:sz w:val="28"/>
                <w:szCs w:val="28"/>
              </w:rPr>
            </w:pPr>
            <w:r>
              <w:rPr>
                <w:rFonts w:hint="eastAsia" w:ascii="仿宋" w:hAnsi="仿宋" w:eastAsia="仿宋" w:cs="宋体"/>
                <w:color w:val="auto"/>
                <w:sz w:val="28"/>
                <w:szCs w:val="28"/>
              </w:rPr>
              <w:t>王  勇</w:t>
            </w:r>
          </w:p>
        </w:tc>
        <w:tc>
          <w:tcPr>
            <w:tcW w:w="2427" w:type="dxa"/>
            <w:vAlign w:val="center"/>
          </w:tcPr>
          <w:p>
            <w:pPr>
              <w:jc w:val="center"/>
              <w:rPr>
                <w:rFonts w:ascii="仿宋" w:hAnsi="仿宋" w:eastAsia="仿宋"/>
                <w:color w:val="FF0000"/>
              </w:rPr>
            </w:pPr>
            <w:r>
              <w:rPr>
                <w:rFonts w:hint="eastAsia" w:ascii="仿宋" w:hAnsi="仿宋" w:eastAsia="仿宋" w:cs="宋体"/>
                <w:color w:val="auto"/>
                <w:sz w:val="28"/>
                <w:szCs w:val="28"/>
              </w:rPr>
              <w:t>新疆地矿局第一水文地质大队</w:t>
            </w:r>
          </w:p>
        </w:tc>
        <w:tc>
          <w:tcPr>
            <w:tcW w:w="1774" w:type="dxa"/>
            <w:vAlign w:val="center"/>
          </w:tcPr>
          <w:p>
            <w:pPr>
              <w:jc w:val="center"/>
              <w:rPr>
                <w:rFonts w:ascii="仿宋" w:hAnsi="仿宋" w:eastAsia="仿宋" w:cs="宋体"/>
                <w:color w:val="FF0000"/>
                <w:sz w:val="28"/>
                <w:szCs w:val="28"/>
              </w:rPr>
            </w:pPr>
            <w:r>
              <w:rPr>
                <w:rFonts w:hint="eastAsia" w:ascii="仿宋" w:hAnsi="仿宋" w:eastAsia="仿宋" w:cs="宋体"/>
                <w:color w:val="auto"/>
                <w:sz w:val="28"/>
                <w:szCs w:val="28"/>
              </w:rPr>
              <w:t>地   环</w:t>
            </w:r>
          </w:p>
        </w:tc>
        <w:tc>
          <w:tcPr>
            <w:tcW w:w="1856" w:type="dxa"/>
            <w:vAlign w:val="center"/>
          </w:tcPr>
          <w:p>
            <w:pPr>
              <w:jc w:val="center"/>
              <w:rPr>
                <w:rFonts w:ascii="仿宋" w:hAnsi="仿宋" w:eastAsia="仿宋" w:cs="宋体"/>
                <w:color w:val="FF0000"/>
                <w:sz w:val="28"/>
                <w:szCs w:val="28"/>
              </w:rPr>
            </w:pPr>
            <w:r>
              <w:rPr>
                <w:rFonts w:hint="eastAsia" w:ascii="仿宋" w:hAnsi="仿宋" w:eastAsia="仿宋" w:cs="宋体"/>
                <w:color w:val="auto"/>
                <w:sz w:val="28"/>
                <w:szCs w:val="28"/>
              </w:rPr>
              <w:t>高级工程师</w:t>
            </w:r>
          </w:p>
        </w:tc>
        <w:tc>
          <w:tcPr>
            <w:tcW w:w="1857" w:type="dxa"/>
            <w:vAlign w:val="center"/>
          </w:tcPr>
          <w:p>
            <w:pPr>
              <w:jc w:val="center"/>
              <w:rPr>
                <w:rFonts w:ascii="仿宋" w:hAnsi="仿宋" w:eastAsia="仿宋" w:cs="宋体"/>
                <w:color w:val="auto"/>
                <w:sz w:val="28"/>
                <w:szCs w:val="28"/>
              </w:rPr>
            </w:pPr>
            <w:r>
              <w:rPr>
                <w:rFonts w:hint="eastAsia" w:ascii="仿宋" w:hAnsi="仿宋" w:eastAsia="仿宋" w:cs="宋体"/>
                <w:color w:val="auto"/>
                <w:sz w:val="28"/>
                <w:szCs w:val="28"/>
              </w:rPr>
              <w:drawing>
                <wp:inline distT="0" distB="0" distL="114300" distR="114300">
                  <wp:extent cx="990600" cy="666750"/>
                  <wp:effectExtent l="0" t="0" r="0" b="0"/>
                  <wp:docPr id="5" name="图片 2" descr="5ce7b0e609c78c654e6c36fa2bdf4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5ce7b0e609c78c654e6c36fa2bdf46a"/>
                          <pic:cNvPicPr>
                            <a:picLocks noChangeAspect="1"/>
                          </pic:cNvPicPr>
                        </pic:nvPicPr>
                        <pic:blipFill>
                          <a:blip r:embed="rId8" cstate="print"/>
                          <a:stretch>
                            <a:fillRect/>
                          </a:stretch>
                        </pic:blipFill>
                        <pic:spPr>
                          <a:xfrm>
                            <a:off x="0" y="0"/>
                            <a:ext cx="990600" cy="666750"/>
                          </a:xfrm>
                          <a:prstGeom prst="rect">
                            <a:avLst/>
                          </a:prstGeom>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7" w:hRule="atLeast"/>
          <w:jc w:val="center"/>
        </w:trPr>
        <w:tc>
          <w:tcPr>
            <w:tcW w:w="1367" w:type="dxa"/>
            <w:vAlign w:val="center"/>
          </w:tcPr>
          <w:p>
            <w:pPr>
              <w:jc w:val="center"/>
              <w:rPr>
                <w:rFonts w:ascii="仿宋" w:hAnsi="仿宋" w:eastAsia="仿宋" w:cs="宋体"/>
                <w:color w:val="auto"/>
                <w:sz w:val="28"/>
                <w:szCs w:val="28"/>
              </w:rPr>
            </w:pPr>
            <w:r>
              <w:rPr>
                <w:rFonts w:hint="eastAsia" w:ascii="仿宋" w:hAnsi="仿宋" w:eastAsia="仿宋" w:cs="宋体"/>
                <w:color w:val="auto"/>
                <w:sz w:val="28"/>
                <w:szCs w:val="28"/>
              </w:rPr>
              <w:t>刘湘茹</w:t>
            </w:r>
          </w:p>
        </w:tc>
        <w:tc>
          <w:tcPr>
            <w:tcW w:w="2427" w:type="dxa"/>
            <w:vAlign w:val="center"/>
          </w:tcPr>
          <w:p>
            <w:pPr>
              <w:jc w:val="center"/>
              <w:rPr>
                <w:rFonts w:ascii="仿宋" w:hAnsi="仿宋" w:eastAsia="仿宋"/>
                <w:color w:val="FF0000"/>
              </w:rPr>
            </w:pPr>
            <w:r>
              <w:rPr>
                <w:rFonts w:hint="eastAsia" w:ascii="仿宋" w:hAnsi="仿宋" w:eastAsia="仿宋" w:cs="宋体"/>
                <w:color w:val="auto"/>
                <w:sz w:val="28"/>
                <w:szCs w:val="28"/>
              </w:rPr>
              <w:t>新疆国土综合整治中心</w:t>
            </w:r>
          </w:p>
        </w:tc>
        <w:tc>
          <w:tcPr>
            <w:tcW w:w="1774" w:type="dxa"/>
            <w:vAlign w:val="center"/>
          </w:tcPr>
          <w:p>
            <w:pPr>
              <w:jc w:val="center"/>
              <w:rPr>
                <w:rFonts w:ascii="仿宋" w:hAnsi="仿宋" w:eastAsia="仿宋" w:cs="宋体"/>
                <w:color w:val="FF0000"/>
                <w:sz w:val="28"/>
                <w:szCs w:val="28"/>
              </w:rPr>
            </w:pPr>
            <w:r>
              <w:rPr>
                <w:rFonts w:hint="eastAsia" w:ascii="仿宋" w:hAnsi="仿宋" w:eastAsia="仿宋" w:cs="宋体"/>
                <w:color w:val="auto"/>
                <w:sz w:val="28"/>
                <w:szCs w:val="28"/>
              </w:rPr>
              <w:t>土   地</w:t>
            </w:r>
          </w:p>
        </w:tc>
        <w:tc>
          <w:tcPr>
            <w:tcW w:w="1856" w:type="dxa"/>
            <w:vAlign w:val="center"/>
          </w:tcPr>
          <w:p>
            <w:pPr>
              <w:jc w:val="center"/>
              <w:rPr>
                <w:rFonts w:ascii="仿宋" w:hAnsi="仿宋" w:eastAsia="仿宋" w:cs="宋体"/>
                <w:color w:val="FF0000"/>
                <w:sz w:val="28"/>
                <w:szCs w:val="28"/>
              </w:rPr>
            </w:pPr>
            <w:r>
              <w:rPr>
                <w:rFonts w:hint="eastAsia" w:ascii="仿宋" w:hAnsi="仿宋" w:eastAsia="仿宋" w:cs="宋体"/>
                <w:color w:val="auto"/>
                <w:sz w:val="28"/>
                <w:szCs w:val="28"/>
              </w:rPr>
              <w:t>高级工程师</w:t>
            </w:r>
          </w:p>
        </w:tc>
        <w:tc>
          <w:tcPr>
            <w:tcW w:w="1857" w:type="dxa"/>
            <w:vAlign w:val="center"/>
          </w:tcPr>
          <w:p>
            <w:pPr>
              <w:jc w:val="center"/>
              <w:rPr>
                <w:rFonts w:ascii="仿宋" w:hAnsi="仿宋" w:eastAsia="仿宋" w:cs="宋体"/>
                <w:color w:val="auto"/>
                <w:sz w:val="28"/>
                <w:szCs w:val="28"/>
              </w:rPr>
            </w:pPr>
            <w:r>
              <w:rPr>
                <w:rFonts w:hint="eastAsia" w:ascii="仿宋" w:hAnsi="仿宋" w:eastAsia="仿宋" w:cs="宋体"/>
                <w:color w:val="auto"/>
                <w:sz w:val="28"/>
                <w:szCs w:val="28"/>
              </w:rPr>
              <w:drawing>
                <wp:inline distT="0" distB="0" distL="114300" distR="114300">
                  <wp:extent cx="1041400" cy="465455"/>
                  <wp:effectExtent l="0" t="0" r="6350" b="10795"/>
                  <wp:docPr id="6" name="图片 3" descr="f4655015f3c4d7f642b6f3d0e6ab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f4655015f3c4d7f642b6f3d0e6ab877"/>
                          <pic:cNvPicPr>
                            <a:picLocks noChangeAspect="1"/>
                          </pic:cNvPicPr>
                        </pic:nvPicPr>
                        <pic:blipFill>
                          <a:blip r:embed="rId9" cstate="print"/>
                          <a:stretch>
                            <a:fillRect/>
                          </a:stretch>
                        </pic:blipFill>
                        <pic:spPr>
                          <a:xfrm>
                            <a:off x="0" y="0"/>
                            <a:ext cx="1041400" cy="465455"/>
                          </a:xfrm>
                          <a:prstGeom prst="rect">
                            <a:avLst/>
                          </a:prstGeom>
                        </pic:spPr>
                      </pic:pic>
                    </a:graphicData>
                  </a:graphic>
                </wp:inline>
              </w:drawing>
            </w:r>
          </w:p>
        </w:tc>
      </w:tr>
    </w:tbl>
    <w:p>
      <w:pPr>
        <w:spacing w:line="560" w:lineRule="exact"/>
        <w:ind w:firstLine="560" w:firstLineChars="200"/>
        <w:rPr>
          <w:rFonts w:ascii="宋体" w:hAnsi="宋体" w:eastAsia="宋体" w:cs="宋体"/>
          <w:color w:val="auto"/>
          <w:sz w:val="28"/>
          <w:szCs w:val="28"/>
        </w:rPr>
      </w:pPr>
    </w:p>
    <w:p>
      <w:pPr>
        <w:spacing w:line="560" w:lineRule="exact"/>
        <w:ind w:firstLine="560" w:firstLineChars="200"/>
        <w:rPr>
          <w:rFonts w:ascii="宋体" w:hAnsi="宋体" w:eastAsia="宋体" w:cs="宋体"/>
          <w:color w:val="FF0000"/>
          <w:sz w:val="28"/>
          <w:szCs w:val="28"/>
        </w:rPr>
      </w:pPr>
    </w:p>
    <w:p>
      <w:pPr>
        <w:spacing w:line="560" w:lineRule="exact"/>
        <w:ind w:firstLine="560" w:firstLineChars="200"/>
        <w:rPr>
          <w:rFonts w:ascii="宋体" w:hAnsi="宋体" w:eastAsia="宋体" w:cs="宋体"/>
          <w:color w:val="FF0000"/>
          <w:sz w:val="28"/>
          <w:szCs w:val="28"/>
        </w:rPr>
      </w:pPr>
    </w:p>
    <w:sectPr>
      <w:footerReference r:id="rId5" w:type="default"/>
      <w:pgSz w:w="11907" w:h="16839"/>
      <w:pgMar w:top="1421" w:right="1414" w:bottom="1341" w:left="1428" w:header="0" w:footer="1147"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Romana BT">
    <w:altName w:val="Times New Roman"/>
    <w:panose1 w:val="00000000000000000000"/>
    <w:charset w:val="00"/>
    <w:family w:val="roman"/>
    <w:pitch w:val="default"/>
    <w:sig w:usb0="00000000" w:usb1="00000000" w:usb2="00000000" w:usb3="00000000" w:csb0="00000011" w:csb1="0000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pPr>
                        </w:p>
                      </w:txbxContent>
                    </wps:txbx>
                    <wps:bodyPr wrap="none" lIns="0" tIns="0" rIns="0" bIns="0" upright="1">
                      <a:spAutoFit/>
                    </wps:bodyPr>
                  </wps:wsp>
                </a:graphicData>
              </a:graphic>
            </wp:anchor>
          </w:drawing>
        </mc:Choice>
        <mc:Fallback>
          <w:pict>
            <v:shape id="409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qXm5zwAAAAUBAAAPAAAAAAAAAAEAIAAAACIAAABkcnMvZG93bnJldi54bWxQSwECFAAUAAAACACH&#10;TuJA/qZM6rsBAACgAwAADgAAAAAAAAABACAAAAAeAQAAZHJzL2Uyb0RvYy54bWxQSwUGAAAAAAYA&#10;BgBZAQAASwUAAAAA&#10;">
              <v:fill on="f" focussize="0,0"/>
              <v:stroke on="f"/>
              <v:imagedata o:title=""/>
              <o:lock v:ext="edit" aspectratio="f"/>
              <v:textbox inset="0mm,0mm,0mm,0mm" style="mso-fit-shape-to-text:t;">
                <w:txbxContent>
                  <w:p>
                    <w:pPr>
                      <w:pStyle w:val="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Cs w:val="2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40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pPr>
                        </w:p>
                      </w:txbxContent>
                    </wps:txbx>
                    <wps:bodyPr wrap="none" lIns="0" tIns="0" rIns="0" bIns="0" upright="1">
                      <a:spAutoFit/>
                    </wps:bodyPr>
                  </wps:wsp>
                </a:graphicData>
              </a:graphic>
            </wp:anchor>
          </w:drawing>
        </mc:Choice>
        <mc:Fallback>
          <w:pict>
            <v:shape id="409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Pf3UIy8AQAAoAMAAA4AAAAAAAAAAQAgAAAAHgEAAGRycy9lMm9Eb2MueG1sUEsFBgAAAAAG&#10;AAYAWQEAAEwFAAAAAA==&#10;">
              <v:fill on="f" focussize="0,0"/>
              <v:stroke on="f"/>
              <v:imagedata o:title=""/>
              <o:lock v:ext="edit" aspectratio="f"/>
              <v:textbox inset="0mm,0mm,0mm,0mm" style="mso-fit-shape-to-text:t;">
                <w:txbxContent>
                  <w:p>
                    <w:pPr>
                      <w:pStyle w:val="8"/>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4860"/>
      <w:docPartObj>
        <w:docPartGallery w:val="autotext"/>
      </w:docPartObj>
    </w:sdtPr>
    <w:sdtContent>
      <w:p>
        <w:pPr>
          <w:pStyle w:val="8"/>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2FC98"/>
    <w:multiLevelType w:val="singleLevel"/>
    <w:tmpl w:val="8862FC9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0"/>
  <w:characterSpacingControl w:val="doNotCompress"/>
  <w:hdrShapeDefaults>
    <o:shapelayout v:ext="edit">
      <o:idmap v:ext="edit" data="3"/>
    </o:shapelayout>
  </w:hdrShapeDefaults>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lNjIxZTdjOWRlMDhiODA2YjJiOGE2Njk0NjkwYzEifQ=="/>
  </w:docVars>
  <w:rsids>
    <w:rsidRoot w:val="00957750"/>
    <w:rsid w:val="00013953"/>
    <w:rsid w:val="00015BC9"/>
    <w:rsid w:val="000179BD"/>
    <w:rsid w:val="00035884"/>
    <w:rsid w:val="00035BD2"/>
    <w:rsid w:val="0004507B"/>
    <w:rsid w:val="000620AB"/>
    <w:rsid w:val="00083958"/>
    <w:rsid w:val="00095B56"/>
    <w:rsid w:val="000A185B"/>
    <w:rsid w:val="000A7304"/>
    <w:rsid w:val="000B22DF"/>
    <w:rsid w:val="000C6249"/>
    <w:rsid w:val="0011262E"/>
    <w:rsid w:val="00122F3C"/>
    <w:rsid w:val="00143F03"/>
    <w:rsid w:val="001746D1"/>
    <w:rsid w:val="001945FD"/>
    <w:rsid w:val="001B7764"/>
    <w:rsid w:val="00224B13"/>
    <w:rsid w:val="00225241"/>
    <w:rsid w:val="002461E8"/>
    <w:rsid w:val="00254407"/>
    <w:rsid w:val="00274FDA"/>
    <w:rsid w:val="0028634F"/>
    <w:rsid w:val="002A2F6B"/>
    <w:rsid w:val="002A3617"/>
    <w:rsid w:val="002A5CE7"/>
    <w:rsid w:val="002A723F"/>
    <w:rsid w:val="002B4A6F"/>
    <w:rsid w:val="002D475A"/>
    <w:rsid w:val="002E2B28"/>
    <w:rsid w:val="002E4536"/>
    <w:rsid w:val="002E572C"/>
    <w:rsid w:val="00301E65"/>
    <w:rsid w:val="0032784C"/>
    <w:rsid w:val="00332241"/>
    <w:rsid w:val="0035261C"/>
    <w:rsid w:val="00355421"/>
    <w:rsid w:val="00367970"/>
    <w:rsid w:val="003700F1"/>
    <w:rsid w:val="003A5647"/>
    <w:rsid w:val="003B1D67"/>
    <w:rsid w:val="003B5586"/>
    <w:rsid w:val="003D0107"/>
    <w:rsid w:val="00406132"/>
    <w:rsid w:val="00421B20"/>
    <w:rsid w:val="00431D3D"/>
    <w:rsid w:val="004621CB"/>
    <w:rsid w:val="00465788"/>
    <w:rsid w:val="004C1975"/>
    <w:rsid w:val="004C21D1"/>
    <w:rsid w:val="004E0060"/>
    <w:rsid w:val="004F07E5"/>
    <w:rsid w:val="004F59D5"/>
    <w:rsid w:val="00514374"/>
    <w:rsid w:val="00520092"/>
    <w:rsid w:val="005324F9"/>
    <w:rsid w:val="00535DFC"/>
    <w:rsid w:val="00563A50"/>
    <w:rsid w:val="00572089"/>
    <w:rsid w:val="00577448"/>
    <w:rsid w:val="005A23D3"/>
    <w:rsid w:val="005C3F41"/>
    <w:rsid w:val="005E4520"/>
    <w:rsid w:val="005E49FE"/>
    <w:rsid w:val="005E77C6"/>
    <w:rsid w:val="005F67E5"/>
    <w:rsid w:val="005F71F2"/>
    <w:rsid w:val="00601954"/>
    <w:rsid w:val="00604B61"/>
    <w:rsid w:val="00654FB5"/>
    <w:rsid w:val="006740E0"/>
    <w:rsid w:val="00675AD6"/>
    <w:rsid w:val="00675F75"/>
    <w:rsid w:val="00690EC8"/>
    <w:rsid w:val="00694016"/>
    <w:rsid w:val="006C06EE"/>
    <w:rsid w:val="006C0D22"/>
    <w:rsid w:val="006D2DAF"/>
    <w:rsid w:val="006D69DD"/>
    <w:rsid w:val="006F1EB5"/>
    <w:rsid w:val="00704E95"/>
    <w:rsid w:val="007239CF"/>
    <w:rsid w:val="00723E1E"/>
    <w:rsid w:val="0075034C"/>
    <w:rsid w:val="00751F21"/>
    <w:rsid w:val="007601F6"/>
    <w:rsid w:val="0076495D"/>
    <w:rsid w:val="00782AC9"/>
    <w:rsid w:val="00785A55"/>
    <w:rsid w:val="007900B7"/>
    <w:rsid w:val="007A04E5"/>
    <w:rsid w:val="007A49A8"/>
    <w:rsid w:val="007B284D"/>
    <w:rsid w:val="007C0A91"/>
    <w:rsid w:val="007F3130"/>
    <w:rsid w:val="007F55FF"/>
    <w:rsid w:val="007F5651"/>
    <w:rsid w:val="00801117"/>
    <w:rsid w:val="00811921"/>
    <w:rsid w:val="008154BC"/>
    <w:rsid w:val="00832A28"/>
    <w:rsid w:val="00836232"/>
    <w:rsid w:val="008438E6"/>
    <w:rsid w:val="008444A6"/>
    <w:rsid w:val="00853767"/>
    <w:rsid w:val="008642B9"/>
    <w:rsid w:val="008B1EA8"/>
    <w:rsid w:val="008B2F4B"/>
    <w:rsid w:val="008C5FAD"/>
    <w:rsid w:val="008C6DCC"/>
    <w:rsid w:val="008D78B4"/>
    <w:rsid w:val="00925B98"/>
    <w:rsid w:val="00952508"/>
    <w:rsid w:val="00957750"/>
    <w:rsid w:val="009702CF"/>
    <w:rsid w:val="00970DFF"/>
    <w:rsid w:val="009846F2"/>
    <w:rsid w:val="009847A7"/>
    <w:rsid w:val="0099582A"/>
    <w:rsid w:val="009B0760"/>
    <w:rsid w:val="009B3970"/>
    <w:rsid w:val="009C2495"/>
    <w:rsid w:val="009C337E"/>
    <w:rsid w:val="009C7EFA"/>
    <w:rsid w:val="009D1654"/>
    <w:rsid w:val="00A02D88"/>
    <w:rsid w:val="00A3601F"/>
    <w:rsid w:val="00A622CA"/>
    <w:rsid w:val="00A66686"/>
    <w:rsid w:val="00A66B31"/>
    <w:rsid w:val="00A72CFC"/>
    <w:rsid w:val="00A72F93"/>
    <w:rsid w:val="00A80B76"/>
    <w:rsid w:val="00A80B82"/>
    <w:rsid w:val="00A93B71"/>
    <w:rsid w:val="00AA0B5A"/>
    <w:rsid w:val="00AA1952"/>
    <w:rsid w:val="00AC40D3"/>
    <w:rsid w:val="00AC42F9"/>
    <w:rsid w:val="00AC6A23"/>
    <w:rsid w:val="00AE07E1"/>
    <w:rsid w:val="00B044BC"/>
    <w:rsid w:val="00B05D99"/>
    <w:rsid w:val="00B11A34"/>
    <w:rsid w:val="00B16370"/>
    <w:rsid w:val="00B22F7B"/>
    <w:rsid w:val="00B31C4E"/>
    <w:rsid w:val="00B444ED"/>
    <w:rsid w:val="00B53102"/>
    <w:rsid w:val="00B56450"/>
    <w:rsid w:val="00B651BE"/>
    <w:rsid w:val="00B80794"/>
    <w:rsid w:val="00B8631D"/>
    <w:rsid w:val="00BA5139"/>
    <w:rsid w:val="00BB3D3D"/>
    <w:rsid w:val="00BD6CA7"/>
    <w:rsid w:val="00C549D1"/>
    <w:rsid w:val="00C6281A"/>
    <w:rsid w:val="00C70B7D"/>
    <w:rsid w:val="00C713DF"/>
    <w:rsid w:val="00C77BA7"/>
    <w:rsid w:val="00C8105D"/>
    <w:rsid w:val="00C811D6"/>
    <w:rsid w:val="00C838E8"/>
    <w:rsid w:val="00C84CED"/>
    <w:rsid w:val="00CD25F9"/>
    <w:rsid w:val="00CD7A83"/>
    <w:rsid w:val="00CF2932"/>
    <w:rsid w:val="00D04565"/>
    <w:rsid w:val="00D05A6D"/>
    <w:rsid w:val="00D200BD"/>
    <w:rsid w:val="00D2527F"/>
    <w:rsid w:val="00D30F14"/>
    <w:rsid w:val="00D34FC2"/>
    <w:rsid w:val="00D43468"/>
    <w:rsid w:val="00D5210F"/>
    <w:rsid w:val="00D750E4"/>
    <w:rsid w:val="00D80281"/>
    <w:rsid w:val="00D843F0"/>
    <w:rsid w:val="00D91D48"/>
    <w:rsid w:val="00DA3433"/>
    <w:rsid w:val="00DA7E50"/>
    <w:rsid w:val="00E07A21"/>
    <w:rsid w:val="00E21810"/>
    <w:rsid w:val="00E251A3"/>
    <w:rsid w:val="00E26044"/>
    <w:rsid w:val="00E41D66"/>
    <w:rsid w:val="00E505D2"/>
    <w:rsid w:val="00E62F24"/>
    <w:rsid w:val="00E675F8"/>
    <w:rsid w:val="00E95B73"/>
    <w:rsid w:val="00E96CC1"/>
    <w:rsid w:val="00EB2D09"/>
    <w:rsid w:val="00EC43D6"/>
    <w:rsid w:val="00EC4E30"/>
    <w:rsid w:val="00ED2CA2"/>
    <w:rsid w:val="00ED66C1"/>
    <w:rsid w:val="00EE470D"/>
    <w:rsid w:val="00EE5E19"/>
    <w:rsid w:val="00EE7C9D"/>
    <w:rsid w:val="00EF6AB5"/>
    <w:rsid w:val="00F00C05"/>
    <w:rsid w:val="00F11274"/>
    <w:rsid w:val="00F17740"/>
    <w:rsid w:val="00F26745"/>
    <w:rsid w:val="00F27D75"/>
    <w:rsid w:val="00F3259E"/>
    <w:rsid w:val="00F545E4"/>
    <w:rsid w:val="00F72D2C"/>
    <w:rsid w:val="00F82AD1"/>
    <w:rsid w:val="00FB0E9A"/>
    <w:rsid w:val="00FB6D6A"/>
    <w:rsid w:val="00FE6907"/>
    <w:rsid w:val="00FF44BB"/>
    <w:rsid w:val="00FF5C71"/>
    <w:rsid w:val="01D96573"/>
    <w:rsid w:val="03830784"/>
    <w:rsid w:val="038928AB"/>
    <w:rsid w:val="04F9561C"/>
    <w:rsid w:val="053C1616"/>
    <w:rsid w:val="05AC7F84"/>
    <w:rsid w:val="07796682"/>
    <w:rsid w:val="07A910C8"/>
    <w:rsid w:val="08F52B8D"/>
    <w:rsid w:val="09855771"/>
    <w:rsid w:val="0A422713"/>
    <w:rsid w:val="0CFC44C4"/>
    <w:rsid w:val="0D5768DC"/>
    <w:rsid w:val="100930F8"/>
    <w:rsid w:val="10626E84"/>
    <w:rsid w:val="10F05EA7"/>
    <w:rsid w:val="11D87F8D"/>
    <w:rsid w:val="12415A67"/>
    <w:rsid w:val="12D316A1"/>
    <w:rsid w:val="15D338D5"/>
    <w:rsid w:val="160F750C"/>
    <w:rsid w:val="171E0622"/>
    <w:rsid w:val="18B740DA"/>
    <w:rsid w:val="19D733EF"/>
    <w:rsid w:val="1AAD6142"/>
    <w:rsid w:val="1B49150C"/>
    <w:rsid w:val="1B9B6AD5"/>
    <w:rsid w:val="1C4241E2"/>
    <w:rsid w:val="1F1C07F8"/>
    <w:rsid w:val="1FC64343"/>
    <w:rsid w:val="23FC103A"/>
    <w:rsid w:val="246758CC"/>
    <w:rsid w:val="24F20FFA"/>
    <w:rsid w:val="25535E50"/>
    <w:rsid w:val="28A864EB"/>
    <w:rsid w:val="29E057D9"/>
    <w:rsid w:val="2A21195C"/>
    <w:rsid w:val="2BA41A02"/>
    <w:rsid w:val="2CB573F1"/>
    <w:rsid w:val="2CBE5B06"/>
    <w:rsid w:val="2DFF7816"/>
    <w:rsid w:val="2E4D63C7"/>
    <w:rsid w:val="2FE50586"/>
    <w:rsid w:val="317E6691"/>
    <w:rsid w:val="37313B18"/>
    <w:rsid w:val="37E34E12"/>
    <w:rsid w:val="392E4F96"/>
    <w:rsid w:val="39A00A71"/>
    <w:rsid w:val="3ADC09AF"/>
    <w:rsid w:val="3E014C10"/>
    <w:rsid w:val="42514F93"/>
    <w:rsid w:val="426F3D67"/>
    <w:rsid w:val="4385580A"/>
    <w:rsid w:val="44053BD9"/>
    <w:rsid w:val="46C17060"/>
    <w:rsid w:val="470B7EE1"/>
    <w:rsid w:val="4854681D"/>
    <w:rsid w:val="48C55FA1"/>
    <w:rsid w:val="492D4C32"/>
    <w:rsid w:val="4B692A49"/>
    <w:rsid w:val="4BCE14DD"/>
    <w:rsid w:val="4D117CFD"/>
    <w:rsid w:val="4E9C3BCC"/>
    <w:rsid w:val="5175093F"/>
    <w:rsid w:val="52955DB2"/>
    <w:rsid w:val="53227B62"/>
    <w:rsid w:val="532C5467"/>
    <w:rsid w:val="53727255"/>
    <w:rsid w:val="54D71BBA"/>
    <w:rsid w:val="565D7311"/>
    <w:rsid w:val="565F5B54"/>
    <w:rsid w:val="56703650"/>
    <w:rsid w:val="56F41AB1"/>
    <w:rsid w:val="56F73048"/>
    <w:rsid w:val="5800606F"/>
    <w:rsid w:val="583E407C"/>
    <w:rsid w:val="58C12AF6"/>
    <w:rsid w:val="596C4444"/>
    <w:rsid w:val="5AD74D4A"/>
    <w:rsid w:val="5C5063E5"/>
    <w:rsid w:val="5D9D4B42"/>
    <w:rsid w:val="5FE13A7D"/>
    <w:rsid w:val="5FF84015"/>
    <w:rsid w:val="611903EC"/>
    <w:rsid w:val="667567C4"/>
    <w:rsid w:val="6A0223C1"/>
    <w:rsid w:val="6AF117B2"/>
    <w:rsid w:val="6B435E9E"/>
    <w:rsid w:val="6C4D4548"/>
    <w:rsid w:val="6CDD2885"/>
    <w:rsid w:val="6ECE07C5"/>
    <w:rsid w:val="70B03CA9"/>
    <w:rsid w:val="71085DBC"/>
    <w:rsid w:val="720B16BC"/>
    <w:rsid w:val="73FC2230"/>
    <w:rsid w:val="74D41334"/>
    <w:rsid w:val="76F16BB5"/>
    <w:rsid w:val="7ADE3737"/>
    <w:rsid w:val="7C111B3F"/>
    <w:rsid w:val="7CA57EB5"/>
    <w:rsid w:val="7CB15915"/>
    <w:rsid w:val="7F5C4D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qFormat="1"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3"/>
    <w:basedOn w:val="1"/>
    <w:next w:val="1"/>
    <w:link w:val="21"/>
    <w:unhideWhenUsed/>
    <w:qFormat/>
    <w:uiPriority w:val="0"/>
    <w:pPr>
      <w:keepNext/>
      <w:keepLines/>
      <w:widowControl w:val="0"/>
      <w:kinsoku/>
      <w:autoSpaceDE/>
      <w:autoSpaceDN/>
      <w:adjustRightInd/>
      <w:snapToGrid/>
      <w:spacing w:beforeLines="50" w:afterLines="50" w:line="500" w:lineRule="exact"/>
      <w:ind w:firstLine="561" w:firstLineChars="200"/>
      <w:jc w:val="both"/>
      <w:textAlignment w:val="auto"/>
      <w:outlineLvl w:val="2"/>
    </w:pPr>
    <w:rPr>
      <w:rFonts w:ascii="Times New Roman" w:hAnsi="Times New Roman" w:eastAsia="宋体" w:cs="Times New Roman"/>
      <w:b/>
      <w:bCs/>
      <w:snapToGrid/>
      <w:color w:val="auto"/>
      <w:kern w:val="2"/>
      <w:sz w:val="28"/>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caption"/>
    <w:basedOn w:val="1"/>
    <w:next w:val="1"/>
    <w:unhideWhenUsed/>
    <w:qFormat/>
    <w:uiPriority w:val="0"/>
    <w:rPr>
      <w:rFonts w:eastAsia="黑体" w:asciiTheme="majorHAnsi" w:hAnsiTheme="majorHAnsi" w:cstheme="majorBidi"/>
      <w:sz w:val="20"/>
      <w:szCs w:val="20"/>
    </w:rPr>
  </w:style>
  <w:style w:type="paragraph" w:styleId="4">
    <w:name w:val="Document Map"/>
    <w:basedOn w:val="1"/>
    <w:link w:val="22"/>
    <w:qFormat/>
    <w:uiPriority w:val="0"/>
    <w:rPr>
      <w:rFonts w:ascii="宋体" w:eastAsia="宋体"/>
      <w:sz w:val="18"/>
      <w:szCs w:val="18"/>
    </w:rPr>
  </w:style>
  <w:style w:type="paragraph" w:styleId="5">
    <w:name w:val="Body Text"/>
    <w:basedOn w:val="1"/>
    <w:link w:val="20"/>
    <w:qFormat/>
    <w:uiPriority w:val="0"/>
    <w:pPr>
      <w:spacing w:after="120"/>
    </w:pPr>
  </w:style>
  <w:style w:type="paragraph" w:styleId="6">
    <w:name w:val="Body Text Indent"/>
    <w:basedOn w:val="1"/>
    <w:qFormat/>
    <w:uiPriority w:val="99"/>
    <w:pPr>
      <w:spacing w:line="500" w:lineRule="exact"/>
      <w:ind w:firstLine="420" w:firstLineChars="200"/>
    </w:pPr>
    <w:rPr>
      <w:sz w:val="32"/>
      <w:szCs w:val="20"/>
    </w:rPr>
  </w:style>
  <w:style w:type="paragraph" w:styleId="7">
    <w:name w:val="Balloon Text"/>
    <w:basedOn w:val="1"/>
    <w:link w:val="19"/>
    <w:qFormat/>
    <w:uiPriority w:val="0"/>
    <w:rPr>
      <w:sz w:val="18"/>
      <w:szCs w:val="18"/>
    </w:rPr>
  </w:style>
  <w:style w:type="paragraph" w:styleId="8">
    <w:name w:val="footer"/>
    <w:basedOn w:val="1"/>
    <w:link w:val="17"/>
    <w:qFormat/>
    <w:uiPriority w:val="99"/>
    <w:pPr>
      <w:tabs>
        <w:tab w:val="center" w:pos="4153"/>
        <w:tab w:val="right" w:pos="8306"/>
      </w:tabs>
    </w:pPr>
    <w:rPr>
      <w:sz w:val="18"/>
      <w:szCs w:val="18"/>
    </w:rPr>
  </w:style>
  <w:style w:type="paragraph" w:styleId="9">
    <w:name w:val="header"/>
    <w:basedOn w:val="1"/>
    <w:link w:val="16"/>
    <w:qFormat/>
    <w:uiPriority w:val="0"/>
    <w:pPr>
      <w:pBdr>
        <w:bottom w:val="single" w:color="auto" w:sz="6" w:space="1"/>
      </w:pBdr>
      <w:tabs>
        <w:tab w:val="center" w:pos="4153"/>
        <w:tab w:val="right" w:pos="8306"/>
      </w:tabs>
      <w:jc w:val="center"/>
    </w:pPr>
    <w:rPr>
      <w:sz w:val="18"/>
      <w:szCs w:val="18"/>
    </w:rPr>
  </w:style>
  <w:style w:type="paragraph" w:styleId="10">
    <w:name w:val="List Continue 4"/>
    <w:basedOn w:val="1"/>
    <w:next w:val="1"/>
    <w:qFormat/>
    <w:uiPriority w:val="0"/>
    <w:pPr>
      <w:widowControl w:val="0"/>
      <w:autoSpaceDE/>
      <w:autoSpaceDN/>
      <w:spacing w:after="120" w:line="360" w:lineRule="auto"/>
      <w:ind w:left="1680" w:firstLine="480"/>
      <w:jc w:val="both"/>
    </w:pPr>
    <w:rPr>
      <w:rFonts w:ascii="宋体" w:eastAsia="宋体"/>
      <w:sz w:val="24"/>
    </w:rPr>
  </w:style>
  <w:style w:type="paragraph" w:styleId="11">
    <w:name w:val="Body Text First Indent 2"/>
    <w:basedOn w:val="6"/>
    <w:next w:val="10"/>
    <w:qFormat/>
    <w:uiPriority w:val="99"/>
    <w:pPr>
      <w:spacing w:after="120" w:line="240" w:lineRule="auto"/>
      <w:ind w:left="420" w:leftChars="200"/>
    </w:pPr>
    <w:rPr>
      <w:sz w:val="21"/>
    </w:rPr>
  </w:style>
  <w:style w:type="table" w:styleId="13">
    <w:name w:val="Table Grid"/>
    <w:basedOn w:val="12"/>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15">
    <w:name w:val="Table Normal"/>
    <w:qFormat/>
    <w:uiPriority w:val="0"/>
    <w:tblPr>
      <w:tblCellMar>
        <w:top w:w="0" w:type="dxa"/>
        <w:left w:w="0" w:type="dxa"/>
        <w:bottom w:w="0" w:type="dxa"/>
        <w:right w:w="0" w:type="dxa"/>
      </w:tblCellMar>
    </w:tblPr>
  </w:style>
  <w:style w:type="character" w:customStyle="1" w:styleId="16">
    <w:name w:val="页眉 Char"/>
    <w:basedOn w:val="14"/>
    <w:link w:val="9"/>
    <w:qFormat/>
    <w:uiPriority w:val="0"/>
    <w:rPr>
      <w:rFonts w:eastAsia="Arial"/>
      <w:snapToGrid w:val="0"/>
      <w:color w:val="000000"/>
      <w:sz w:val="18"/>
      <w:szCs w:val="18"/>
    </w:rPr>
  </w:style>
  <w:style w:type="character" w:customStyle="1" w:styleId="17">
    <w:name w:val="页脚 Char"/>
    <w:basedOn w:val="14"/>
    <w:link w:val="8"/>
    <w:qFormat/>
    <w:uiPriority w:val="99"/>
    <w:rPr>
      <w:rFonts w:eastAsia="Arial"/>
      <w:snapToGrid w:val="0"/>
      <w:color w:val="000000"/>
      <w:sz w:val="18"/>
      <w:szCs w:val="18"/>
    </w:rPr>
  </w:style>
  <w:style w:type="paragraph" w:styleId="18">
    <w:name w:val="List Paragraph"/>
    <w:basedOn w:val="1"/>
    <w:qFormat/>
    <w:uiPriority w:val="99"/>
    <w:pPr>
      <w:ind w:firstLine="420" w:firstLineChars="200"/>
    </w:pPr>
  </w:style>
  <w:style w:type="character" w:customStyle="1" w:styleId="19">
    <w:name w:val="批注框文本 Char"/>
    <w:basedOn w:val="14"/>
    <w:link w:val="7"/>
    <w:qFormat/>
    <w:uiPriority w:val="0"/>
    <w:rPr>
      <w:rFonts w:eastAsia="Arial"/>
      <w:snapToGrid w:val="0"/>
      <w:color w:val="000000"/>
      <w:sz w:val="18"/>
      <w:szCs w:val="18"/>
    </w:rPr>
  </w:style>
  <w:style w:type="character" w:customStyle="1" w:styleId="20">
    <w:name w:val="正文文本 Char"/>
    <w:basedOn w:val="14"/>
    <w:link w:val="5"/>
    <w:qFormat/>
    <w:uiPriority w:val="0"/>
    <w:rPr>
      <w:rFonts w:eastAsia="Arial"/>
      <w:snapToGrid w:val="0"/>
      <w:color w:val="000000"/>
      <w:sz w:val="21"/>
      <w:szCs w:val="21"/>
    </w:rPr>
  </w:style>
  <w:style w:type="character" w:customStyle="1" w:styleId="21">
    <w:name w:val="标题 3 Char"/>
    <w:basedOn w:val="14"/>
    <w:link w:val="2"/>
    <w:qFormat/>
    <w:uiPriority w:val="0"/>
    <w:rPr>
      <w:rFonts w:ascii="Times New Roman" w:hAnsi="Times New Roman" w:cs="Times New Roman"/>
      <w:b/>
      <w:bCs/>
      <w:kern w:val="2"/>
      <w:sz w:val="28"/>
      <w:szCs w:val="32"/>
    </w:rPr>
  </w:style>
  <w:style w:type="character" w:customStyle="1" w:styleId="22">
    <w:name w:val="文档结构图 Char"/>
    <w:basedOn w:val="14"/>
    <w:link w:val="4"/>
    <w:qFormat/>
    <w:uiPriority w:val="0"/>
    <w:rPr>
      <w:rFonts w:ascii="宋体"/>
      <w:snapToGrid w:val="0"/>
      <w:color w:val="000000"/>
      <w:sz w:val="18"/>
      <w:szCs w:val="18"/>
    </w:rPr>
  </w:style>
  <w:style w:type="paragraph" w:customStyle="1" w:styleId="23">
    <w:name w:val="目录 11"/>
    <w:basedOn w:val="1"/>
    <w:next w:val="1"/>
    <w:qFormat/>
    <w:uiPriority w:val="39"/>
    <w:pPr>
      <w:spacing w:before="120" w:after="120"/>
    </w:pPr>
    <w:rPr>
      <w:rFonts w:ascii="Romana BT" w:hAnsi="Romana BT" w:eastAsia="Romana BT" w:cs="Romana BT"/>
      <w:b/>
      <w:bCs/>
      <w:caps/>
      <w:sz w:val="20"/>
      <w:szCs w:val="20"/>
    </w:rPr>
  </w:style>
  <w:style w:type="paragraph" w:customStyle="1" w:styleId="24">
    <w:name w:val="样式66"/>
    <w:basedOn w:val="1"/>
    <w:qFormat/>
    <w:uiPriority w:val="0"/>
    <w:pPr>
      <w:ind w:firstLine="560" w:firstLineChars="200"/>
    </w:pPr>
    <w:rPr>
      <w:rFonts w:ascii="Romana BT" w:hAnsi="Romana BT" w:eastAsia="Romana BT" w:cs="Romana BT"/>
      <w:sz w:val="28"/>
      <w:szCs w:val="24"/>
    </w:rPr>
  </w:style>
  <w:style w:type="paragraph" w:customStyle="1" w:styleId="25">
    <w:name w:val="样式 左侧:  0 厘米 首行缩进:  0.85 厘米"/>
    <w:basedOn w:val="1"/>
    <w:qFormat/>
    <w:uiPriority w:val="0"/>
    <w:pPr>
      <w:widowControl w:val="0"/>
      <w:kinsoku/>
      <w:autoSpaceDE/>
      <w:autoSpaceDN/>
      <w:adjustRightInd/>
      <w:snapToGrid/>
      <w:ind w:firstLine="480"/>
      <w:jc w:val="both"/>
      <w:textAlignment w:val="auto"/>
    </w:pPr>
    <w:rPr>
      <w:rFonts w:ascii="Romana BT" w:hAnsi="Romana BT" w:eastAsia="Courier New" w:cs="Romana BT"/>
      <w:snapToGrid/>
      <w:color w:val="auto"/>
      <w:kern w:val="2"/>
      <w:sz w:val="24"/>
      <w:szCs w:val="20"/>
    </w:rPr>
  </w:style>
  <w:style w:type="paragraph" w:customStyle="1" w:styleId="26">
    <w:name w:val="表格"/>
    <w:basedOn w:val="1"/>
    <w:next w:val="1"/>
    <w:link w:val="27"/>
    <w:qFormat/>
    <w:uiPriority w:val="0"/>
    <w:pPr>
      <w:widowControl w:val="0"/>
      <w:kinsoku/>
      <w:autoSpaceDE/>
      <w:autoSpaceDN/>
      <w:adjustRightInd/>
      <w:jc w:val="center"/>
      <w:textAlignment w:val="auto"/>
    </w:pPr>
    <w:rPr>
      <w:rFonts w:ascii="Times New Roman" w:hAnsi="Times New Roman" w:eastAsia="宋体" w:cs="Times New Roman"/>
      <w:snapToGrid/>
      <w:color w:val="auto"/>
    </w:rPr>
  </w:style>
  <w:style w:type="character" w:customStyle="1" w:styleId="27">
    <w:name w:val="表格 字符"/>
    <w:basedOn w:val="14"/>
    <w:link w:val="26"/>
    <w:qFormat/>
    <w:uiPriority w:val="0"/>
    <w:rPr>
      <w:rFonts w:ascii="Times New Roman" w:hAnsi="Times New Roman" w:cs="Times New Roman"/>
      <w:sz w:val="21"/>
      <w:szCs w:val="21"/>
    </w:rPr>
  </w:style>
  <w:style w:type="paragraph" w:customStyle="1" w:styleId="28">
    <w:name w:val="Char"/>
    <w:basedOn w:val="1"/>
    <w:qFormat/>
    <w:uiPriority w:val="0"/>
    <w:pPr>
      <w:jc w:val="both"/>
    </w:pPr>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09DDD7-7672-49C2-95C9-B8FC399C099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2532</Words>
  <Characters>2943</Characters>
  <Lines>51</Lines>
  <Paragraphs>14</Paragraphs>
  <TotalTime>130</TotalTime>
  <ScaleCrop>false</ScaleCrop>
  <LinksUpToDate>false</LinksUpToDate>
  <CharactersWithSpaces>2958</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2024-05-14T04:07:00Z</dcterms:created>
  <dc:creator>游明华(办公室)</dc:creator>
  <cp:lastModifiedBy>Administrator</cp:lastModifiedBy>
  <dcterms:modified xsi:type="dcterms:W3CDTF">2025-11-20T04:17:46Z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2021-12-30T19:57:07Z</vt:filetime>
  </property>
  <property fmtid="{D5CDD505-2E9C-101B-9397-08002B2CF9AE}" pid="4" name="KSOProductBuildVer">
    <vt:lpwstr>2052-11.8.2.12118</vt:lpwstr>
  </property>
  <property fmtid="{D5CDD505-2E9C-101B-9397-08002B2CF9AE}" pid="5" name="ICV">
    <vt:lpwstr>8CC8C9F0833E48C68C3374CBD530F895_13</vt:lpwstr>
  </property>
  <property fmtid="{D5CDD505-2E9C-101B-9397-08002B2CF9AE}" pid="6" name="KSOTemplateDocerSaveRecord">
    <vt:lpwstr>eyJoZGlkIjoiYzQwYzM1MTJlNDIzMDhkNzhhYjZjNmViMjFlYTY5NzIiLCJ1c2VySWQiOiIyMjg5MDQ1NjIifQ==</vt:lpwstr>
  </property>
</Properties>
</file>