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979"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59"/>
        <w:gridCol w:w="2743"/>
        <w:gridCol w:w="2229"/>
        <w:gridCol w:w="2648"/>
      </w:tblGrid>
      <w:tr w14:paraId="4803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8979" w:type="dxa"/>
            <w:gridSpan w:val="4"/>
            <w:tcBorders>
              <w:bottom w:val="single" w:color="000000" w:sz="4" w:space="0"/>
            </w:tcBorders>
            <w:noWrap/>
            <w:vAlign w:val="center"/>
          </w:tcPr>
          <w:p w14:paraId="348B8AFB">
            <w:pPr>
              <w:keepNext w:val="0"/>
              <w:keepLines w:val="0"/>
              <w:widowControl/>
              <w:suppressLineNumbers w:val="0"/>
              <w:jc w:val="center"/>
              <w:textAlignment w:val="center"/>
              <w:rPr>
                <w:rFonts w:ascii="仿宋_GB2312" w:hAnsi="宋体" w:eastAsia="仿宋_GB2312" w:cs="仿宋_GB2312"/>
                <w:b/>
                <w:bCs/>
                <w:color w:val="000000"/>
                <w:kern w:val="0"/>
                <w:sz w:val="32"/>
                <w:szCs w:val="32"/>
                <w:vertAlign w:val="baseline"/>
                <w:lang w:val="en-US" w:eastAsia="zh-CN" w:bidi="ar"/>
              </w:rPr>
            </w:pPr>
            <w:r>
              <w:rPr>
                <w:rFonts w:hint="eastAsia" w:ascii="方正小标宋简体" w:hAnsi="方正小标宋简体" w:eastAsia="方正小标宋简体" w:cs="方正小标宋简体"/>
                <w:b w:val="0"/>
                <w:bCs w:val="0"/>
                <w:color w:val="000000"/>
                <w:kern w:val="0"/>
                <w:sz w:val="40"/>
                <w:szCs w:val="40"/>
                <w:vertAlign w:val="baseline"/>
                <w:lang w:val="en-US" w:eastAsia="zh-CN" w:bidi="ar"/>
              </w:rPr>
              <w:t>沙湾市卫生健康委员会卫生行政执法案件公示表</w:t>
            </w:r>
          </w:p>
        </w:tc>
      </w:tr>
      <w:tr w14:paraId="147A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4"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58CAF7B8">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行政处罚决定书文号</w:t>
            </w:r>
          </w:p>
        </w:tc>
        <w:tc>
          <w:tcPr>
            <w:tcW w:w="7620" w:type="dxa"/>
            <w:gridSpan w:val="3"/>
            <w:tcBorders>
              <w:top w:val="single" w:color="000000" w:sz="4" w:space="0"/>
              <w:left w:val="single" w:color="000000" w:sz="4" w:space="0"/>
              <w:bottom w:val="single" w:color="000000" w:sz="4" w:space="0"/>
              <w:right w:val="single" w:color="000000" w:sz="4" w:space="0"/>
            </w:tcBorders>
            <w:noWrap w:val="0"/>
            <w:vAlign w:val="center"/>
          </w:tcPr>
          <w:p w14:paraId="14E2C471">
            <w:pPr>
              <w:keepNext w:val="0"/>
              <w:keepLines w:val="0"/>
              <w:widowControl/>
              <w:suppressLineNumbers w:val="0"/>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沙卫公罚【2025】2号</w:t>
            </w:r>
          </w:p>
        </w:tc>
      </w:tr>
      <w:tr w14:paraId="7956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5"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1BC39D12">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案件名称</w:t>
            </w:r>
          </w:p>
        </w:tc>
        <w:tc>
          <w:tcPr>
            <w:tcW w:w="7620" w:type="dxa"/>
            <w:gridSpan w:val="3"/>
            <w:tcBorders>
              <w:top w:val="single" w:color="000000" w:sz="4" w:space="0"/>
              <w:left w:val="single" w:color="000000" w:sz="4" w:space="0"/>
              <w:bottom w:val="single" w:color="000000" w:sz="4" w:space="0"/>
              <w:right w:val="single" w:color="000000" w:sz="4" w:space="0"/>
            </w:tcBorders>
            <w:noWrap w:val="0"/>
            <w:vAlign w:val="center"/>
          </w:tcPr>
          <w:p w14:paraId="1C039334">
            <w:pPr>
              <w:pStyle w:val="2"/>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sz w:val="24"/>
                <w:szCs w:val="24"/>
              </w:rPr>
            </w:pPr>
            <w:r>
              <w:rPr>
                <w:rFonts w:hint="eastAsia" w:ascii="仿宋_GB2312" w:hAnsi="Dialog" w:eastAsia="仿宋_GB2312" w:cs="仿宋_GB2312"/>
                <w:sz w:val="24"/>
              </w:rPr>
              <w:t>沙湾</w:t>
            </w:r>
            <w:r>
              <w:rPr>
                <w:rFonts w:hint="eastAsia" w:ascii="仿宋_GB2312" w:hAnsi="Dialog" w:eastAsia="仿宋_GB2312" w:cs="仿宋_GB2312"/>
                <w:sz w:val="24"/>
                <w:lang w:eastAsia="zh-CN"/>
              </w:rPr>
              <w:t>市某足浴店经营者</w:t>
            </w:r>
            <w:r>
              <w:rPr>
                <w:rFonts w:hint="eastAsia" w:ascii="仿宋_GB2312" w:eastAsia="仿宋_GB2312"/>
                <w:sz w:val="24"/>
                <w:szCs w:val="24"/>
                <w:u w:val="none"/>
                <w:lang w:eastAsia="zh-CN"/>
              </w:rPr>
              <w:t>安排未获得有效健康合格证明的从业人员从事直接为顾客服务工作</w:t>
            </w:r>
            <w:r>
              <w:rPr>
                <w:rFonts w:hint="eastAsia" w:ascii="仿宋_GB2312" w:eastAsia="仿宋_GB2312"/>
                <w:sz w:val="24"/>
                <w:szCs w:val="24"/>
                <w:u w:val="none"/>
              </w:rPr>
              <w:t>案</w:t>
            </w:r>
          </w:p>
        </w:tc>
      </w:tr>
      <w:tr w14:paraId="1CCA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2" w:hRule="atLeast"/>
        </w:trPr>
        <w:tc>
          <w:tcPr>
            <w:tcW w:w="1359" w:type="dxa"/>
            <w:vMerge w:val="restart"/>
            <w:tcBorders>
              <w:top w:val="single" w:color="000000" w:sz="4" w:space="0"/>
              <w:left w:val="single" w:color="000000" w:sz="4" w:space="0"/>
              <w:bottom w:val="single" w:color="000000" w:sz="4" w:space="0"/>
              <w:right w:val="single" w:color="000000" w:sz="4" w:space="0"/>
            </w:tcBorders>
            <w:noWrap w:val="0"/>
            <w:vAlign w:val="center"/>
          </w:tcPr>
          <w:p w14:paraId="7BEE1F73">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卫生行政执法对象基本情况</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14:paraId="4A2C53E9">
            <w:pPr>
              <w:keepNext w:val="0"/>
              <w:keepLines w:val="0"/>
              <w:widowControl/>
              <w:suppressLineNumbers w:val="0"/>
              <w:jc w:val="center"/>
              <w:textAlignment w:val="center"/>
              <w:rPr>
                <w:rFonts w:hint="eastAsia" w:ascii="仿宋_GB2312" w:hAnsi="仿宋_GB2312" w:eastAsia="仿宋_GB2312" w:cs="仿宋_GB2312"/>
                <w:b/>
                <w:bCs/>
                <w:color w:val="000000"/>
                <w:kern w:val="0"/>
                <w:sz w:val="24"/>
                <w:szCs w:val="24"/>
                <w:vertAlign w:val="baseline"/>
                <w:lang w:val="en-US" w:eastAsia="zh-CN" w:bidi="ar"/>
              </w:rPr>
            </w:pPr>
            <w:r>
              <w:rPr>
                <w:rFonts w:hint="eastAsia" w:ascii="仿宋_GB2312" w:hAnsi="仿宋_GB2312" w:eastAsia="仿宋_GB2312" w:cs="仿宋_GB2312"/>
                <w:b/>
                <w:bCs/>
                <w:color w:val="000000"/>
                <w:kern w:val="0"/>
                <w:sz w:val="24"/>
                <w:szCs w:val="24"/>
                <w:vertAlign w:val="baseline"/>
                <w:lang w:val="en-US" w:eastAsia="zh-CN" w:bidi="ar"/>
              </w:rPr>
              <w:t>案发单位（人）</w:t>
            </w:r>
          </w:p>
        </w:tc>
        <w:tc>
          <w:tcPr>
            <w:tcW w:w="4877" w:type="dxa"/>
            <w:gridSpan w:val="2"/>
            <w:tcBorders>
              <w:top w:val="single" w:color="000000" w:sz="4" w:space="0"/>
              <w:left w:val="single" w:color="000000" w:sz="4" w:space="0"/>
              <w:bottom w:val="single" w:color="000000" w:sz="4" w:space="0"/>
              <w:right w:val="single" w:color="000000" w:sz="4" w:space="0"/>
            </w:tcBorders>
            <w:noWrap w:val="0"/>
            <w:vAlign w:val="center"/>
          </w:tcPr>
          <w:p w14:paraId="5C792758">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Dialog" w:eastAsia="仿宋_GB2312" w:cs="仿宋_GB2312"/>
                <w:sz w:val="24"/>
              </w:rPr>
              <w:t>沙湾</w:t>
            </w:r>
            <w:r>
              <w:rPr>
                <w:rFonts w:hint="eastAsia" w:ascii="仿宋_GB2312" w:hAnsi="Dialog" w:eastAsia="仿宋_GB2312" w:cs="仿宋_GB2312"/>
                <w:sz w:val="24"/>
                <w:lang w:eastAsia="zh-CN"/>
              </w:rPr>
              <w:t>市某足浴店</w:t>
            </w:r>
            <w:r>
              <w:rPr>
                <w:rFonts w:hint="eastAsia" w:ascii="仿宋_GB2312" w:hAnsi="Dialog" w:eastAsia="仿宋_GB2312" w:cs="仿宋_GB2312"/>
                <w:sz w:val="24"/>
                <w:szCs w:val="24"/>
                <w:lang w:val="en-US" w:eastAsia="zh-CN"/>
              </w:rPr>
              <w:t>(</w:t>
            </w:r>
            <w:r>
              <w:rPr>
                <w:rFonts w:hint="eastAsia" w:ascii="仿宋_GB2312" w:eastAsia="仿宋_GB2312"/>
                <w:sz w:val="24"/>
                <w:szCs w:val="24"/>
                <w:lang w:eastAsia="zh-CN"/>
              </w:rPr>
              <w:t>李</w:t>
            </w:r>
            <w:r>
              <w:rPr>
                <w:rFonts w:hint="eastAsia" w:ascii="仿宋_GB2312" w:eastAsia="仿宋_GB2312"/>
                <w:sz w:val="24"/>
                <w:szCs w:val="24"/>
                <w:lang w:val="en-US" w:eastAsia="zh-CN"/>
              </w:rPr>
              <w:t>*</w:t>
            </w:r>
            <w:r>
              <w:rPr>
                <w:rFonts w:hint="eastAsia" w:ascii="仿宋_GB2312" w:hAnsi="Dialog" w:eastAsia="仿宋_GB2312" w:cs="仿宋_GB2312"/>
                <w:sz w:val="24"/>
                <w:szCs w:val="24"/>
                <w:lang w:eastAsia="zh-CN"/>
              </w:rPr>
              <w:t>）</w:t>
            </w:r>
          </w:p>
        </w:tc>
      </w:tr>
      <w:tr w14:paraId="05C2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4" w:hRule="atLeast"/>
        </w:trPr>
        <w:tc>
          <w:tcPr>
            <w:tcW w:w="13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EBDC6">
            <w:pPr>
              <w:jc w:val="center"/>
              <w:rPr>
                <w:rFonts w:hint="eastAsia" w:ascii="仿宋_GB2312" w:hAnsi="仿宋_GB2312" w:eastAsia="仿宋_GB2312" w:cs="仿宋_GB2312"/>
                <w:color w:val="000000"/>
                <w:sz w:val="24"/>
                <w:szCs w:val="24"/>
              </w:rPr>
            </w:pPr>
          </w:p>
        </w:tc>
        <w:tc>
          <w:tcPr>
            <w:tcW w:w="2743" w:type="dxa"/>
            <w:tcBorders>
              <w:top w:val="single" w:color="000000" w:sz="4" w:space="0"/>
              <w:left w:val="single" w:color="000000" w:sz="4" w:space="0"/>
              <w:bottom w:val="single" w:color="000000" w:sz="4" w:space="0"/>
              <w:right w:val="single" w:color="000000" w:sz="4" w:space="0"/>
            </w:tcBorders>
            <w:noWrap w:val="0"/>
            <w:vAlign w:val="center"/>
          </w:tcPr>
          <w:p w14:paraId="45BEBD21">
            <w:pPr>
              <w:keepNext w:val="0"/>
              <w:keepLines w:val="0"/>
              <w:widowControl/>
              <w:suppressLineNumbers w:val="0"/>
              <w:jc w:val="center"/>
              <w:textAlignment w:val="center"/>
              <w:rPr>
                <w:rFonts w:hint="eastAsia" w:ascii="仿宋_GB2312" w:hAnsi="仿宋_GB2312" w:eastAsia="仿宋_GB2312" w:cs="仿宋_GB2312"/>
                <w:b/>
                <w:bCs/>
                <w:color w:val="000000"/>
                <w:kern w:val="0"/>
                <w:sz w:val="24"/>
                <w:szCs w:val="24"/>
                <w:vertAlign w:val="baseline"/>
                <w:lang w:val="en-US" w:eastAsia="zh-CN" w:bidi="ar"/>
              </w:rPr>
            </w:pPr>
            <w:r>
              <w:rPr>
                <w:rFonts w:hint="eastAsia" w:ascii="仿宋_GB2312" w:hAnsi="仿宋_GB2312" w:eastAsia="仿宋_GB2312" w:cs="仿宋_GB2312"/>
                <w:b/>
                <w:bCs/>
                <w:color w:val="000000"/>
                <w:kern w:val="0"/>
                <w:sz w:val="24"/>
                <w:szCs w:val="24"/>
                <w:vertAlign w:val="baseline"/>
                <w:lang w:val="en-US" w:eastAsia="zh-CN" w:bidi="ar"/>
              </w:rPr>
              <w:t>统一社会信用代码       （注册号）</w:t>
            </w:r>
          </w:p>
        </w:tc>
        <w:tc>
          <w:tcPr>
            <w:tcW w:w="4877" w:type="dxa"/>
            <w:gridSpan w:val="2"/>
            <w:tcBorders>
              <w:top w:val="single" w:color="000000" w:sz="4" w:space="0"/>
              <w:left w:val="single" w:color="000000" w:sz="4" w:space="0"/>
              <w:bottom w:val="single" w:color="000000" w:sz="4" w:space="0"/>
              <w:right w:val="single" w:color="000000" w:sz="4" w:space="0"/>
            </w:tcBorders>
            <w:noWrap w:val="0"/>
            <w:vAlign w:val="center"/>
          </w:tcPr>
          <w:p w14:paraId="4A9FF74F">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Dialog" w:eastAsia="仿宋_GB2312" w:cs="仿宋_GB2312"/>
                <w:sz w:val="24"/>
                <w:szCs w:val="24"/>
                <w:lang w:val="en-US" w:eastAsia="zh-CN"/>
              </w:rPr>
              <w:t>92654223MA77NX2M4D</w:t>
            </w:r>
          </w:p>
        </w:tc>
      </w:tr>
      <w:tr w14:paraId="3C48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2"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0CE3192C">
            <w:pPr>
              <w:jc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b/>
                <w:bCs/>
                <w:color w:val="000000"/>
                <w:kern w:val="0"/>
                <w:sz w:val="24"/>
                <w:szCs w:val="24"/>
                <w:vertAlign w:val="baseline"/>
                <w:lang w:val="en-US" w:eastAsia="zh-CN" w:bidi="ar"/>
              </w:rPr>
              <w:t>受理日期</w:t>
            </w:r>
          </w:p>
        </w:tc>
        <w:tc>
          <w:tcPr>
            <w:tcW w:w="2743" w:type="dxa"/>
            <w:tcBorders>
              <w:top w:val="single" w:color="000000" w:sz="4" w:space="0"/>
              <w:left w:val="single" w:color="000000" w:sz="4" w:space="0"/>
              <w:bottom w:val="single" w:color="000000" w:sz="4" w:space="0"/>
              <w:right w:val="single" w:color="000000" w:sz="4" w:space="0"/>
            </w:tcBorders>
            <w:noWrap w:val="0"/>
            <w:vAlign w:val="center"/>
          </w:tcPr>
          <w:p w14:paraId="21B766F5">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日</w:t>
            </w:r>
          </w:p>
        </w:tc>
        <w:tc>
          <w:tcPr>
            <w:tcW w:w="2229" w:type="dxa"/>
            <w:tcBorders>
              <w:top w:val="single" w:color="000000" w:sz="4" w:space="0"/>
              <w:left w:val="single" w:color="000000" w:sz="4" w:space="0"/>
              <w:bottom w:val="single" w:color="000000" w:sz="4" w:space="0"/>
              <w:right w:val="single" w:color="000000" w:sz="4" w:space="0"/>
            </w:tcBorders>
            <w:noWrap w:val="0"/>
            <w:vAlign w:val="center"/>
          </w:tcPr>
          <w:p w14:paraId="42DBBB12">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b/>
                <w:bCs/>
                <w:color w:val="000000"/>
                <w:kern w:val="0"/>
                <w:sz w:val="24"/>
                <w:szCs w:val="24"/>
                <w:vertAlign w:val="baseline"/>
                <w:lang w:val="en-US" w:eastAsia="zh-CN" w:bidi="ar"/>
              </w:rPr>
              <w:t>结案日期</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14:paraId="6371E478">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vertAlign w:val="baseline"/>
                <w:lang w:val="en-US" w:eastAsia="zh-CN" w:bidi="ar"/>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日</w:t>
            </w:r>
          </w:p>
        </w:tc>
      </w:tr>
      <w:tr w14:paraId="0768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1"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4E1B3863">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案情及违法事实</w:t>
            </w:r>
          </w:p>
        </w:tc>
        <w:tc>
          <w:tcPr>
            <w:tcW w:w="7620" w:type="dxa"/>
            <w:gridSpan w:val="3"/>
            <w:tcBorders>
              <w:top w:val="single" w:color="000000" w:sz="4" w:space="0"/>
              <w:left w:val="single" w:color="000000" w:sz="4" w:space="0"/>
              <w:bottom w:val="single" w:color="000000" w:sz="4" w:space="0"/>
              <w:right w:val="single" w:color="000000" w:sz="4" w:space="0"/>
            </w:tcBorders>
            <w:noWrap w:val="0"/>
            <w:vAlign w:val="center"/>
          </w:tcPr>
          <w:p w14:paraId="648BAEC7">
            <w:pPr>
              <w:keepNext w:val="0"/>
              <w:keepLines w:val="0"/>
              <w:pageBreakBefore w:val="0"/>
              <w:kinsoku/>
              <w:wordWrap/>
              <w:overflowPunct/>
              <w:topLinePunct w:val="0"/>
              <w:autoSpaceDE/>
              <w:autoSpaceDN/>
              <w:bidi w:val="0"/>
              <w:adjustRightInd w:val="0"/>
              <w:snapToGrid w:val="0"/>
              <w:spacing w:line="300" w:lineRule="exact"/>
              <w:ind w:firstLine="480" w:firstLineChars="200"/>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20</w:t>
            </w:r>
            <w:r>
              <w:rPr>
                <w:rFonts w:hint="eastAsia" w:ascii="仿宋_GB2312" w:hAnsi="仿宋_GB2312" w:eastAsia="仿宋_GB2312" w:cs="仿宋_GB2312"/>
                <w:sz w:val="24"/>
                <w:szCs w:val="24"/>
                <w:u w:val="none"/>
                <w:lang w:val="en-US" w:eastAsia="zh-CN"/>
              </w:rPr>
              <w:t>25</w:t>
            </w:r>
            <w:r>
              <w:rPr>
                <w:rFonts w:hint="eastAsia" w:ascii="仿宋_GB2312" w:hAnsi="仿宋_GB2312" w:eastAsia="仿宋_GB2312" w:cs="仿宋_GB2312"/>
                <w:sz w:val="24"/>
                <w:szCs w:val="24"/>
                <w:u w:val="none"/>
              </w:rPr>
              <w:t>年</w:t>
            </w:r>
            <w:r>
              <w:rPr>
                <w:rFonts w:hint="eastAsia" w:ascii="仿宋_GB2312" w:hAnsi="仿宋_GB2312" w:eastAsia="仿宋_GB2312" w:cs="仿宋_GB2312"/>
                <w:sz w:val="24"/>
                <w:szCs w:val="24"/>
                <w:u w:val="none"/>
                <w:lang w:val="en-US" w:eastAsia="zh-CN"/>
              </w:rPr>
              <w:t>2</w:t>
            </w:r>
            <w:r>
              <w:rPr>
                <w:rFonts w:hint="eastAsia" w:ascii="仿宋_GB2312" w:hAnsi="仿宋_GB2312" w:eastAsia="仿宋_GB2312" w:cs="仿宋_GB2312"/>
                <w:sz w:val="24"/>
                <w:szCs w:val="24"/>
                <w:u w:val="none"/>
              </w:rPr>
              <w:t>月</w:t>
            </w:r>
            <w:r>
              <w:rPr>
                <w:rFonts w:hint="eastAsia" w:ascii="仿宋_GB2312" w:hAnsi="仿宋_GB2312" w:eastAsia="仿宋_GB2312" w:cs="仿宋_GB2312"/>
                <w:sz w:val="24"/>
                <w:szCs w:val="24"/>
                <w:u w:val="none"/>
                <w:lang w:val="en-US" w:eastAsia="zh-CN"/>
              </w:rPr>
              <w:t>6</w:t>
            </w:r>
            <w:r>
              <w:rPr>
                <w:rFonts w:hint="eastAsia" w:ascii="仿宋_GB2312" w:hAnsi="仿宋_GB2312" w:eastAsia="仿宋_GB2312" w:cs="仿宋_GB2312"/>
                <w:sz w:val="24"/>
                <w:szCs w:val="24"/>
                <w:u w:val="none"/>
              </w:rPr>
              <w:t>日，</w:t>
            </w:r>
            <w:r>
              <w:rPr>
                <w:rFonts w:hint="eastAsia" w:ascii="仿宋_GB2312" w:hAnsi="仿宋_GB2312" w:eastAsia="仿宋_GB2312" w:cs="仿宋_GB2312"/>
                <w:kern w:val="2"/>
                <w:sz w:val="24"/>
                <w:szCs w:val="24"/>
                <w:u w:val="none"/>
                <w:lang w:val="en-US" w:eastAsia="zh-CN" w:bidi="ar-SA"/>
              </w:rPr>
              <w:t>沙湾市卫生健康委员会执法人员在</w:t>
            </w:r>
            <w:r>
              <w:rPr>
                <w:rFonts w:hint="eastAsia" w:ascii="仿宋_GB2312" w:hAnsi="仿宋_GB2312" w:eastAsia="仿宋_GB2312" w:cs="仿宋_GB2312"/>
                <w:sz w:val="24"/>
                <w:szCs w:val="24"/>
                <w:u w:val="none"/>
              </w:rPr>
              <w:t>日常监督管理中发现沙湾</w:t>
            </w:r>
            <w:r>
              <w:rPr>
                <w:rFonts w:hint="eastAsia" w:ascii="仿宋_GB2312" w:hAnsi="仿宋_GB2312" w:eastAsia="仿宋_GB2312" w:cs="仿宋_GB2312"/>
                <w:sz w:val="24"/>
                <w:szCs w:val="24"/>
                <w:u w:val="none"/>
                <w:lang w:eastAsia="zh-CN"/>
              </w:rPr>
              <w:t>市某足浴店</w:t>
            </w:r>
            <w:r>
              <w:rPr>
                <w:rFonts w:hint="eastAsia" w:ascii="仿宋_GB2312" w:hAnsi="仿宋_GB2312" w:eastAsia="仿宋_GB2312" w:cs="仿宋_GB2312"/>
                <w:sz w:val="24"/>
                <w:szCs w:val="24"/>
                <w:u w:val="none"/>
                <w:lang w:val="en-US" w:eastAsia="zh-CN"/>
              </w:rPr>
              <w:t>从业人员李*、王*、郎**、徐**、罗*、赵**等6人在足浴店从事前台和保洁、足浴服务工作，均未能提供有效的健康合格证明。</w:t>
            </w:r>
          </w:p>
          <w:p w14:paraId="3F33B3F6">
            <w:pPr>
              <w:keepNext w:val="0"/>
              <w:keepLines w:val="0"/>
              <w:pageBreakBefore w:val="0"/>
              <w:widowControl/>
              <w:suppressLineNumbers w:val="0"/>
              <w:kinsoku/>
              <w:wordWrap/>
              <w:overflowPunct/>
              <w:topLinePunct w:val="0"/>
              <w:autoSpaceDE/>
              <w:autoSpaceDN/>
              <w:bidi w:val="0"/>
              <w:adjustRightInd w:val="0"/>
              <w:snapToGrid w:val="0"/>
              <w:spacing w:line="300" w:lineRule="exact"/>
              <w:ind w:firstLine="480" w:firstLineChars="200"/>
              <w:jc w:val="left"/>
              <w:textAlignment w:val="center"/>
              <w:rPr>
                <w:rFonts w:hint="eastAsia" w:ascii="仿宋_GB2312" w:hAnsi="仿宋_GB2312" w:eastAsia="仿宋_GB2312" w:cs="仿宋_GB2312"/>
                <w:sz w:val="24"/>
                <w:szCs w:val="24"/>
                <w:u w:val="none"/>
                <w:lang w:eastAsia="zh-CN"/>
              </w:rPr>
            </w:pPr>
            <w:r>
              <w:rPr>
                <w:rFonts w:hint="eastAsia" w:ascii="仿宋" w:hAnsi="仿宋" w:eastAsia="仿宋"/>
                <w:sz w:val="24"/>
                <w:szCs w:val="24"/>
              </w:rPr>
              <w:t>上述行为违反了</w:t>
            </w:r>
            <w:r>
              <w:rPr>
                <w:rFonts w:hint="eastAsia" w:ascii="仿宋_GB2312" w:hAnsi="仿宋_GB2312" w:eastAsia="仿宋_GB2312" w:cs="仿宋_GB2312"/>
                <w:sz w:val="24"/>
                <w:szCs w:val="24"/>
                <w:u w:val="none"/>
              </w:rPr>
              <w:t>《公共场所卫生管理条例》第七条</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b w:val="0"/>
                <w:bCs w:val="0"/>
                <w:sz w:val="24"/>
                <w:szCs w:val="24"/>
                <w:u w:val="none"/>
                <w:lang w:val="en-US" w:eastAsia="zh-CN"/>
              </w:rPr>
              <w:t>《公共场所卫生管理条例实施细则》第十条第一款</w:t>
            </w:r>
            <w:r>
              <w:rPr>
                <w:rFonts w:hint="eastAsia" w:ascii="仿宋_GB2312" w:hAnsi="仿宋_GB2312" w:eastAsia="仿宋_GB2312" w:cs="仿宋_GB2312"/>
                <w:sz w:val="24"/>
                <w:szCs w:val="24"/>
                <w:u w:val="none"/>
                <w:lang w:eastAsia="zh-CN"/>
              </w:rPr>
              <w:t>的规定</w:t>
            </w:r>
            <w:r>
              <w:rPr>
                <w:rFonts w:hint="eastAsia" w:ascii="仿宋" w:hAnsi="仿宋" w:eastAsia="仿宋"/>
                <w:sz w:val="24"/>
                <w:szCs w:val="24"/>
              </w:rPr>
              <w:t>。</w:t>
            </w:r>
          </w:p>
        </w:tc>
      </w:tr>
      <w:tr w14:paraId="65AB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85"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17A0F49F">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vertAlign w:val="baseline"/>
                <w:lang w:val="en-US" w:eastAsia="zh-CN" w:bidi="ar"/>
              </w:rPr>
              <w:t>卫生行政执法依据法律法规条款</w:t>
            </w:r>
          </w:p>
        </w:tc>
        <w:tc>
          <w:tcPr>
            <w:tcW w:w="7620" w:type="dxa"/>
            <w:gridSpan w:val="3"/>
            <w:tcBorders>
              <w:top w:val="single" w:color="000000" w:sz="4" w:space="0"/>
              <w:left w:val="single" w:color="000000" w:sz="4" w:space="0"/>
              <w:bottom w:val="single" w:color="000000" w:sz="4" w:space="0"/>
              <w:right w:val="single" w:color="000000" w:sz="4" w:space="0"/>
            </w:tcBorders>
            <w:noWrap w:val="0"/>
            <w:vAlign w:val="center"/>
          </w:tcPr>
          <w:p w14:paraId="05603E64">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依据《公共场所卫生管理条例》第十四条第一款第</w:t>
            </w:r>
            <w:r>
              <w:rPr>
                <w:rFonts w:hint="eastAsia" w:ascii="仿宋_GB2312" w:hAnsi="仿宋_GB2312" w:eastAsia="仿宋_GB2312" w:cs="仿宋_GB2312"/>
                <w:sz w:val="24"/>
                <w:szCs w:val="24"/>
                <w:u w:val="none"/>
                <w:lang w:val="en-US" w:eastAsia="zh-CN"/>
              </w:rPr>
              <w:t>(</w:t>
            </w:r>
            <w:r>
              <w:rPr>
                <w:rFonts w:hint="eastAsia" w:ascii="仿宋_GB2312" w:hAnsi="仿宋_GB2312" w:eastAsia="仿宋_GB2312" w:cs="仿宋_GB2312"/>
                <w:sz w:val="24"/>
                <w:szCs w:val="24"/>
                <w:u w:val="none"/>
              </w:rPr>
              <w:t>二</w:t>
            </w:r>
            <w:r>
              <w:rPr>
                <w:rFonts w:hint="eastAsia" w:ascii="仿宋_GB2312" w:hAnsi="仿宋_GB2312" w:eastAsia="仿宋_GB2312" w:cs="仿宋_GB2312"/>
                <w:sz w:val="24"/>
                <w:szCs w:val="24"/>
                <w:u w:val="none"/>
                <w:lang w:val="en-US" w:eastAsia="zh-CN"/>
              </w:rPr>
              <w:t>)</w:t>
            </w:r>
            <w:r>
              <w:rPr>
                <w:rFonts w:hint="eastAsia" w:ascii="仿宋_GB2312" w:hAnsi="仿宋_GB2312" w:eastAsia="仿宋_GB2312" w:cs="仿宋_GB2312"/>
                <w:sz w:val="24"/>
                <w:szCs w:val="24"/>
                <w:u w:val="none"/>
              </w:rPr>
              <w:t>项</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b w:val="0"/>
                <w:bCs w:val="0"/>
                <w:sz w:val="24"/>
                <w:szCs w:val="24"/>
                <w:u w:val="none"/>
                <w:lang w:val="en-US" w:eastAsia="zh-CN"/>
              </w:rPr>
              <w:t>《公共场所卫生管理条例实施细则》第三十八条</w:t>
            </w:r>
            <w:r>
              <w:rPr>
                <w:rFonts w:hint="eastAsia" w:ascii="仿宋_GB2312" w:hAnsi="仿宋_GB2312" w:eastAsia="仿宋_GB2312" w:cs="仿宋_GB2312"/>
                <w:sz w:val="24"/>
                <w:szCs w:val="24"/>
                <w:u w:val="none"/>
                <w:lang w:eastAsia="zh-CN"/>
              </w:rPr>
              <w:t>的规定，结合《新疆维吾尔自治区新疆生产建设兵团卫生健康行政处罚自由裁量基准》第四百零五条</w:t>
            </w:r>
            <w:r>
              <w:rPr>
                <w:rFonts w:hint="eastAsia" w:ascii="仿宋_GB2312" w:hAnsi="仿宋_GB2312" w:eastAsia="仿宋_GB2312" w:cs="仿宋_GB2312"/>
                <w:b w:val="0"/>
                <w:bCs w:val="0"/>
                <w:color w:val="auto"/>
                <w:sz w:val="24"/>
                <w:szCs w:val="24"/>
                <w:u w:val="none"/>
                <w:lang w:val="en-US" w:eastAsia="zh-CN"/>
              </w:rPr>
              <w:t>的裁量标准</w:t>
            </w:r>
            <w:r>
              <w:rPr>
                <w:rFonts w:hint="eastAsia" w:ascii="仿宋_GB2312" w:hAnsi="仿宋_GB2312" w:eastAsia="仿宋_GB2312" w:cs="仿宋_GB2312"/>
                <w:sz w:val="24"/>
                <w:szCs w:val="24"/>
                <w:u w:val="none"/>
                <w:lang w:eastAsia="zh-CN"/>
              </w:rPr>
              <w:t>。</w:t>
            </w:r>
          </w:p>
        </w:tc>
      </w:tr>
      <w:tr w14:paraId="2BE0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4" w:hRule="atLeast"/>
        </w:trPr>
        <w:tc>
          <w:tcPr>
            <w:tcW w:w="1359" w:type="dxa"/>
            <w:tcBorders>
              <w:top w:val="single" w:color="000000" w:sz="4" w:space="0"/>
              <w:left w:val="single" w:color="000000" w:sz="4" w:space="0"/>
              <w:bottom w:val="single" w:color="000000" w:sz="4" w:space="0"/>
              <w:right w:val="single" w:color="000000" w:sz="4" w:space="0"/>
            </w:tcBorders>
            <w:noWrap w:val="0"/>
            <w:vAlign w:val="center"/>
          </w:tcPr>
          <w:p w14:paraId="31854F79">
            <w:pPr>
              <w:keepNext w:val="0"/>
              <w:keepLines w:val="0"/>
              <w:widowControl/>
              <w:suppressLineNumbers w:val="0"/>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b/>
                <w:bCs/>
                <w:color w:val="000000"/>
                <w:kern w:val="0"/>
                <w:sz w:val="24"/>
                <w:szCs w:val="24"/>
                <w:vertAlign w:val="baseline"/>
                <w:lang w:val="en-US" w:eastAsia="zh-CN" w:bidi="ar"/>
              </w:rPr>
              <w:t>卫生行政处罚结果</w:t>
            </w:r>
          </w:p>
        </w:tc>
        <w:tc>
          <w:tcPr>
            <w:tcW w:w="7620" w:type="dxa"/>
            <w:gridSpan w:val="3"/>
            <w:tcBorders>
              <w:top w:val="single" w:color="000000" w:sz="4" w:space="0"/>
              <w:left w:val="single" w:color="000000" w:sz="4" w:space="0"/>
              <w:bottom w:val="single" w:color="000000" w:sz="4" w:space="0"/>
              <w:right w:val="single" w:color="000000" w:sz="4" w:space="0"/>
            </w:tcBorders>
            <w:noWrap w:val="0"/>
            <w:vAlign w:val="center"/>
          </w:tcPr>
          <w:p w14:paraId="7565A7A7">
            <w:pPr>
              <w:keepNext w:val="0"/>
              <w:keepLines w:val="0"/>
              <w:pageBreakBefore w:val="0"/>
              <w:widowControl w:val="0"/>
              <w:kinsoku/>
              <w:wordWrap/>
              <w:overflowPunct/>
              <w:topLinePunct w:val="0"/>
              <w:autoSpaceDE/>
              <w:autoSpaceDN/>
              <w:bidi w:val="0"/>
              <w:adjustRightInd/>
              <w:snapToGrid/>
              <w:spacing w:line="300" w:lineRule="exact"/>
              <w:ind w:firstLine="431" w:firstLineChars="196"/>
              <w:textAlignment w:val="auto"/>
              <w:rPr>
                <w:rFonts w:hint="eastAsia" w:ascii="仿宋_GB2312" w:hAnsi="仿宋_GB2312" w:eastAsia="仿宋_GB2312" w:cs="仿宋_GB2312"/>
                <w:color w:val="000000"/>
                <w:sz w:val="24"/>
                <w:szCs w:val="24"/>
                <w:lang w:eastAsia="zh-CN"/>
              </w:rPr>
            </w:pPr>
            <w:r>
              <w:rPr>
                <w:rFonts w:hint="eastAsia" w:ascii="仿宋_GB2312" w:hAnsi="宋体" w:eastAsia="仿宋_GB2312"/>
                <w:sz w:val="22"/>
                <w:szCs w:val="22"/>
                <w:lang w:eastAsia="zh-CN"/>
              </w:rPr>
              <w:t>给予</w:t>
            </w:r>
            <w:r>
              <w:rPr>
                <w:rFonts w:hint="eastAsia" w:ascii="仿宋_GB2312" w:hAnsi="宋体" w:eastAsia="仿宋_GB2312"/>
                <w:sz w:val="22"/>
                <w:szCs w:val="22"/>
              </w:rPr>
              <w:t>警告</w:t>
            </w:r>
            <w:r>
              <w:rPr>
                <w:rFonts w:hint="eastAsia" w:ascii="仿宋_GB2312" w:hAnsi="宋体" w:eastAsia="仿宋_GB2312"/>
                <w:sz w:val="22"/>
                <w:szCs w:val="22"/>
                <w:lang w:eastAsia="zh-CN"/>
              </w:rPr>
              <w:t>并处</w:t>
            </w:r>
            <w:r>
              <w:rPr>
                <w:rFonts w:hint="eastAsia" w:ascii="仿宋_GB2312" w:hAnsi="宋体" w:eastAsia="仿宋_GB2312"/>
                <w:sz w:val="22"/>
                <w:szCs w:val="22"/>
              </w:rPr>
              <w:t>罚款</w:t>
            </w:r>
            <w:bookmarkStart w:id="0" w:name="_GoBack"/>
            <w:bookmarkEnd w:id="0"/>
          </w:p>
        </w:tc>
      </w:tr>
    </w:tbl>
    <w:p w14:paraId="3054724E"/>
    <w:sectPr>
      <w:pgSz w:w="11906" w:h="16838"/>
      <w:pgMar w:top="170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Dialog">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70EF3"/>
    <w:rsid w:val="0B7A1388"/>
    <w:rsid w:val="0F63649D"/>
    <w:rsid w:val="2D352E9B"/>
    <w:rsid w:val="5475359D"/>
    <w:rsid w:val="55EA3E59"/>
    <w:rsid w:val="57607F35"/>
    <w:rsid w:val="5DAD4CDB"/>
    <w:rsid w:val="6C166C87"/>
    <w:rsid w:val="6ED9582D"/>
    <w:rsid w:val="772818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456</Words>
  <Characters>492</Characters>
  <Lines>0</Lines>
  <Paragraphs>0</Paragraphs>
  <TotalTime>8</TotalTime>
  <ScaleCrop>false</ScaleCrop>
  <LinksUpToDate>false</LinksUpToDate>
  <CharactersWithSpaces>499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2025-10-11T07:54:00Z</dcterms:created>
  <dc:creator>Administrator</dc:creator>
  <cp:lastModifiedBy>Administrator</cp:lastModifiedBy>
  <cp:lastPrinted>2025-10-22T08:20:36Z</cp:lastPrinted>
  <dcterms:modified xsi:type="dcterms:W3CDTF">2025-10-22T08:47:10Z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eyJoZGlkIjoiZjhjZDM5Y2M3NDgxMTA0OTJlYmJjOWQxNmY5MTc0MTQifQ==</vt:lpwstr>
  </property>
  <property fmtid="{D5CDD505-2E9C-101B-9397-08002B2CF9AE}" pid="4" name="ICV">
    <vt:lpwstr>FB5D20A64C964E2EB8E8581242BBC3F7_13</vt:lpwstr>
  </property>
</Properties>
</file>