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r>
        <w:rPr>
          <w:rFonts w:hint="eastAsia" w:ascii="方正小标宋简体" w:hAnsi="方正小标宋简体" w:eastAsia="方正小标宋简体"/>
          <w:color w:val="000000"/>
          <w:kern w:val="0"/>
          <w:sz w:val="44"/>
          <w:shd w:val="clear" w:color="auto" w:fill="FFFFFF"/>
        </w:rPr>
        <w:t>中介机构从事代理记账业务审批流程</w:t>
      </w:r>
    </w:p>
    <w:bookmarkEnd w:id="0"/>
    <w:p>
      <w:pPr>
        <w:pStyle w:val="4"/>
        <w:shd w:val="clear" w:color="auto" w:fill="FFFFFF"/>
        <w:spacing w:before="0" w:beforeAutospacing="0" w:after="0" w:afterAutospacing="0" w:line="570" w:lineRule="atLeast"/>
        <w:ind w:firstLine="640"/>
        <w:jc w:val="both"/>
        <w:rPr>
          <w:rFonts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代理记账机构是依法设立的企业并切依法取得代理记账资格，从事代理记账业务的机构。代理记账是指代理记账机构接受委托办理会计业务。服务于自然人、企业或者其他组织，中介机构从事代理记账业务审批事项的条件，依据、办理程序、提交资料和时限具体如下：</w:t>
      </w:r>
    </w:p>
    <w:p>
      <w:pPr>
        <w:spacing w:line="540" w:lineRule="exact"/>
        <w:ind w:firstLine="640" w:firstLineChars="200"/>
        <w:jc w:val="left"/>
        <w:rPr>
          <w:rFonts w:ascii="黑体" w:hAnsi="黑体" w:eastAsia="黑体" w:cs="黑体"/>
          <w:color w:val="000000"/>
          <w:kern w:val="0"/>
          <w:sz w:val="32"/>
          <w:shd w:val="clear" w:color="auto" w:fill="FFFFFF"/>
        </w:rPr>
      </w:pPr>
      <w:r>
        <w:rPr>
          <w:rFonts w:hint="eastAsia" w:ascii="黑体" w:hAnsi="黑体" w:eastAsia="黑体" w:cs="黑体"/>
          <w:color w:val="000000"/>
          <w:kern w:val="0"/>
          <w:sz w:val="32"/>
          <w:shd w:val="clear" w:color="auto" w:fill="FFFFFF"/>
        </w:rPr>
        <w:t>一、申请的条件</w:t>
      </w:r>
    </w:p>
    <w:p>
      <w:pPr>
        <w:pStyle w:val="4"/>
        <w:shd w:val="clear" w:color="auto" w:fill="FFFFFF"/>
        <w:spacing w:before="0" w:beforeAutospacing="0" w:after="0" w:afterAutospacing="0" w:line="570" w:lineRule="atLeast"/>
        <w:ind w:firstLine="640"/>
        <w:jc w:val="both"/>
        <w:rPr>
          <w:rFonts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1、为依法设立的企业；</w:t>
      </w:r>
    </w:p>
    <w:p>
      <w:pPr>
        <w:pStyle w:val="4"/>
        <w:shd w:val="clear" w:color="auto" w:fill="FFFFFF"/>
        <w:spacing w:before="0" w:beforeAutospacing="0" w:after="0" w:afterAutospacing="0" w:line="570" w:lineRule="atLeast"/>
        <w:ind w:firstLine="640"/>
        <w:jc w:val="both"/>
        <w:rPr>
          <w:rFonts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2、主管代理记账业务的负责人具备会计师以上专业技术职务资格或者从事会计工作不少于三年的书面承诺；</w:t>
      </w:r>
    </w:p>
    <w:p>
      <w:pPr>
        <w:pStyle w:val="4"/>
        <w:shd w:val="clear" w:color="auto" w:fill="FFFFFF"/>
        <w:spacing w:before="0" w:beforeAutospacing="0" w:after="0" w:afterAutospacing="0" w:line="570" w:lineRule="atLeast"/>
        <w:ind w:firstLine="640"/>
        <w:jc w:val="both"/>
        <w:rPr>
          <w:rFonts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3、专职从业人员在本机构专职从业的书面承诺；</w:t>
      </w:r>
    </w:p>
    <w:p>
      <w:pPr>
        <w:pStyle w:val="4"/>
        <w:shd w:val="clear" w:color="auto" w:fill="FFFFFF"/>
        <w:spacing w:before="0" w:beforeAutospacing="0" w:after="0" w:afterAutospacing="0" w:line="570" w:lineRule="atLeast"/>
        <w:ind w:firstLine="640"/>
        <w:jc w:val="both"/>
        <w:rPr>
          <w:rFonts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4、代理记账业务内部规范。</w:t>
      </w:r>
    </w:p>
    <w:p>
      <w:pPr>
        <w:pStyle w:val="4"/>
        <w:shd w:val="clear" w:color="auto" w:fill="FFFFFF"/>
        <w:spacing w:before="0" w:beforeAutospacing="0" w:after="0" w:afterAutospacing="0" w:line="570" w:lineRule="atLeast"/>
        <w:ind w:firstLine="640"/>
        <w:jc w:val="both"/>
        <w:rPr>
          <w:rFonts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5、专职从业人员不少于3名；</w:t>
      </w:r>
    </w:p>
    <w:p>
      <w:pPr>
        <w:spacing w:line="540" w:lineRule="exact"/>
        <w:ind w:firstLine="640" w:firstLineChars="200"/>
        <w:jc w:val="left"/>
        <w:rPr>
          <w:rFonts w:ascii="黑体" w:hAnsi="黑体" w:eastAsia="黑体" w:cs="黑体"/>
          <w:color w:val="000000"/>
          <w:kern w:val="0"/>
          <w:sz w:val="32"/>
          <w:shd w:val="clear" w:color="auto" w:fill="FFFFFF"/>
        </w:rPr>
      </w:pPr>
      <w:r>
        <w:rPr>
          <w:rFonts w:hint="eastAsia" w:ascii="黑体" w:hAnsi="黑体" w:eastAsia="黑体" w:cs="黑体"/>
          <w:color w:val="000000"/>
          <w:kern w:val="0"/>
          <w:sz w:val="32"/>
          <w:shd w:val="clear" w:color="auto" w:fill="FFFFFF"/>
        </w:rPr>
        <w:t>二、行政许可的依据</w:t>
      </w: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r>
        <w:rPr>
          <w:rFonts w:hint="eastAsia" w:ascii="仿宋_GB2312" w:hAnsi="仿宋_GB2312" w:eastAsia="仿宋_GB2312" w:cs="仿宋_GB2312"/>
          <w:color w:val="000000"/>
          <w:kern w:val="0"/>
          <w:sz w:val="32"/>
          <w:shd w:val="clear" w:color="auto" w:fill="FFFFFF"/>
        </w:rPr>
        <w:t>1、《中华人民共和国会计法》（1985年1月21日主席令第二十一号，2017年11月4日予以修改）第三十六条。各单位应当根据会计业务的需要，设置会计机构，或者在有关机构中设置会计人员并指定会计主管人员；不具备设置条件的，应当委托经批准设立从事会计代理</w:t>
      </w:r>
      <w:r>
        <w:rPr>
          <w:rFonts w:hint="eastAsia" w:ascii="仿宋_GB2312" w:hAnsi="仿宋_GB2312" w:eastAsia="仿宋_GB2312" w:cs="仿宋_GB2312"/>
          <w:color w:val="000000"/>
          <w:kern w:val="0"/>
          <w:sz w:val="32"/>
          <w:shd w:val="clear" w:color="auto" w:fill="FFFFFF"/>
          <w:lang w:eastAsia="zh-CN"/>
        </w:rPr>
        <w:t>记账</w:t>
      </w:r>
      <w:r>
        <w:rPr>
          <w:rFonts w:hint="eastAsia" w:ascii="仿宋_GB2312" w:hAnsi="仿宋_GB2312" w:eastAsia="仿宋_GB2312" w:cs="仿宋_GB2312"/>
          <w:color w:val="000000"/>
          <w:kern w:val="0"/>
          <w:sz w:val="32"/>
          <w:shd w:val="clear" w:color="auto" w:fill="FFFFFF"/>
        </w:rPr>
        <w:t>业务的中介机构代理</w:t>
      </w:r>
      <w:r>
        <w:rPr>
          <w:rFonts w:hint="eastAsia" w:ascii="仿宋_GB2312" w:hAnsi="仿宋_GB2312" w:eastAsia="仿宋_GB2312" w:cs="仿宋_GB2312"/>
          <w:color w:val="000000"/>
          <w:kern w:val="0"/>
          <w:sz w:val="32"/>
          <w:shd w:val="clear" w:color="auto" w:fill="FFFFFF"/>
          <w:lang w:eastAsia="zh-CN"/>
        </w:rPr>
        <w:t>记账</w:t>
      </w:r>
      <w:r>
        <w:rPr>
          <w:rFonts w:hint="eastAsia" w:ascii="仿宋_GB2312" w:hAnsi="仿宋_GB2312" w:eastAsia="仿宋_GB2312" w:cs="仿宋_GB2312"/>
          <w:color w:val="000000"/>
          <w:kern w:val="0"/>
          <w:sz w:val="32"/>
          <w:shd w:val="clear" w:color="auto" w:fill="FFFFFF"/>
        </w:rPr>
        <w:t>。；</w:t>
      </w: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r>
        <w:rPr>
          <w:rFonts w:hint="eastAsia" w:ascii="仿宋_GB2312" w:hAnsi="仿宋_GB2312" w:eastAsia="仿宋_GB2312" w:cs="仿宋_GB2312"/>
          <w:color w:val="000000"/>
          <w:kern w:val="0"/>
          <w:sz w:val="32"/>
          <w:shd w:val="clear" w:color="auto" w:fill="FFFFFF"/>
        </w:rPr>
        <w:t>2、《代理记账管理办法》（2016年2月16日财政部令第80号，2019年3月14号财政部令第98号予以修改）第二条第二款。本办法所称代理记账机构是指依法取得代理记账资格，从事代理记账业务的机构。第三条第一款：除会计师事务所以外的机构从事代理记账业务应当经县级以上地方人民政府财政部门（以下简称审批机关）批准，领取由财政部统一规定样式的代理记账许可证书。</w:t>
      </w: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r>
        <w:rPr>
          <w:rFonts w:hint="eastAsia" w:ascii="仿宋_GB2312" w:hAnsi="仿宋_GB2312" w:eastAsia="仿宋_GB2312" w:cs="仿宋_GB2312"/>
          <w:color w:val="000000"/>
          <w:kern w:val="0"/>
          <w:sz w:val="32"/>
          <w:shd w:val="clear" w:color="auto" w:fill="FFFFFF"/>
        </w:rPr>
        <w:t>3、具体审批机关由省、自治区、直辖市、计划单列市人民政府财政部门确定。；《国务院关于取消和下放一批行政审批项目的决定》（国发〔2013〕44号）第14项。中介机构从事代理记账业务审批，下放至省级人民政府财政部门。</w:t>
      </w:r>
    </w:p>
    <w:p>
      <w:pPr>
        <w:spacing w:line="540" w:lineRule="exact"/>
        <w:ind w:firstLine="640" w:firstLineChars="200"/>
        <w:jc w:val="left"/>
        <w:rPr>
          <w:rFonts w:ascii="黑体" w:hAnsi="黑体" w:eastAsia="黑体" w:cs="黑体"/>
          <w:color w:val="000000"/>
          <w:kern w:val="0"/>
          <w:sz w:val="32"/>
          <w:shd w:val="clear" w:color="auto" w:fill="FFFFFF"/>
        </w:rPr>
      </w:pPr>
      <w:r>
        <w:rPr>
          <w:rFonts w:hint="eastAsia" w:ascii="黑体" w:hAnsi="黑体" w:eastAsia="黑体" w:cs="黑体"/>
          <w:color w:val="000000"/>
          <w:kern w:val="0"/>
          <w:sz w:val="32"/>
          <w:shd w:val="clear" w:color="auto" w:fill="FFFFFF"/>
        </w:rPr>
        <w:t>三、办理程序</w:t>
      </w: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r>
        <w:rPr>
          <w:rFonts w:hint="eastAsia" w:ascii="仿宋_GB2312" w:hAnsi="仿宋_GB2312" w:eastAsia="仿宋_GB2312" w:cs="仿宋_GB2312"/>
          <w:color w:val="000000"/>
          <w:kern w:val="0"/>
          <w:sz w:val="32"/>
          <w:shd w:val="clear" w:color="auto" w:fill="FFFFFF"/>
        </w:rPr>
        <w:t>1.代理记账业务许可申请人向沙湾市财政局局提出书面申请。财政局办理人员一次性告知所需提供的材料。</w:t>
      </w: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r>
        <w:rPr>
          <w:rFonts w:hint="eastAsia" w:ascii="仿宋_GB2312" w:hAnsi="仿宋_GB2312" w:eastAsia="仿宋_GB2312" w:cs="仿宋_GB2312"/>
          <w:color w:val="000000"/>
          <w:kern w:val="0"/>
          <w:sz w:val="32"/>
          <w:shd w:val="clear" w:color="auto" w:fill="FFFFFF"/>
        </w:rPr>
        <w:t>2.代理记账业务许可申请人可通过新疆政务服务平台和互联网全国代理记账机构管理系统两个平台进行许可证的申请办理</w:t>
      </w:r>
    </w:p>
    <w:p>
      <w:pPr>
        <w:pStyle w:val="4"/>
        <w:shd w:val="clear" w:color="auto" w:fill="FFFFFF"/>
        <w:spacing w:before="0" w:beforeAutospacing="0" w:after="0" w:afterAutospacing="0" w:line="570" w:lineRule="atLeast"/>
        <w:ind w:firstLine="640"/>
        <w:jc w:val="both"/>
        <w:rPr>
          <w:rFonts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3.代理记账业务许可申请人提交有关</w:t>
      </w:r>
      <w:r>
        <w:rPr>
          <w:rFonts w:hint="eastAsia" w:ascii="方正仿宋_GBK" w:hAnsi="Calibri" w:eastAsia="方正仿宋_GBK"/>
          <w:color w:val="000000"/>
          <w:sz w:val="32"/>
          <w:szCs w:val="32"/>
        </w:rPr>
        <w:t>真实性</w:t>
      </w:r>
      <w:r>
        <w:rPr>
          <w:rFonts w:hint="eastAsia" w:ascii="仿宋_GB2312" w:hAnsi="仿宋_GB2312" w:eastAsia="仿宋_GB2312" w:cs="仿宋_GB2312"/>
          <w:color w:val="000000"/>
          <w:sz w:val="32"/>
          <w:shd w:val="clear" w:color="auto" w:fill="FFFFFF"/>
        </w:rPr>
        <w:t>材料：</w:t>
      </w:r>
    </w:p>
    <w:p>
      <w:pPr>
        <w:pStyle w:val="4"/>
        <w:shd w:val="clear" w:color="auto" w:fill="FFFFFF"/>
        <w:spacing w:before="0" w:beforeAutospacing="0" w:after="0" w:afterAutospacing="0" w:line="570" w:lineRule="atLeast"/>
        <w:ind w:firstLine="640"/>
        <w:jc w:val="both"/>
        <w:rPr>
          <w:rFonts w:ascii="仿宋_GB2312" w:hAnsi="仿宋_GB2312" w:eastAsia="仿宋_GB2312" w:cs="仿宋_GB2312"/>
          <w:color w:val="000000"/>
          <w:sz w:val="32"/>
          <w:shd w:val="clear" w:color="auto" w:fill="FFFFFF"/>
        </w:rPr>
      </w:pPr>
      <w:r>
        <w:rPr>
          <w:rFonts w:hint="eastAsia" w:ascii="方正仿宋_GBK" w:hAnsi="Calibri" w:eastAsia="方正仿宋_GBK"/>
          <w:color w:val="000000"/>
          <w:sz w:val="32"/>
          <w:szCs w:val="32"/>
        </w:rPr>
        <w:t>（</w:t>
      </w:r>
      <w:r>
        <w:rPr>
          <w:rFonts w:hint="eastAsia" w:ascii="仿宋_GB2312" w:hAnsi="仿宋_GB2312" w:eastAsia="仿宋_GB2312" w:cs="仿宋_GB2312"/>
          <w:color w:val="000000"/>
          <w:sz w:val="32"/>
          <w:shd w:val="clear" w:color="auto" w:fill="FFFFFF"/>
        </w:rPr>
        <w:t>1）统一社会信用代码；</w:t>
      </w:r>
    </w:p>
    <w:p>
      <w:pPr>
        <w:pStyle w:val="4"/>
        <w:shd w:val="clear" w:color="auto" w:fill="FFFFFF"/>
        <w:spacing w:before="0" w:beforeAutospacing="0" w:after="0" w:afterAutospacing="0" w:line="570" w:lineRule="atLeast"/>
        <w:ind w:firstLine="640"/>
        <w:jc w:val="both"/>
        <w:rPr>
          <w:rFonts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（2）主管代理记账业务的负责人具备会计师以上专业；技术职务资格或者从事会计工作不少于三年的书面承诺；</w:t>
      </w:r>
    </w:p>
    <w:p>
      <w:pPr>
        <w:pStyle w:val="4"/>
        <w:shd w:val="clear" w:color="auto" w:fill="FFFFFF"/>
        <w:spacing w:before="0" w:beforeAutospacing="0" w:after="0" w:afterAutospacing="0" w:line="570" w:lineRule="atLeast"/>
        <w:ind w:firstLine="640"/>
        <w:jc w:val="both"/>
        <w:rPr>
          <w:rFonts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（3）专职从业人员在本机构专职从业的书面承诺；</w:t>
      </w:r>
    </w:p>
    <w:p>
      <w:pPr>
        <w:pStyle w:val="4"/>
        <w:shd w:val="clear" w:color="auto" w:fill="FFFFFF"/>
        <w:spacing w:before="0" w:beforeAutospacing="0" w:after="0" w:afterAutospacing="0" w:line="570" w:lineRule="atLeast"/>
        <w:ind w:firstLine="640"/>
        <w:jc w:val="both"/>
        <w:rPr>
          <w:rFonts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（4）代理记账业务内部规范；</w:t>
      </w: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r>
        <w:rPr>
          <w:rFonts w:hint="eastAsia" w:ascii="仿宋_GB2312" w:hAnsi="仿宋_GB2312" w:eastAsia="仿宋_GB2312" w:cs="仿宋_GB2312"/>
          <w:color w:val="000000"/>
          <w:kern w:val="0"/>
          <w:sz w:val="32"/>
          <w:shd w:val="clear" w:color="auto" w:fill="FFFFFF"/>
        </w:rPr>
        <w:t>4、沙湾市财政局组织人员在1个工作日内受理实地检查、5个工作日内详细审查申报材料。申报材料审核通过后，利用1个工作日完成办结。依照申请人需求对办结结果进行现场取证或邮寄或通过微信等渠道发放许可证书。</w:t>
      </w: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r>
        <w:rPr>
          <w:rFonts w:hint="eastAsia" w:ascii="仿宋_GB2312" w:hAnsi="仿宋_GB2312" w:eastAsia="仿宋_GB2312" w:cs="仿宋_GB2312"/>
          <w:color w:val="000000"/>
          <w:kern w:val="0"/>
          <w:sz w:val="32"/>
          <w:shd w:val="clear" w:color="auto" w:fill="FFFFFF"/>
        </w:rPr>
        <w:t>四、办理结果</w:t>
      </w: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r>
        <w:rPr>
          <w:rFonts w:hint="eastAsia" w:ascii="仿宋_GB2312" w:hAnsi="仿宋_GB2312" w:eastAsia="仿宋_GB2312" w:cs="仿宋_GB2312"/>
          <w:color w:val="000000"/>
          <w:kern w:val="0"/>
          <w:sz w:val="32"/>
          <w:shd w:val="clear" w:color="auto" w:fill="FFFFFF"/>
        </w:rPr>
        <w:t>沙湾市财政局依法依规，按照办理流程截止到目前已办理了11个代理记账许可证书。</w:t>
      </w: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p>
    <w:p>
      <w:pPr>
        <w:spacing w:line="540" w:lineRule="exact"/>
        <w:ind w:firstLine="640" w:firstLineChars="200"/>
        <w:jc w:val="left"/>
        <w:rPr>
          <w:rFonts w:ascii="仿宋_GB2312" w:hAnsi="仿宋_GB2312" w:eastAsia="仿宋_GB2312" w:cs="仿宋_GB2312"/>
          <w:color w:val="000000"/>
          <w:kern w:val="0"/>
          <w:sz w:val="32"/>
          <w:shd w:val="clear" w:color="auto" w:fill="FFFFFF"/>
        </w:rPr>
      </w:pPr>
    </w:p>
    <w:p>
      <w:pPr>
        <w:spacing w:line="540" w:lineRule="exact"/>
        <w:ind w:firstLine="5440" w:firstLineChars="1700"/>
        <w:jc w:val="left"/>
        <w:rPr>
          <w:rFonts w:ascii="仿宋_GB2312" w:hAnsi="仿宋_GB2312" w:eastAsia="仿宋_GB2312" w:cs="仿宋_GB2312"/>
          <w:color w:val="000000"/>
          <w:kern w:val="0"/>
          <w:sz w:val="32"/>
          <w:shd w:val="clear" w:color="auto" w:fill="FFFFFF"/>
        </w:rPr>
      </w:pPr>
      <w:r>
        <w:rPr>
          <w:rFonts w:hint="eastAsia" w:ascii="仿宋_GB2312" w:hAnsi="仿宋_GB2312" w:eastAsia="仿宋_GB2312" w:cs="仿宋_GB2312"/>
          <w:color w:val="000000"/>
          <w:kern w:val="0"/>
          <w:sz w:val="32"/>
          <w:shd w:val="clear" w:color="auto" w:fill="FFFFFF"/>
        </w:rPr>
        <w:t>沙湾市财政局</w:t>
      </w:r>
    </w:p>
    <w:p>
      <w:pPr>
        <w:spacing w:line="540" w:lineRule="exact"/>
        <w:ind w:firstLine="5440" w:firstLineChars="1700"/>
        <w:jc w:val="left"/>
        <w:rPr>
          <w:rFonts w:ascii="仿宋_GB2312" w:hAnsi="仿宋_GB2312" w:eastAsia="仿宋_GB2312" w:cs="仿宋_GB2312"/>
          <w:color w:val="000000"/>
          <w:kern w:val="0"/>
          <w:sz w:val="32"/>
          <w:shd w:val="clear" w:color="auto" w:fill="FFFFFF"/>
        </w:rPr>
      </w:pPr>
      <w:r>
        <w:rPr>
          <w:rFonts w:hint="eastAsia" w:ascii="仿宋_GB2312" w:hAnsi="仿宋_GB2312" w:eastAsia="仿宋_GB2312" w:cs="仿宋_GB2312"/>
          <w:color w:val="000000"/>
          <w:kern w:val="0"/>
          <w:sz w:val="32"/>
          <w:shd w:val="clear" w:color="auto" w:fill="FFFFFF"/>
        </w:rPr>
        <w:t>2023年11月8日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roman"/>
    <w:pitch w:val="default"/>
    <w:sig w:usb0="A00002BF" w:usb1="38CF7CFA" w:usb2="00082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Q1OWZmMzg2ZTZiOWNkMTNkZDk2YTA2MmMxODNmZGEifQ=="/>
  </w:docVars>
  <w:rsids>
    <w:rsidRoot w:val="1B776807"/>
    <w:rsid w:val="00471180"/>
    <w:rsid w:val="005F380D"/>
    <w:rsid w:val="00745CBB"/>
    <w:rsid w:val="030837C0"/>
    <w:rsid w:val="03B51295"/>
    <w:rsid w:val="04104DE8"/>
    <w:rsid w:val="07CE31FF"/>
    <w:rsid w:val="08AD54F4"/>
    <w:rsid w:val="091E020D"/>
    <w:rsid w:val="0B085D5F"/>
    <w:rsid w:val="0B1B69CB"/>
    <w:rsid w:val="0E12547F"/>
    <w:rsid w:val="0EB7352A"/>
    <w:rsid w:val="145224CC"/>
    <w:rsid w:val="18D06F0C"/>
    <w:rsid w:val="1A83790B"/>
    <w:rsid w:val="1B776807"/>
    <w:rsid w:val="1DC41D6C"/>
    <w:rsid w:val="21E316DE"/>
    <w:rsid w:val="26B02C2E"/>
    <w:rsid w:val="273E05F3"/>
    <w:rsid w:val="27781B9E"/>
    <w:rsid w:val="36B24921"/>
    <w:rsid w:val="37195C13"/>
    <w:rsid w:val="39E5681D"/>
    <w:rsid w:val="3C6E31B4"/>
    <w:rsid w:val="3DDC7773"/>
    <w:rsid w:val="42357416"/>
    <w:rsid w:val="490A2929"/>
    <w:rsid w:val="49531371"/>
    <w:rsid w:val="4C1C49DF"/>
    <w:rsid w:val="52B17643"/>
    <w:rsid w:val="52C42671"/>
    <w:rsid w:val="5E1F7ADF"/>
    <w:rsid w:val="5E506A28"/>
    <w:rsid w:val="610C7533"/>
    <w:rsid w:val="66AA511B"/>
    <w:rsid w:val="67D55F29"/>
    <w:rsid w:val="6B8A6EA4"/>
    <w:rsid w:val="6FD232D2"/>
    <w:rsid w:val="72522214"/>
    <w:rsid w:val="74274C20"/>
    <w:rsid w:val="76C802F8"/>
    <w:rsid w:val="7AD0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Hyperlink"/>
    <w:basedOn w:val="6"/>
    <w:qFormat/>
    <w:uiPriority w:val="0"/>
    <w:rPr>
      <w:color w:val="0000FF"/>
      <w:u w:val="single"/>
    </w:rPr>
  </w:style>
  <w:style w:type="character" w:customStyle="1" w:styleId="8">
    <w:name w:val="页眉 Char"/>
    <w:basedOn w:val="6"/>
    <w:link w:val="3"/>
    <w:uiPriority w:val="0"/>
    <w:rPr>
      <w:kern w:val="2"/>
      <w:sz w:val="18"/>
      <w:szCs w:val="18"/>
    </w:rPr>
  </w:style>
  <w:style w:type="character" w:customStyle="1" w:styleId="9">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Words>
  <Characters>940</Characters>
  <Lines>7</Lines>
  <Paragraphs>2</Paragraphs>
  <TotalTime>0</TotalTime>
  <ScaleCrop>false</ScaleCrop>
  <LinksUpToDate>false</LinksUpToDate>
  <CharactersWithSpaces>1102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2023-11-10T11:40:00Z</dcterms:created>
  <dc:creator>Jayna</dc:creator>
  <cp:lastModifiedBy>Administrator</cp:lastModifiedBy>
  <dcterms:modified xsi:type="dcterms:W3CDTF">2025-09-25T10:10:34Z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D1443DE3019A4041BF564CCBBD2E11DA</vt:lpwstr>
  </property>
</Properties>
</file>