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baseline"/>
        <w:rPr>
          <w:rStyle w:val="23"/>
          <w:rFonts w:hint="eastAsia" w:ascii="Times New Roman" w:hAnsi="Times New Roman" w:eastAsia="黑体"/>
          <w:b/>
          <w:i w:val="0"/>
          <w:caps w:val="0"/>
          <w:spacing w:val="0"/>
          <w:w w:val="100"/>
          <w:kern w:val="0"/>
          <w:sz w:val="48"/>
          <w:szCs w:val="48"/>
          <w:lang w:val="en-US" w:eastAsia="zh-CN" w:bidi="ar-SA"/>
        </w:rPr>
      </w:pPr>
      <w:bookmarkStart w:id="0" w:name="_Toc26361"/>
    </w:p>
    <w:p>
      <w:pPr>
        <w:snapToGrid/>
        <w:spacing w:before="0" w:beforeAutospacing="0" w:after="0" w:afterAutospacing="0" w:line="240" w:lineRule="auto"/>
        <w:jc w:val="center"/>
        <w:textAlignment w:val="baseline"/>
        <w:rPr>
          <w:rStyle w:val="23"/>
          <w:rFonts w:hint="eastAsia" w:ascii="方正小标宋_GBK" w:hAnsi="方正小标宋_GBK" w:eastAsia="方正小标宋_GBK" w:cs="方正小标宋_GBK"/>
          <w:b/>
          <w:i w:val="0"/>
          <w:caps w:val="0"/>
          <w:spacing w:val="0"/>
          <w:w w:val="100"/>
          <w:kern w:val="0"/>
          <w:sz w:val="40"/>
          <w:szCs w:val="40"/>
          <w:lang w:val="en-US" w:eastAsia="zh-CN" w:bidi="ar-SA"/>
        </w:rPr>
      </w:pPr>
      <w:r>
        <w:rPr>
          <w:rStyle w:val="23"/>
          <w:rFonts w:hint="eastAsia" w:ascii="方正小标宋_GBK" w:hAnsi="方正小标宋_GBK" w:eastAsia="方正小标宋_GBK" w:cs="方正小标宋_GBK"/>
          <w:b/>
          <w:i w:val="0"/>
          <w:caps w:val="0"/>
          <w:spacing w:val="0"/>
          <w:w w:val="100"/>
          <w:kern w:val="0"/>
          <w:sz w:val="40"/>
          <w:szCs w:val="40"/>
          <w:lang w:val="en-US" w:eastAsia="zh-CN" w:bidi="ar-SA"/>
        </w:rPr>
        <w:t>塔城地区沙湾市2025年度</w:t>
      </w:r>
      <w:bookmarkEnd w:id="0"/>
    </w:p>
    <w:p>
      <w:pPr>
        <w:snapToGrid/>
        <w:spacing w:before="0" w:beforeAutospacing="0" w:after="0" w:afterAutospacing="0" w:line="240" w:lineRule="auto"/>
        <w:jc w:val="center"/>
        <w:textAlignment w:val="baseline"/>
        <w:rPr>
          <w:rStyle w:val="23"/>
          <w:rFonts w:hint="eastAsia" w:ascii="方正小标宋_GBK" w:hAnsi="方正小标宋_GBK" w:eastAsia="方正小标宋_GBK" w:cs="方正小标宋_GBK"/>
          <w:b/>
          <w:i w:val="0"/>
          <w:caps w:val="0"/>
          <w:spacing w:val="0"/>
          <w:w w:val="100"/>
          <w:kern w:val="0"/>
          <w:sz w:val="40"/>
          <w:szCs w:val="40"/>
          <w:lang w:val="en-US" w:eastAsia="zh-CN" w:bidi="ar-SA"/>
        </w:rPr>
      </w:pPr>
      <w:bookmarkStart w:id="1" w:name="_Toc24543"/>
      <w:r>
        <w:rPr>
          <w:rStyle w:val="23"/>
          <w:rFonts w:hint="eastAsia" w:ascii="方正小标宋_GBK" w:hAnsi="方正小标宋_GBK" w:eastAsia="方正小标宋_GBK" w:cs="方正小标宋_GBK"/>
          <w:b/>
          <w:i w:val="0"/>
          <w:caps w:val="0"/>
          <w:spacing w:val="0"/>
          <w:w w:val="100"/>
          <w:kern w:val="0"/>
          <w:sz w:val="40"/>
          <w:szCs w:val="40"/>
          <w:lang w:val="en-US" w:eastAsia="zh-CN" w:bidi="ar-SA"/>
        </w:rPr>
        <w:t>地方政府项目</w:t>
      </w:r>
      <w:bookmarkEnd w:id="1"/>
      <w:r>
        <w:rPr>
          <w:rStyle w:val="23"/>
          <w:rFonts w:hint="eastAsia" w:ascii="方正小标宋_GBK" w:hAnsi="方正小标宋_GBK" w:eastAsia="方正小标宋_GBK" w:cs="方正小标宋_GBK"/>
          <w:b/>
          <w:i w:val="0"/>
          <w:caps w:val="0"/>
          <w:spacing w:val="0"/>
          <w:w w:val="100"/>
          <w:kern w:val="0"/>
          <w:sz w:val="40"/>
          <w:szCs w:val="40"/>
          <w:lang w:val="en-US" w:eastAsia="zh-CN" w:bidi="ar-SA"/>
        </w:rPr>
        <w:t>绩效评价报告</w:t>
      </w:r>
    </w:p>
    <w:p>
      <w:pPr>
        <w:pageBreakBefore w:val="0"/>
        <w:widowControl/>
        <w:kinsoku/>
        <w:wordWrap/>
        <w:overflowPunct/>
        <w:topLinePunct w:val="0"/>
        <w:autoSpaceDE/>
        <w:autoSpaceDN/>
        <w:bidi w:val="0"/>
        <w:adjustRightInd/>
        <w:snapToGrid/>
        <w:spacing w:before="120" w:beforeAutospacing="0" w:after="120" w:afterAutospacing="0" w:line="560" w:lineRule="exact"/>
        <w:ind w:left="958" w:leftChars="456" w:firstLine="640" w:firstLineChars="200"/>
        <w:jc w:val="left"/>
        <w:textAlignment w:val="baseline"/>
        <w:rPr>
          <w:rStyle w:val="23"/>
          <w:rFonts w:ascii="Times New Roman" w:hAnsi="Times New Roman" w:eastAsia="黑体"/>
          <w:b w:val="0"/>
          <w:i w:val="0"/>
          <w:caps w:val="0"/>
          <w:spacing w:val="0"/>
          <w:w w:val="100"/>
          <w:kern w:val="0"/>
          <w:sz w:val="32"/>
          <w:szCs w:val="32"/>
          <w:lang w:val="en-US" w:eastAsia="zh-CN" w:bidi="en-US"/>
        </w:rPr>
      </w:pPr>
    </w:p>
    <w:p>
      <w:pPr>
        <w:pageBreakBefore w:val="0"/>
        <w:widowControl/>
        <w:kinsoku/>
        <w:wordWrap/>
        <w:overflowPunct/>
        <w:topLinePunct w:val="0"/>
        <w:autoSpaceDE/>
        <w:autoSpaceDN/>
        <w:bidi w:val="0"/>
        <w:adjustRightInd/>
        <w:snapToGrid/>
        <w:spacing w:before="120" w:beforeAutospacing="0" w:after="120" w:afterAutospacing="0" w:line="560" w:lineRule="exact"/>
        <w:ind w:left="958" w:leftChars="456" w:firstLine="640" w:firstLineChars="200"/>
        <w:jc w:val="left"/>
        <w:textAlignment w:val="baseline"/>
        <w:rPr>
          <w:rStyle w:val="23"/>
          <w:rFonts w:ascii="Times New Roman" w:hAnsi="Times New Roman" w:eastAsia="黑体"/>
          <w:b w:val="0"/>
          <w:i w:val="0"/>
          <w:caps w:val="0"/>
          <w:spacing w:val="0"/>
          <w:w w:val="100"/>
          <w:kern w:val="0"/>
          <w:sz w:val="32"/>
          <w:szCs w:val="32"/>
          <w:lang w:val="en-US" w:eastAsia="zh-CN" w:bidi="en-US"/>
        </w:rPr>
      </w:pPr>
    </w:p>
    <w:p>
      <w:pPr>
        <w:pageBreakBefore w:val="0"/>
        <w:widowControl/>
        <w:kinsoku/>
        <w:wordWrap/>
        <w:overflowPunct/>
        <w:topLinePunct w:val="0"/>
        <w:autoSpaceDE/>
        <w:autoSpaceDN/>
        <w:bidi w:val="0"/>
        <w:adjustRightInd/>
        <w:snapToGrid/>
        <w:spacing w:before="120" w:beforeAutospacing="0" w:after="120" w:afterAutospacing="0" w:line="560" w:lineRule="exact"/>
        <w:ind w:left="958" w:leftChars="456" w:firstLine="640" w:firstLineChars="200"/>
        <w:jc w:val="left"/>
        <w:textAlignment w:val="baseline"/>
        <w:rPr>
          <w:rStyle w:val="23"/>
          <w:rFonts w:ascii="Times New Roman" w:hAnsi="Times New Roman" w:eastAsia="黑体"/>
          <w:b w:val="0"/>
          <w:i w:val="0"/>
          <w:caps w:val="0"/>
          <w:spacing w:val="0"/>
          <w:w w:val="100"/>
          <w:kern w:val="0"/>
          <w:sz w:val="32"/>
          <w:szCs w:val="32"/>
          <w:lang w:val="en-US" w:eastAsia="zh-CN" w:bidi="en-US"/>
        </w:rPr>
      </w:pPr>
    </w:p>
    <w:p>
      <w:pPr>
        <w:pageBreakBefore w:val="0"/>
        <w:widowControl/>
        <w:kinsoku/>
        <w:wordWrap/>
        <w:overflowPunct/>
        <w:topLinePunct w:val="0"/>
        <w:autoSpaceDE/>
        <w:autoSpaceDN/>
        <w:bidi w:val="0"/>
        <w:adjustRightInd/>
        <w:snapToGrid/>
        <w:spacing w:before="120" w:beforeAutospacing="0" w:after="120" w:afterAutospacing="0" w:line="560" w:lineRule="exact"/>
        <w:ind w:left="958" w:leftChars="456" w:firstLine="640" w:firstLineChars="200"/>
        <w:jc w:val="left"/>
        <w:textAlignment w:val="baseline"/>
        <w:rPr>
          <w:rStyle w:val="23"/>
          <w:rFonts w:ascii="Times New Roman" w:hAnsi="Times New Roman" w:eastAsia="黑体"/>
          <w:b w:val="0"/>
          <w:i w:val="0"/>
          <w:caps w:val="0"/>
          <w:spacing w:val="0"/>
          <w:w w:val="100"/>
          <w:kern w:val="0"/>
          <w:sz w:val="32"/>
          <w:szCs w:val="32"/>
          <w:lang w:val="en-US" w:eastAsia="zh-CN" w:bidi="en-US"/>
        </w:rPr>
      </w:pPr>
    </w:p>
    <w:p>
      <w:pPr>
        <w:pStyle w:val="15"/>
        <w:jc w:val="both"/>
        <w:outlineLvl w:val="9"/>
        <w:rPr>
          <w:lang w:val="en-US" w:eastAsia="zh-CN"/>
        </w:rPr>
      </w:pPr>
    </w:p>
    <w:p>
      <w:pPr>
        <w:pageBreakBefore w:val="0"/>
        <w:widowControl/>
        <w:kinsoku/>
        <w:wordWrap/>
        <w:overflowPunct/>
        <w:topLinePunct w:val="0"/>
        <w:autoSpaceDE/>
        <w:autoSpaceDN/>
        <w:bidi w:val="0"/>
        <w:adjustRightInd/>
        <w:snapToGrid/>
        <w:spacing w:before="120" w:beforeAutospacing="0" w:after="120" w:afterAutospacing="0" w:line="560" w:lineRule="exact"/>
        <w:ind w:left="2877" w:leftChars="608" w:hanging="1600" w:hangingChars="500"/>
        <w:jc w:val="left"/>
        <w:textAlignment w:val="baseline"/>
        <w:rPr>
          <w:rStyle w:val="23"/>
          <w:rFonts w:hint="eastAsia" w:ascii="方正黑体_GBK" w:hAnsi="方正黑体_GBK" w:eastAsia="方正黑体_GBK" w:cs="方正黑体_GBK"/>
          <w:b w:val="0"/>
          <w:i w:val="0"/>
          <w:caps w:val="0"/>
          <w:spacing w:val="0"/>
          <w:w w:val="100"/>
          <w:kern w:val="0"/>
          <w:sz w:val="32"/>
          <w:szCs w:val="32"/>
          <w:lang w:val="en-US" w:eastAsia="zh-CN" w:bidi="en-US"/>
        </w:rPr>
      </w:pPr>
      <w:r>
        <w:rPr>
          <w:rStyle w:val="23"/>
          <w:rFonts w:hint="eastAsia" w:ascii="方正黑体_GBK" w:hAnsi="方正黑体_GBK" w:eastAsia="方正黑体_GBK" w:cs="方正黑体_GBK"/>
          <w:b w:val="0"/>
          <w:i w:val="0"/>
          <w:caps w:val="0"/>
          <w:spacing w:val="0"/>
          <w:w w:val="100"/>
          <w:kern w:val="0"/>
          <w:sz w:val="32"/>
          <w:szCs w:val="32"/>
          <w:lang w:val="en-US" w:eastAsia="zh-CN" w:bidi="en-US"/>
        </w:rPr>
        <w:t>项目名称：2024年沙湾市智慧交通信息化升级改造工程项目</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hint="default" w:ascii="方正黑体_GBK" w:hAnsi="方正黑体_GBK" w:eastAsia="方正黑体_GBK" w:cs="方正黑体_GBK"/>
          <w:b w:val="0"/>
          <w:i w:val="0"/>
          <w:caps w:val="0"/>
          <w:spacing w:val="0"/>
          <w:w w:val="100"/>
          <w:kern w:val="0"/>
          <w:sz w:val="32"/>
          <w:szCs w:val="32"/>
          <w:lang w:val="en-US" w:eastAsia="zh-CN" w:bidi="en-US"/>
        </w:rPr>
      </w:pPr>
      <w:r>
        <w:rPr>
          <w:rStyle w:val="23"/>
          <w:rFonts w:hint="eastAsia" w:ascii="方正黑体_GBK" w:hAnsi="方正黑体_GBK" w:eastAsia="方正黑体_GBK" w:cs="方正黑体_GBK"/>
          <w:b w:val="0"/>
          <w:i w:val="0"/>
          <w:caps w:val="0"/>
          <w:spacing w:val="0"/>
          <w:w w:val="100"/>
          <w:kern w:val="0"/>
          <w:sz w:val="32"/>
          <w:szCs w:val="32"/>
          <w:lang w:val="en-US" w:eastAsia="zh-CN" w:bidi="en-US"/>
        </w:rPr>
        <w:t>项目单位：沙湾市公安局</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hint="default" w:ascii="方正黑体_GBK" w:hAnsi="方正黑体_GBK" w:eastAsia="方正黑体_GBK" w:cs="方正黑体_GBK"/>
          <w:b w:val="0"/>
          <w:i w:val="0"/>
          <w:caps w:val="0"/>
          <w:spacing w:val="0"/>
          <w:w w:val="100"/>
          <w:kern w:val="0"/>
          <w:sz w:val="32"/>
          <w:szCs w:val="32"/>
          <w:lang w:val="en-US" w:eastAsia="zh-CN" w:bidi="en-US"/>
        </w:rPr>
      </w:pPr>
      <w:r>
        <w:rPr>
          <w:rStyle w:val="23"/>
          <w:rFonts w:hint="eastAsia" w:ascii="方正黑体_GBK" w:hAnsi="方正黑体_GBK" w:eastAsia="方正黑体_GBK" w:cs="方正黑体_GBK"/>
          <w:b w:val="0"/>
          <w:i w:val="0"/>
          <w:caps w:val="0"/>
          <w:spacing w:val="0"/>
          <w:w w:val="100"/>
          <w:kern w:val="0"/>
          <w:sz w:val="32"/>
          <w:szCs w:val="32"/>
          <w:lang w:val="en-US" w:eastAsia="zh-CN" w:bidi="en-US"/>
        </w:rPr>
        <w:t>主管部门：沙湾市公安局</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hint="default" w:ascii="方正黑体_GBK" w:hAnsi="方正黑体_GBK" w:eastAsia="方正黑体_GBK" w:cs="方正黑体_GBK"/>
          <w:b w:val="0"/>
          <w:i w:val="0"/>
          <w:caps w:val="0"/>
          <w:spacing w:val="0"/>
          <w:w w:val="100"/>
          <w:kern w:val="0"/>
          <w:sz w:val="32"/>
          <w:szCs w:val="32"/>
          <w:lang w:val="en-US" w:eastAsia="zh-CN" w:bidi="en-US"/>
        </w:rPr>
      </w:pPr>
      <w:r>
        <w:rPr>
          <w:rStyle w:val="23"/>
          <w:rFonts w:hint="eastAsia" w:ascii="方正黑体_GBK" w:hAnsi="方正黑体_GBK" w:eastAsia="方正黑体_GBK" w:cs="方正黑体_GBK"/>
          <w:b w:val="0"/>
          <w:i w:val="0"/>
          <w:caps w:val="0"/>
          <w:spacing w:val="0"/>
          <w:w w:val="100"/>
          <w:kern w:val="0"/>
          <w:sz w:val="32"/>
          <w:szCs w:val="32"/>
          <w:lang w:val="en-US" w:eastAsia="zh-CN" w:bidi="en-US"/>
        </w:rPr>
        <w:t>委托单位：沙湾市财政局</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hint="default" w:ascii="方正黑体_GBK" w:hAnsi="方正黑体_GBK" w:eastAsia="方正黑体_GBK" w:cs="方正黑体_GBK"/>
          <w:b w:val="0"/>
          <w:i w:val="0"/>
          <w:caps w:val="0"/>
          <w:spacing w:val="0"/>
          <w:w w:val="100"/>
          <w:kern w:val="0"/>
          <w:sz w:val="32"/>
          <w:szCs w:val="32"/>
          <w:lang w:val="en-US" w:eastAsia="zh-CN" w:bidi="en-US"/>
        </w:rPr>
      </w:pPr>
      <w:r>
        <w:rPr>
          <w:rStyle w:val="23"/>
          <w:rFonts w:hint="eastAsia" w:ascii="方正黑体_GBK" w:hAnsi="方正黑体_GBK" w:eastAsia="方正黑体_GBK" w:cs="方正黑体_GBK"/>
          <w:b w:val="0"/>
          <w:i w:val="0"/>
          <w:caps w:val="0"/>
          <w:spacing w:val="0"/>
          <w:w w:val="100"/>
          <w:kern w:val="0"/>
          <w:sz w:val="32"/>
          <w:szCs w:val="32"/>
          <w:lang w:val="en-US" w:eastAsia="zh-CN" w:bidi="en-US"/>
        </w:rPr>
        <w:t>评价机构：新疆智汇铭宸科技咨询有限公司</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3200" w:firstLineChars="1000"/>
        <w:jc w:val="both"/>
        <w:textAlignment w:val="baseline"/>
        <w:rPr>
          <w:rStyle w:val="23"/>
          <w:rFonts w:hint="eastAsia" w:ascii="Times New Roman" w:hAnsi="Times New Roman" w:eastAsia="黑体" w:cs="黑体"/>
          <w:b w:val="0"/>
          <w:i w:val="0"/>
          <w:caps w:val="0"/>
          <w:spacing w:val="0"/>
          <w:w w:val="100"/>
          <w:kern w:val="0"/>
          <w:sz w:val="32"/>
          <w:szCs w:val="32"/>
          <w:lang w:val="en-US" w:eastAsia="zh-CN" w:bidi="en-US"/>
        </w:rPr>
      </w:pPr>
    </w:p>
    <w:p>
      <w:pPr>
        <w:pageBreakBefore w:val="0"/>
        <w:widowControl/>
        <w:kinsoku/>
        <w:wordWrap/>
        <w:overflowPunct/>
        <w:topLinePunct w:val="0"/>
        <w:autoSpaceDE/>
        <w:autoSpaceDN/>
        <w:bidi w:val="0"/>
        <w:adjustRightInd/>
        <w:snapToGrid/>
        <w:spacing w:before="120" w:beforeAutospacing="0" w:after="120" w:afterAutospacing="0" w:line="560" w:lineRule="exact"/>
        <w:ind w:firstLine="3520" w:firstLineChars="1100"/>
        <w:jc w:val="left"/>
        <w:textAlignment w:val="baseline"/>
        <w:rPr>
          <w:rStyle w:val="23"/>
          <w:rFonts w:hint="eastAsia" w:ascii="方正黑体_GBK" w:hAnsi="方正黑体_GBK" w:eastAsia="方正黑体_GBK" w:cs="方正黑体_GBK"/>
          <w:b w:val="0"/>
          <w:i w:val="0"/>
          <w:caps w:val="0"/>
          <w:spacing w:val="0"/>
          <w:w w:val="100"/>
          <w:kern w:val="0"/>
          <w:sz w:val="32"/>
          <w:szCs w:val="32"/>
          <w:lang w:val="en-US" w:eastAsia="zh-CN" w:bidi="en-US"/>
        </w:rPr>
      </w:pPr>
      <w:r>
        <w:rPr>
          <w:rStyle w:val="23"/>
          <w:rFonts w:hint="eastAsia" w:ascii="方正黑体_GBK" w:hAnsi="方正黑体_GBK" w:eastAsia="方正黑体_GBK" w:cs="方正黑体_GBK"/>
          <w:b w:val="0"/>
          <w:i w:val="0"/>
          <w:caps w:val="0"/>
          <w:spacing w:val="0"/>
          <w:w w:val="100"/>
          <w:kern w:val="0"/>
          <w:sz w:val="32"/>
          <w:szCs w:val="32"/>
          <w:lang w:val="en-US" w:eastAsia="zh-CN" w:bidi="en-US"/>
        </w:rPr>
        <w:t>2025年8月</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hint="eastAsia" w:ascii="方正黑体_GBK" w:hAnsi="方正黑体_GBK" w:eastAsia="方正黑体_GBK" w:cs="方正黑体_GBK"/>
          <w:b w:val="0"/>
          <w:i w:val="0"/>
          <w:caps w:val="0"/>
          <w:spacing w:val="0"/>
          <w:w w:val="100"/>
          <w:kern w:val="0"/>
          <w:sz w:val="32"/>
          <w:szCs w:val="32"/>
          <w:lang w:val="en-US" w:eastAsia="zh-CN" w:bidi="en-US"/>
        </w:rPr>
        <w:sectPr>
          <w:headerReference r:id="rId3" w:type="default"/>
          <w:footerReference r:id="rId4" w:type="default"/>
          <w:footnotePr>
            <w:numFmt w:val="decimal"/>
          </w:footnotePr>
          <w:pgSz w:w="11906" w:h="16838"/>
          <w:pgMar w:top="1440" w:right="1803" w:bottom="1440" w:left="1800" w:header="851" w:footer="992" w:gutter="0"/>
          <w:pgBorders>
            <w:top w:val="none" w:sz="0" w:space="0"/>
            <w:left w:val="none" w:sz="0" w:space="0"/>
            <w:bottom w:val="none" w:sz="0" w:space="0"/>
            <w:right w:val="none" w:sz="0" w:space="0"/>
          </w:pgBorders>
          <w:lnNumType w:countBy="0"/>
          <w:pgNumType w:fmt="decimal" w:start="1"/>
          <w:cols w:space="720" w:num="1"/>
          <w:titlePg/>
          <w:docGrid w:type="lines" w:linePitch="312" w:charSpace="0"/>
        </w:sectPr>
      </w:pPr>
    </w:p>
    <w:p>
      <w:pPr>
        <w:bidi w:val="0"/>
        <w:jc w:val="center"/>
        <w:rPr>
          <w:rFonts w:hint="eastAsia" w:ascii="方正仿宋_GBK" w:hAnsi="方正仿宋_GBK" w:eastAsia="方正仿宋_GBK" w:cs="方正仿宋_GBK"/>
          <w:b/>
          <w:bCs/>
          <w:sz w:val="36"/>
          <w:szCs w:val="36"/>
        </w:rPr>
      </w:pPr>
      <w:r>
        <w:rPr>
          <w:rFonts w:hint="eastAsia" w:ascii="方正仿宋_GBK" w:hAnsi="方正仿宋_GBK" w:eastAsia="方正仿宋_GBK" w:cs="方正仿宋_GBK"/>
          <w:b/>
          <w:bCs/>
          <w:sz w:val="36"/>
          <w:szCs w:val="36"/>
        </w:rPr>
        <w:t>项目关键信息表</w:t>
      </w:r>
    </w:p>
    <w:tbl>
      <w:tblPr>
        <w:tblStyle w:val="18"/>
        <w:tblW w:w="9087" w:type="dxa"/>
        <w:jc w:val="center"/>
        <w:tblLayout w:type="fixed"/>
        <w:tblCellMar>
          <w:top w:w="15" w:type="dxa"/>
          <w:left w:w="15" w:type="dxa"/>
          <w:bottom w:w="15" w:type="dxa"/>
          <w:right w:w="15" w:type="dxa"/>
        </w:tblCellMar>
      </w:tblPr>
      <w:tblGrid>
        <w:gridCol w:w="1407"/>
        <w:gridCol w:w="1271"/>
        <w:gridCol w:w="1368"/>
        <w:gridCol w:w="1008"/>
        <w:gridCol w:w="1716"/>
        <w:gridCol w:w="1320"/>
        <w:gridCol w:w="997"/>
      </w:tblGrid>
      <w:tr>
        <w:tblPrEx>
          <w:tblCellMar>
            <w:top w:w="15" w:type="dxa"/>
            <w:left w:w="15" w:type="dxa"/>
            <w:bottom w:w="15" w:type="dxa"/>
            <w:right w:w="15" w:type="dxa"/>
          </w:tblCellMar>
        </w:tblPrEx>
        <w:trPr>
          <w:trHeight w:val="471" w:hRule="atLeast"/>
          <w:jc w:val="center"/>
        </w:trPr>
        <w:tc>
          <w:tcPr>
            <w:tcW w:w="9087" w:type="dxa"/>
            <w:gridSpan w:val="7"/>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评价机构全称（盖章）：</w:t>
            </w:r>
            <w:r>
              <w:rPr>
                <w:rFonts w:hint="eastAsia" w:ascii="仿宋_GB2312" w:hAnsi="仿宋_GB2312" w:eastAsia="仿宋_GB2312" w:cs="仿宋_GB2312"/>
                <w:color w:val="auto"/>
                <w:sz w:val="22"/>
                <w:szCs w:val="22"/>
                <w:lang w:val="en-US" w:eastAsia="zh-CN"/>
              </w:rPr>
              <w:t>新疆智汇铭宸科技咨询有限公司</w:t>
            </w:r>
          </w:p>
        </w:tc>
      </w:tr>
      <w:tr>
        <w:tblPrEx>
          <w:tblCellMar>
            <w:top w:w="15" w:type="dxa"/>
            <w:left w:w="15" w:type="dxa"/>
            <w:bottom w:w="15" w:type="dxa"/>
            <w:right w:w="15" w:type="dxa"/>
          </w:tblCellMar>
        </w:tblPrEx>
        <w:trPr>
          <w:trHeight w:val="809"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项目名称</w:t>
            </w:r>
          </w:p>
        </w:tc>
        <w:tc>
          <w:tcPr>
            <w:tcW w:w="536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2024年沙湾市智慧交通信息化升级改造工程项目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评价年度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2024年</w:t>
            </w:r>
          </w:p>
        </w:tc>
      </w:tr>
      <w:tr>
        <w:tblPrEx>
          <w:tblCellMar>
            <w:top w:w="15" w:type="dxa"/>
            <w:left w:w="15" w:type="dxa"/>
            <w:bottom w:w="15" w:type="dxa"/>
            <w:right w:w="15" w:type="dxa"/>
          </w:tblCellMar>
        </w:tblPrEx>
        <w:trPr>
          <w:trHeight w:val="66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财政局</w:t>
            </w:r>
            <w:r>
              <w:rPr>
                <w:rFonts w:hint="default" w:ascii="仿宋_GB2312" w:hAnsi="仿宋_GB2312" w:eastAsia="仿宋_GB2312" w:cs="仿宋_GB2312"/>
                <w:color w:val="auto"/>
                <w:sz w:val="22"/>
                <w:szCs w:val="22"/>
                <w:lang w:val="en-US" w:eastAsia="zh-CN"/>
              </w:rPr>
              <w:t>分管</w:t>
            </w:r>
          </w:p>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科</w:t>
            </w:r>
            <w:r>
              <w:rPr>
                <w:rFonts w:hint="default" w:ascii="仿宋_GB2312" w:hAnsi="仿宋_GB2312" w:eastAsia="仿宋_GB2312" w:cs="仿宋_GB2312"/>
                <w:color w:val="auto"/>
                <w:sz w:val="22"/>
                <w:szCs w:val="22"/>
                <w:lang w:val="en-US" w:eastAsia="zh-CN"/>
              </w:rPr>
              <w:t>室</w:t>
            </w:r>
          </w:p>
        </w:tc>
        <w:tc>
          <w:tcPr>
            <w:tcW w:w="768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行政政法科</w:t>
            </w:r>
          </w:p>
          <w:p>
            <w:pPr>
              <w:widowControl/>
              <w:textAlignment w:val="center"/>
              <w:rPr>
                <w:rFonts w:hint="default" w:ascii="仿宋_GB2312" w:hAnsi="仿宋_GB2312" w:eastAsia="仿宋_GB2312" w:cs="仿宋_GB2312"/>
                <w:color w:val="auto"/>
                <w:sz w:val="22"/>
                <w:szCs w:val="22"/>
                <w:lang w:val="en-US" w:eastAsia="zh-CN"/>
              </w:rPr>
            </w:pPr>
          </w:p>
        </w:tc>
      </w:tr>
      <w:tr>
        <w:tblPrEx>
          <w:tblCellMar>
            <w:top w:w="15" w:type="dxa"/>
            <w:left w:w="15" w:type="dxa"/>
            <w:bottom w:w="15" w:type="dxa"/>
            <w:right w:w="15" w:type="dxa"/>
          </w:tblCellMar>
        </w:tblPrEx>
        <w:trPr>
          <w:trHeight w:val="672"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项目主管部门</w:t>
            </w:r>
          </w:p>
        </w:tc>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沙湾市公安局</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联系人及联系方式</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王璐</w:t>
            </w:r>
            <w:bookmarkStart w:id="5" w:name="_GoBack"/>
            <w:bookmarkEnd w:id="5"/>
          </w:p>
        </w:tc>
      </w:tr>
      <w:tr>
        <w:tblPrEx>
          <w:tblCellMar>
            <w:top w:w="15" w:type="dxa"/>
            <w:left w:w="15" w:type="dxa"/>
            <w:bottom w:w="15" w:type="dxa"/>
            <w:right w:w="15" w:type="dxa"/>
          </w:tblCellMar>
        </w:tblPrEx>
        <w:trPr>
          <w:trHeight w:val="672"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项目实施单位</w:t>
            </w:r>
          </w:p>
        </w:tc>
        <w:tc>
          <w:tcPr>
            <w:tcW w:w="364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沙湾市公安局</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联系人及联系方式</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王璐</w:t>
            </w:r>
          </w:p>
        </w:tc>
      </w:tr>
      <w:tr>
        <w:tblPrEx>
          <w:tblCellMar>
            <w:top w:w="15" w:type="dxa"/>
            <w:left w:w="15" w:type="dxa"/>
            <w:bottom w:w="15" w:type="dxa"/>
            <w:right w:w="15" w:type="dxa"/>
          </w:tblCellMar>
        </w:tblPrEx>
        <w:trPr>
          <w:trHeight w:val="798"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资金来源</w:t>
            </w:r>
          </w:p>
        </w:tc>
        <w:tc>
          <w:tcPr>
            <w:tcW w:w="768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地方专项资金</w:t>
            </w:r>
          </w:p>
        </w:tc>
      </w:tr>
      <w:tr>
        <w:tblPrEx>
          <w:tblCellMar>
            <w:top w:w="15" w:type="dxa"/>
            <w:left w:w="15" w:type="dxa"/>
            <w:bottom w:w="15" w:type="dxa"/>
            <w:right w:w="15" w:type="dxa"/>
          </w:tblCellMar>
        </w:tblPrEx>
        <w:trPr>
          <w:trHeight w:val="820"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项目</w:t>
            </w:r>
            <w:r>
              <w:rPr>
                <w:rFonts w:hint="default" w:ascii="仿宋_GB2312" w:hAnsi="仿宋_GB2312" w:eastAsia="仿宋_GB2312" w:cs="仿宋_GB2312"/>
                <w:color w:val="auto"/>
                <w:sz w:val="22"/>
                <w:szCs w:val="22"/>
                <w:lang w:val="en-US" w:eastAsia="zh-CN"/>
              </w:rPr>
              <w:t>资金</w:t>
            </w:r>
          </w:p>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投入总额</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5000万元</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项目资金执行数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5000万元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eastAsia"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资金</w:t>
            </w:r>
            <w:r>
              <w:rPr>
                <w:rFonts w:hint="eastAsia" w:ascii="仿宋_GB2312" w:hAnsi="仿宋_GB2312" w:eastAsia="仿宋_GB2312" w:cs="仿宋_GB2312"/>
                <w:color w:val="auto"/>
                <w:sz w:val="22"/>
                <w:szCs w:val="22"/>
                <w:lang w:val="en-US" w:eastAsia="zh-CN"/>
              </w:rPr>
              <w:t>执行率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100%</w:t>
            </w:r>
          </w:p>
        </w:tc>
      </w:tr>
      <w:tr>
        <w:tblPrEx>
          <w:tblCellMar>
            <w:top w:w="15" w:type="dxa"/>
            <w:left w:w="15" w:type="dxa"/>
            <w:bottom w:w="15" w:type="dxa"/>
            <w:right w:w="15" w:type="dxa"/>
          </w:tblCellMar>
        </w:tblPrEx>
        <w:trPr>
          <w:trHeight w:val="1009" w:hRule="atLeast"/>
          <w:jc w:val="center"/>
        </w:trPr>
        <w:tc>
          <w:tcPr>
            <w:tcW w:w="140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发放调查</w:t>
            </w:r>
          </w:p>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问卷</w:t>
            </w:r>
          </w:p>
        </w:tc>
        <w:tc>
          <w:tcPr>
            <w:tcW w:w="127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55</w:t>
            </w:r>
          </w:p>
        </w:tc>
        <w:tc>
          <w:tcPr>
            <w:tcW w:w="136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回收有效问卷</w:t>
            </w:r>
          </w:p>
        </w:tc>
        <w:tc>
          <w:tcPr>
            <w:tcW w:w="100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50</w:t>
            </w:r>
          </w:p>
        </w:tc>
        <w:tc>
          <w:tcPr>
            <w:tcW w:w="171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满意度情况</w:t>
            </w:r>
          </w:p>
        </w:tc>
        <w:tc>
          <w:tcPr>
            <w:tcW w:w="2317"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99%</w:t>
            </w:r>
          </w:p>
        </w:tc>
      </w:tr>
      <w:tr>
        <w:tblPrEx>
          <w:tblCellMar>
            <w:top w:w="15" w:type="dxa"/>
            <w:left w:w="15" w:type="dxa"/>
            <w:bottom w:w="15" w:type="dxa"/>
            <w:right w:w="15" w:type="dxa"/>
          </w:tblCellMar>
        </w:tblPrEx>
        <w:trPr>
          <w:trHeight w:val="1372" w:hRule="atLeast"/>
          <w:jc w:val="center"/>
        </w:trPr>
        <w:tc>
          <w:tcPr>
            <w:tcW w:w="140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采用的评价方法与评价标准</w:t>
            </w:r>
          </w:p>
        </w:tc>
        <w:tc>
          <w:tcPr>
            <w:tcW w:w="7680"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评价方法：比较法、公众评判法、因素分析法</w:t>
            </w:r>
          </w:p>
          <w:p>
            <w:pPr>
              <w:widowControl/>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评价标准：通用标准、计划标准</w:t>
            </w:r>
          </w:p>
        </w:tc>
      </w:tr>
      <w:tr>
        <w:tblPrEx>
          <w:tblCellMar>
            <w:top w:w="15" w:type="dxa"/>
            <w:left w:w="15" w:type="dxa"/>
            <w:bottom w:w="15" w:type="dxa"/>
            <w:right w:w="15" w:type="dxa"/>
          </w:tblCellMar>
        </w:tblPrEx>
        <w:trPr>
          <w:trHeight w:val="1543" w:hRule="atLeast"/>
          <w:jc w:val="center"/>
        </w:trPr>
        <w:tc>
          <w:tcPr>
            <w:tcW w:w="140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绩效评价结果</w:t>
            </w:r>
          </w:p>
        </w:tc>
        <w:tc>
          <w:tcPr>
            <w:tcW w:w="7680"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运用由评价组研发并通过主管单位确认的评价指标体系及评分标准</w:t>
            </w:r>
            <w:r>
              <w:rPr>
                <w:rFonts w:hint="eastAsia" w:ascii="仿宋_GB2312" w:hAnsi="仿宋_GB2312" w:eastAsia="仿宋_GB2312" w:cs="仿宋_GB2312"/>
                <w:color w:val="auto"/>
                <w:sz w:val="22"/>
                <w:szCs w:val="22"/>
                <w:lang w:val="en-US" w:eastAsia="zh-CN"/>
              </w:rPr>
              <w:t>，</w:t>
            </w:r>
            <w:r>
              <w:rPr>
                <w:rFonts w:hint="default" w:ascii="仿宋_GB2312" w:hAnsi="仿宋_GB2312" w:eastAsia="仿宋_GB2312" w:cs="仿宋_GB2312"/>
                <w:color w:val="auto"/>
                <w:sz w:val="22"/>
                <w:szCs w:val="22"/>
                <w:lang w:val="en-US" w:eastAsia="zh-CN"/>
              </w:rPr>
              <w:t>通过基础数据填报、问卷调查和访谈获取的数据及项目单位提供的资料</w:t>
            </w:r>
            <w:r>
              <w:rPr>
                <w:rFonts w:hint="eastAsia" w:ascii="仿宋_GB2312" w:hAnsi="仿宋_GB2312" w:eastAsia="仿宋_GB2312" w:cs="仿宋_GB2312"/>
                <w:color w:val="auto"/>
                <w:sz w:val="22"/>
                <w:szCs w:val="22"/>
                <w:lang w:val="en-US" w:eastAsia="zh-CN"/>
              </w:rPr>
              <w:t>，</w:t>
            </w:r>
            <w:r>
              <w:rPr>
                <w:rFonts w:hint="default" w:ascii="仿宋_GB2312" w:hAnsi="仿宋_GB2312" w:eastAsia="仿宋_GB2312" w:cs="仿宋_GB2312"/>
                <w:color w:val="auto"/>
                <w:sz w:val="22"/>
                <w:szCs w:val="22"/>
                <w:lang w:val="en-US" w:eastAsia="zh-CN"/>
              </w:rPr>
              <w:t>评价组对“</w:t>
            </w:r>
            <w:r>
              <w:rPr>
                <w:rFonts w:hint="eastAsia" w:ascii="仿宋_GB2312" w:hAnsi="仿宋_GB2312" w:eastAsia="仿宋_GB2312" w:cs="仿宋_GB2312"/>
                <w:color w:val="auto"/>
                <w:sz w:val="22"/>
                <w:szCs w:val="22"/>
                <w:lang w:val="en-US" w:eastAsia="zh-CN"/>
              </w:rPr>
              <w:t>沙湾市智慧交通信息化升级改造工程</w:t>
            </w:r>
            <w:r>
              <w:rPr>
                <w:rFonts w:hint="default" w:ascii="仿宋_GB2312" w:hAnsi="仿宋_GB2312" w:eastAsia="仿宋_GB2312" w:cs="仿宋_GB2312"/>
                <w:color w:val="auto"/>
                <w:sz w:val="22"/>
                <w:szCs w:val="22"/>
                <w:lang w:val="en-US" w:eastAsia="zh-CN"/>
              </w:rPr>
              <w:t>”项目进行了独立客观的评价</w:t>
            </w:r>
            <w:r>
              <w:rPr>
                <w:rFonts w:hint="eastAsia" w:ascii="仿宋_GB2312" w:hAnsi="仿宋_GB2312" w:eastAsia="仿宋_GB2312" w:cs="仿宋_GB2312"/>
                <w:color w:val="auto"/>
                <w:sz w:val="22"/>
                <w:szCs w:val="22"/>
                <w:lang w:val="en-US" w:eastAsia="zh-CN"/>
              </w:rPr>
              <w:t>，</w:t>
            </w:r>
            <w:r>
              <w:rPr>
                <w:rFonts w:hint="default" w:ascii="仿宋_GB2312" w:hAnsi="仿宋_GB2312" w:eastAsia="仿宋_GB2312" w:cs="仿宋_GB2312"/>
                <w:color w:val="auto"/>
                <w:sz w:val="22"/>
                <w:szCs w:val="22"/>
                <w:lang w:val="en-US" w:eastAsia="zh-CN"/>
              </w:rPr>
              <w:t>最终评分结果为</w:t>
            </w:r>
            <w:r>
              <w:rPr>
                <w:rFonts w:hint="eastAsia" w:ascii="仿宋_GB2312" w:hAnsi="仿宋_GB2312" w:eastAsia="仿宋_GB2312" w:cs="仿宋_GB2312"/>
                <w:color w:val="auto"/>
                <w:sz w:val="22"/>
                <w:szCs w:val="22"/>
                <w:lang w:val="en-US" w:eastAsia="zh-CN"/>
              </w:rPr>
              <w:t>98</w:t>
            </w:r>
            <w:r>
              <w:rPr>
                <w:rFonts w:hint="default" w:ascii="仿宋_GB2312" w:hAnsi="仿宋_GB2312" w:eastAsia="仿宋_GB2312" w:cs="仿宋_GB2312"/>
                <w:color w:val="auto"/>
                <w:sz w:val="22"/>
                <w:szCs w:val="22"/>
                <w:lang w:val="en-US" w:eastAsia="zh-CN"/>
              </w:rPr>
              <w:t>分</w:t>
            </w:r>
            <w:r>
              <w:rPr>
                <w:rFonts w:hint="eastAsia" w:ascii="仿宋_GB2312" w:hAnsi="仿宋_GB2312" w:eastAsia="仿宋_GB2312" w:cs="仿宋_GB2312"/>
                <w:color w:val="auto"/>
                <w:sz w:val="22"/>
                <w:szCs w:val="22"/>
                <w:lang w:val="en-US" w:eastAsia="zh-CN"/>
              </w:rPr>
              <w:t>，</w:t>
            </w:r>
            <w:r>
              <w:rPr>
                <w:rFonts w:hint="default" w:ascii="仿宋_GB2312" w:hAnsi="仿宋_GB2312" w:eastAsia="仿宋_GB2312" w:cs="仿宋_GB2312"/>
                <w:color w:val="auto"/>
                <w:sz w:val="22"/>
                <w:szCs w:val="22"/>
                <w:lang w:val="en-US" w:eastAsia="zh-CN"/>
              </w:rPr>
              <w:t>评价等级为“</w:t>
            </w:r>
            <w:r>
              <w:rPr>
                <w:rFonts w:hint="eastAsia" w:ascii="仿宋_GB2312" w:hAnsi="仿宋_GB2312" w:eastAsia="仿宋_GB2312" w:cs="仿宋_GB2312"/>
                <w:color w:val="auto"/>
                <w:sz w:val="22"/>
                <w:szCs w:val="22"/>
                <w:lang w:val="en-US" w:eastAsia="zh-CN"/>
              </w:rPr>
              <w:t>优</w:t>
            </w:r>
            <w:r>
              <w:rPr>
                <w:rFonts w:hint="default" w:ascii="仿宋_GB2312" w:hAnsi="仿宋_GB2312" w:eastAsia="仿宋_GB2312" w:cs="仿宋_GB2312"/>
                <w:color w:val="auto"/>
                <w:sz w:val="22"/>
                <w:szCs w:val="22"/>
                <w:lang w:val="en-US" w:eastAsia="zh-CN"/>
              </w:rPr>
              <w:t>”。</w:t>
            </w:r>
          </w:p>
          <w:p>
            <w:pPr>
              <w:widowControl/>
              <w:textAlignment w:val="center"/>
              <w:rPr>
                <w:rFonts w:hint="default" w:ascii="仿宋_GB2312" w:hAnsi="仿宋_GB2312" w:eastAsia="仿宋_GB2312" w:cs="仿宋_GB2312"/>
                <w:color w:val="auto"/>
                <w:sz w:val="22"/>
                <w:szCs w:val="22"/>
                <w:lang w:val="en-US" w:eastAsia="zh-CN"/>
              </w:rPr>
            </w:pPr>
          </w:p>
        </w:tc>
      </w:tr>
      <w:tr>
        <w:tblPrEx>
          <w:tblCellMar>
            <w:top w:w="15" w:type="dxa"/>
            <w:left w:w="15" w:type="dxa"/>
            <w:bottom w:w="15" w:type="dxa"/>
            <w:right w:w="15" w:type="dxa"/>
          </w:tblCellMar>
        </w:tblPrEx>
        <w:trPr>
          <w:trHeight w:val="761" w:hRule="atLeast"/>
          <w:jc w:val="center"/>
        </w:trPr>
        <w:tc>
          <w:tcPr>
            <w:tcW w:w="14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r>
              <w:rPr>
                <w:rFonts w:hint="default" w:ascii="仿宋_GB2312" w:hAnsi="仿宋_GB2312" w:eastAsia="仿宋_GB2312" w:cs="仿宋_GB2312"/>
                <w:color w:val="auto"/>
                <w:sz w:val="22"/>
                <w:szCs w:val="22"/>
                <w:lang w:val="en-US" w:eastAsia="zh-CN"/>
              </w:rPr>
              <w:t>项目主评人（签字）</w:t>
            </w:r>
          </w:p>
        </w:tc>
        <w:tc>
          <w:tcPr>
            <w:tcW w:w="768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textAlignment w:val="center"/>
              <w:rPr>
                <w:rFonts w:hint="default" w:ascii="仿宋_GB2312" w:hAnsi="仿宋_GB2312" w:eastAsia="仿宋_GB2312" w:cs="仿宋_GB2312"/>
                <w:color w:val="auto"/>
                <w:sz w:val="22"/>
                <w:szCs w:val="22"/>
                <w:lang w:val="en-US" w:eastAsia="zh-CN"/>
              </w:rPr>
            </w:pPr>
          </w:p>
        </w:tc>
      </w:tr>
    </w:tbl>
    <w:p>
      <w:pPr>
        <w:pStyle w:val="15"/>
        <w:rPr>
          <w:rFonts w:hint="eastAsia"/>
          <w:lang w:val="en-US" w:eastAsia="zh-CN"/>
        </w:rPr>
        <w:sectPr>
          <w:footnotePr>
            <w:numFmt w:val="decimal"/>
          </w:footnotePr>
          <w:pgSz w:w="11906" w:h="16838"/>
          <w:pgMar w:top="1440" w:right="1803" w:bottom="1440" w:left="1800" w:header="851" w:footer="992" w:gutter="0"/>
          <w:pgBorders>
            <w:top w:val="none" w:sz="0" w:space="0"/>
            <w:left w:val="none" w:sz="0" w:space="0"/>
            <w:bottom w:val="none" w:sz="0" w:space="0"/>
            <w:right w:val="none" w:sz="0" w:space="0"/>
          </w:pgBorders>
          <w:lnNumType w:countBy="0"/>
          <w:pgNumType w:fmt="decimal" w:start="1"/>
          <w:cols w:space="720" w:num="1"/>
          <w:titlePg/>
          <w:docGrid w:type="lines" w:linePitch="312" w:charSpace="0"/>
        </w:sectPr>
      </w:pPr>
    </w:p>
    <w:p>
      <w:pPr>
        <w:spacing w:line="560" w:lineRule="exact"/>
        <w:outlineLvl w:val="0"/>
        <w:rPr>
          <w:rFonts w:ascii="黑体" w:hAnsi="宋体" w:eastAsia="黑体" w:cs="Times New Roman"/>
          <w:bCs/>
          <w:color w:val="000000"/>
          <w:sz w:val="32"/>
          <w:szCs w:val="32"/>
        </w:rPr>
      </w:pPr>
      <w:bookmarkStart w:id="2" w:name="_Toc124525871"/>
      <w:bookmarkStart w:id="3" w:name="_Toc9864"/>
      <w:r>
        <w:rPr>
          <w:rFonts w:hint="eastAsia" w:ascii="黑体" w:hAnsi="宋体" w:eastAsia="黑体" w:cs="Times New Roman"/>
          <w:bCs/>
          <w:color w:val="000000"/>
          <w:sz w:val="32"/>
          <w:szCs w:val="32"/>
        </w:rPr>
        <w:t>附件</w:t>
      </w:r>
      <w:r>
        <w:rPr>
          <w:rFonts w:hint="eastAsia" w:ascii="Times New Roman" w:hAnsi="Times New Roman" w:eastAsia="黑体" w:cs="Times New Roman"/>
          <w:bCs/>
          <w:color w:val="000000"/>
          <w:sz w:val="32"/>
          <w:szCs w:val="32"/>
        </w:rPr>
        <w:t>1</w:t>
      </w:r>
      <w:r>
        <w:rPr>
          <w:rFonts w:hint="eastAsia" w:ascii="黑体" w:hAnsi="宋体" w:eastAsia="黑体" w:cs="Times New Roman"/>
          <w:bCs/>
          <w:color w:val="000000"/>
          <w:sz w:val="32"/>
          <w:szCs w:val="32"/>
        </w:rPr>
        <w:t>评价指标体系</w:t>
      </w:r>
      <w:bookmarkEnd w:id="2"/>
      <w:bookmarkEnd w:id="3"/>
    </w:p>
    <w:p>
      <w:pPr>
        <w:spacing w:line="560" w:lineRule="exact"/>
        <w:jc w:val="center"/>
        <w:rPr>
          <w:rFonts w:ascii="黑体" w:hAnsi="黑体" w:eastAsia="黑体" w:cs="黑体"/>
          <w:bCs/>
          <w:color w:val="000000"/>
          <w:sz w:val="32"/>
          <w:szCs w:val="32"/>
        </w:rPr>
      </w:pPr>
      <w:r>
        <w:rPr>
          <w:rFonts w:hint="eastAsia" w:ascii="黑体" w:hAnsi="黑体" w:eastAsia="黑体" w:cs="宋体"/>
          <w:b/>
          <w:bCs/>
          <w:sz w:val="32"/>
          <w:szCs w:val="32"/>
        </w:rPr>
        <w:t>项目评价指标体系</w:t>
      </w:r>
    </w:p>
    <w:tbl>
      <w:tblPr>
        <w:tblStyle w:val="18"/>
        <w:tblpPr w:leftFromText="180" w:rightFromText="180" w:vertAnchor="text" w:tblpX="91" w:tblpY="1"/>
        <w:tblOverlap w:val="never"/>
        <w:tblW w:w="1410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845"/>
        <w:gridCol w:w="786"/>
        <w:gridCol w:w="554"/>
        <w:gridCol w:w="1485"/>
        <w:gridCol w:w="699"/>
        <w:gridCol w:w="728"/>
        <w:gridCol w:w="2083"/>
        <w:gridCol w:w="4369"/>
        <w:gridCol w:w="728"/>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blHeader/>
        </w:trPr>
        <w:tc>
          <w:tcPr>
            <w:tcW w:w="796"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 xml:space="preserve">一级指标    </w:t>
            </w:r>
          </w:p>
        </w:tc>
        <w:tc>
          <w:tcPr>
            <w:tcW w:w="84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二级指标</w:t>
            </w:r>
          </w:p>
        </w:tc>
        <w:tc>
          <w:tcPr>
            <w:tcW w:w="786"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三级指标</w:t>
            </w:r>
          </w:p>
        </w:tc>
        <w:tc>
          <w:tcPr>
            <w:tcW w:w="554"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权重</w:t>
            </w:r>
          </w:p>
        </w:tc>
        <w:tc>
          <w:tcPr>
            <w:tcW w:w="1485"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指标解释</w:t>
            </w:r>
          </w:p>
        </w:tc>
        <w:tc>
          <w:tcPr>
            <w:tcW w:w="699"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目标值</w:t>
            </w:r>
          </w:p>
        </w:tc>
        <w:tc>
          <w:tcPr>
            <w:tcW w:w="728"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评分依据</w:t>
            </w:r>
          </w:p>
        </w:tc>
        <w:tc>
          <w:tcPr>
            <w:tcW w:w="2083"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评价标准</w:t>
            </w:r>
          </w:p>
        </w:tc>
        <w:tc>
          <w:tcPr>
            <w:tcW w:w="4369"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评价过程</w:t>
            </w:r>
          </w:p>
        </w:tc>
        <w:tc>
          <w:tcPr>
            <w:tcW w:w="728"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得分</w:t>
            </w:r>
          </w:p>
        </w:tc>
        <w:tc>
          <w:tcPr>
            <w:tcW w:w="1034" w:type="dxa"/>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pPr>
              <w:jc w:val="center"/>
              <w:rPr>
                <w:rFonts w:hint="eastAsia"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sz w:val="22"/>
                <w:szCs w:val="22"/>
                <w:u w:val="no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blHead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A 决策（）</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1</w:t>
            </w:r>
            <w:r>
              <w:rPr>
                <w:rStyle w:val="36"/>
                <w:rFonts w:hAnsi="宋体"/>
                <w:lang w:val="en-US" w:eastAsia="zh-CN" w:bidi="ar"/>
              </w:rPr>
              <w:t xml:space="preserve"> 项目立项（6）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101</w:t>
            </w:r>
            <w:r>
              <w:rPr>
                <w:rStyle w:val="36"/>
                <w:rFonts w:hAnsi="宋体"/>
                <w:lang w:val="en-US" w:eastAsia="zh-CN" w:bidi="ar"/>
              </w:rPr>
              <w:t xml:space="preserve"> 机制健全性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int="eastAsia" w:hAnsi="宋体"/>
                <w:lang w:val="en-US" w:eastAsia="zh-CN" w:bidi="ar"/>
              </w:rPr>
              <w:t>专项</w:t>
            </w:r>
            <w:r>
              <w:rPr>
                <w:rStyle w:val="36"/>
                <w:rFonts w:hAnsi="宋体"/>
                <w:lang w:val="en-US" w:eastAsia="zh-CN" w:bidi="ar"/>
              </w:rPr>
              <w:t>项目申请、设立是否符合法律法规、相关政策和发展规划等，用以反映和考核</w:t>
            </w:r>
            <w:r>
              <w:rPr>
                <w:rStyle w:val="36"/>
                <w:rFonts w:hint="eastAsia" w:hAnsi="宋体"/>
                <w:lang w:val="en-US" w:eastAsia="zh-CN" w:bidi="ar"/>
              </w:rPr>
              <w:t>专项项目</w:t>
            </w:r>
            <w:r>
              <w:rPr>
                <w:rStyle w:val="36"/>
                <w:rFonts w:hAnsi="宋体"/>
                <w:lang w:val="en-US" w:eastAsia="zh-CN" w:bidi="ar"/>
              </w:rPr>
              <w:t>机制的健全情况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充分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①项目是否符合政府</w:t>
            </w:r>
            <w:r>
              <w:rPr>
                <w:rFonts w:hint="eastAsia" w:ascii="仿宋_GB2312" w:hAnsi="宋体" w:eastAsia="仿宋_GB2312" w:cs="仿宋_GB2312"/>
                <w:i w:val="0"/>
                <w:iCs w:val="0"/>
                <w:color w:val="000000"/>
                <w:kern w:val="0"/>
                <w:sz w:val="22"/>
                <w:szCs w:val="22"/>
                <w:u w:val="none"/>
                <w:lang w:val="en-US" w:eastAsia="zh-CN" w:bidi="ar"/>
              </w:rPr>
              <w:t>专项</w:t>
            </w:r>
            <w:r>
              <w:rPr>
                <w:rFonts w:hint="default" w:ascii="仿宋_GB2312" w:hAnsi="宋体" w:eastAsia="仿宋_GB2312" w:cs="仿宋_GB2312"/>
                <w:i w:val="0"/>
                <w:iCs w:val="0"/>
                <w:color w:val="000000"/>
                <w:kern w:val="0"/>
                <w:sz w:val="22"/>
                <w:szCs w:val="22"/>
                <w:u w:val="none"/>
                <w:lang w:val="en-US" w:eastAsia="zh-CN" w:bidi="ar"/>
              </w:rPr>
              <w:t>资金支持领域和方向；②项目立项是否符合国家法律法规、国民经济发展规划和相关政策；③项目是否按照规定的程序申请设立，事前是否已经过必要的可行性研究、专家论证、风险评估、绩效评估、集体决策。以上3项各占1/3权重分，符合则得对应分值。</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经查证，专项项目是为没有收益的公益性项目，沙湾市智慧交通信息化升级改造工程项目，申请专项资金用于项目建设，属于公益性项目，符合政府专项资金支持领域和方向；该项目立项符合国家法律法规、国民经济发展规划项目，于202</w:t>
            </w: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年</w:t>
            </w:r>
            <w:r>
              <w:rPr>
                <w:rFonts w:hint="default" w:ascii="仿宋_GB2312" w:hAnsi="宋体" w:eastAsia="仿宋_GB2312" w:cs="仿宋_GB2312"/>
                <w:i w:val="0"/>
                <w:iCs w:val="0"/>
                <w:color w:val="000000"/>
                <w:kern w:val="0"/>
                <w:sz w:val="22"/>
                <w:szCs w:val="22"/>
                <w:u w:val="none"/>
                <w:lang w:val="en-US" w:eastAsia="zh-CN" w:bidi="ar"/>
              </w:rPr>
              <w:t>10</w:t>
            </w:r>
            <w:r>
              <w:rPr>
                <w:rFonts w:hint="eastAsia" w:ascii="仿宋_GB2312" w:hAnsi="宋体" w:eastAsia="仿宋_GB2312" w:cs="仿宋_GB2312"/>
                <w:i w:val="0"/>
                <w:iCs w:val="0"/>
                <w:color w:val="000000"/>
                <w:kern w:val="0"/>
                <w:sz w:val="22"/>
                <w:szCs w:val="22"/>
                <w:u w:val="none"/>
                <w:lang w:val="en-US" w:eastAsia="zh-CN" w:bidi="ar"/>
              </w:rPr>
              <w:t>月</w:t>
            </w:r>
            <w:r>
              <w:rPr>
                <w:rFonts w:hint="default" w:ascii="仿宋_GB2312" w:hAnsi="宋体" w:eastAsia="仿宋_GB2312" w:cs="仿宋_GB2312"/>
                <w:i w:val="0"/>
                <w:iCs w:val="0"/>
                <w:color w:val="000000"/>
                <w:kern w:val="0"/>
                <w:sz w:val="22"/>
                <w:szCs w:val="22"/>
                <w:u w:val="none"/>
                <w:lang w:val="en-US" w:eastAsia="zh-CN" w:bidi="ar"/>
              </w:rPr>
              <w:t>3</w:t>
            </w:r>
            <w:r>
              <w:rPr>
                <w:rFonts w:hint="eastAsia" w:ascii="仿宋_GB2312" w:hAnsi="宋体" w:eastAsia="仿宋_GB2312" w:cs="仿宋_GB2312"/>
                <w:i w:val="0"/>
                <w:iCs w:val="0"/>
                <w:color w:val="000000"/>
                <w:kern w:val="0"/>
                <w:sz w:val="22"/>
                <w:szCs w:val="22"/>
                <w:u w:val="none"/>
                <w:lang w:val="en-US" w:eastAsia="zh-CN" w:bidi="ar"/>
              </w:rPr>
              <w:t>日</w:t>
            </w:r>
            <w:r>
              <w:rPr>
                <w:rFonts w:hint="default" w:ascii="仿宋_GB2312" w:hAnsi="宋体" w:eastAsia="仿宋_GB2312" w:cs="仿宋_GB2312"/>
                <w:i w:val="0"/>
                <w:iCs w:val="0"/>
                <w:color w:val="000000"/>
                <w:kern w:val="0"/>
                <w:sz w:val="22"/>
                <w:szCs w:val="22"/>
                <w:u w:val="none"/>
                <w:lang w:val="en-US" w:eastAsia="zh-CN" w:bidi="ar"/>
              </w:rPr>
              <w:t>沙湾市</w:t>
            </w:r>
            <w:r>
              <w:rPr>
                <w:rFonts w:hint="eastAsia" w:ascii="仿宋_GB2312" w:hAnsi="宋体" w:eastAsia="仿宋_GB2312" w:cs="仿宋_GB2312"/>
                <w:i w:val="0"/>
                <w:iCs w:val="0"/>
                <w:color w:val="000000"/>
                <w:kern w:val="0"/>
                <w:sz w:val="22"/>
                <w:szCs w:val="22"/>
                <w:u w:val="none"/>
                <w:lang w:val="en-US" w:eastAsia="zh-CN" w:bidi="ar"/>
              </w:rPr>
              <w:t>发改委同意立项，2023年10月进行实施方案制定，</w:t>
            </w:r>
            <w:r>
              <w:rPr>
                <w:rFonts w:hint="default" w:ascii="仿宋_GB2312" w:hAnsi="宋体" w:eastAsia="仿宋_GB2312" w:cs="仿宋_GB2312"/>
                <w:i w:val="0"/>
                <w:iCs w:val="0"/>
                <w:color w:val="000000"/>
                <w:kern w:val="0"/>
                <w:sz w:val="22"/>
                <w:szCs w:val="22"/>
                <w:u w:val="none"/>
                <w:lang w:val="en-US" w:eastAsia="zh-CN" w:bidi="ar"/>
              </w:rPr>
              <w:t>根据评分标准，</w:t>
            </w:r>
            <w:r>
              <w:rPr>
                <w:rFonts w:hint="eastAsia" w:ascii="仿宋_GB2312" w:hAnsi="宋体" w:eastAsia="仿宋_GB2312" w:cs="仿宋_GB2312"/>
                <w:i w:val="0"/>
                <w:iCs w:val="0"/>
                <w:color w:val="000000"/>
                <w:kern w:val="0"/>
                <w:sz w:val="22"/>
                <w:szCs w:val="22"/>
                <w:u w:val="none"/>
                <w:lang w:val="en-US" w:eastAsia="zh-CN" w:bidi="ar"/>
              </w:rPr>
              <w:t>本条</w:t>
            </w:r>
            <w:r>
              <w:rPr>
                <w:rFonts w:hint="default" w:ascii="仿宋_GB2312" w:hAnsi="宋体" w:eastAsia="仿宋_GB2312" w:cs="仿宋_GB2312"/>
                <w:i w:val="0"/>
                <w:iCs w:val="0"/>
                <w:color w:val="000000"/>
                <w:kern w:val="0"/>
                <w:sz w:val="22"/>
                <w:szCs w:val="22"/>
                <w:u w:val="none"/>
                <w:lang w:val="en-US" w:eastAsia="zh-CN" w:bidi="ar"/>
              </w:rPr>
              <w:t>指标满分为</w:t>
            </w:r>
            <w:r>
              <w:rPr>
                <w:rFonts w:hint="eastAsia" w:ascii="仿宋_GB2312" w:hAnsi="宋体" w:eastAsia="仿宋_GB2312" w:cs="仿宋_GB2312"/>
                <w:i w:val="0"/>
                <w:iCs w:val="0"/>
                <w:color w:val="000000"/>
                <w:kern w:val="0"/>
                <w:sz w:val="22"/>
                <w:szCs w:val="22"/>
                <w:u w:val="none"/>
                <w:lang w:val="en-US" w:eastAsia="zh-CN" w:bidi="ar"/>
              </w:rPr>
              <w:t>3</w:t>
            </w:r>
            <w:r>
              <w:rPr>
                <w:rFonts w:hint="default" w:ascii="仿宋_GB2312" w:hAnsi="宋体" w:eastAsia="仿宋_GB2312" w:cs="仿宋_GB2312"/>
                <w:i w:val="0"/>
                <w:iCs w:val="0"/>
                <w:color w:val="000000"/>
                <w:kern w:val="0"/>
                <w:sz w:val="22"/>
                <w:szCs w:val="22"/>
                <w:u w:val="none"/>
                <w:lang w:val="en-US" w:eastAsia="zh-CN" w:bidi="ar"/>
              </w:rPr>
              <w:t>分，得分</w:t>
            </w:r>
            <w:r>
              <w:rPr>
                <w:rFonts w:hint="eastAsia" w:ascii="仿宋_GB2312" w:hAnsi="宋体" w:eastAsia="仿宋_GB2312" w:cs="仿宋_GB2312"/>
                <w:i w:val="0"/>
                <w:iCs w:val="0"/>
                <w:color w:val="000000"/>
                <w:kern w:val="0"/>
                <w:sz w:val="22"/>
                <w:szCs w:val="22"/>
                <w:u w:val="none"/>
                <w:lang w:val="en-US" w:eastAsia="zh-CN" w:bidi="ar"/>
              </w:rPr>
              <w:t>3</w:t>
            </w:r>
            <w:r>
              <w:rPr>
                <w:rFonts w:hint="default" w:ascii="仿宋_GB2312" w:hAnsi="宋体" w:eastAsia="仿宋_GB2312" w:cs="仿宋_GB2312"/>
                <w:i w:val="0"/>
                <w:iCs w:val="0"/>
                <w:color w:val="000000"/>
                <w:kern w:val="0"/>
                <w:sz w:val="22"/>
                <w:szCs w:val="22"/>
                <w:u w:val="none"/>
                <w:lang w:val="en-US" w:eastAsia="zh-CN" w:bidi="ar"/>
              </w:rPr>
              <w:t>分</w:t>
            </w:r>
            <w:r>
              <w:rPr>
                <w:rFonts w:hint="eastAsia" w:ascii="仿宋_GB2312" w:hAnsi="宋体" w:eastAsia="仿宋_GB2312" w:cs="仿宋_GB2312"/>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102</w:t>
            </w:r>
            <w:r>
              <w:rPr>
                <w:rStyle w:val="36"/>
                <w:rFonts w:hAnsi="宋体"/>
                <w:lang w:val="en-US" w:eastAsia="zh-CN" w:bidi="ar"/>
              </w:rPr>
              <w:t xml:space="preserve"> 项目成熟度</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项目前期勘察、设计、环评、开工许可等实施准备程序的合法合规和充分情况，用以反映和考核项目实施前的成熟度情况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充分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项目勘察、设计、环评、开工许可等前期工作程序履行是否完整；勘察、设计、环评、</w:t>
            </w:r>
            <w:r>
              <w:rPr>
                <w:rFonts w:hint="eastAsia" w:ascii="仿宋_GB2312" w:hAnsi="宋体" w:eastAsia="仿宋_GB2312" w:cs="仿宋_GB2312"/>
                <w:i w:val="0"/>
                <w:iCs w:val="0"/>
                <w:color w:val="000000"/>
                <w:kern w:val="0"/>
                <w:sz w:val="22"/>
                <w:szCs w:val="22"/>
                <w:u w:val="none"/>
                <w:lang w:val="en-US" w:eastAsia="zh-CN" w:bidi="ar"/>
              </w:rPr>
              <w:t>施工许可</w:t>
            </w:r>
            <w:r>
              <w:rPr>
                <w:rFonts w:hint="default" w:ascii="仿宋_GB2312" w:hAnsi="宋体" w:eastAsia="仿宋_GB2312" w:cs="仿宋_GB2312"/>
                <w:i w:val="0"/>
                <w:iCs w:val="0"/>
                <w:color w:val="000000"/>
                <w:kern w:val="0"/>
                <w:sz w:val="22"/>
                <w:szCs w:val="22"/>
                <w:u w:val="none"/>
                <w:lang w:val="en-US" w:eastAsia="zh-CN" w:bidi="ar"/>
              </w:rPr>
              <w:t>，以上4项各占1/4权重分，符合则得对应分值。</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highlight w:val="none"/>
                <w:u w:val="none"/>
                <w:lang w:val="en-US" w:eastAsia="zh-CN" w:bidi="ar"/>
              </w:rPr>
              <w:t>1.检查该项目前期</w:t>
            </w:r>
            <w:r>
              <w:rPr>
                <w:rFonts w:hint="default" w:ascii="仿宋_GB2312" w:hAnsi="宋体" w:eastAsia="仿宋_GB2312" w:cs="仿宋_GB2312"/>
                <w:i w:val="0"/>
                <w:iCs w:val="0"/>
                <w:color w:val="000000"/>
                <w:kern w:val="0"/>
                <w:sz w:val="22"/>
                <w:szCs w:val="22"/>
                <w:u w:val="none"/>
                <w:lang w:val="en-US" w:eastAsia="zh-CN" w:bidi="ar"/>
              </w:rPr>
              <w:t>项目勘察、设计、环评、开工许可</w:t>
            </w:r>
            <w:r>
              <w:rPr>
                <w:rFonts w:hint="eastAsia" w:ascii="仿宋_GB2312" w:hAnsi="宋体" w:eastAsia="仿宋_GB2312" w:cs="仿宋_GB2312"/>
                <w:i w:val="0"/>
                <w:iCs w:val="0"/>
                <w:color w:val="000000"/>
                <w:kern w:val="0"/>
                <w:sz w:val="22"/>
                <w:szCs w:val="22"/>
                <w:u w:val="none"/>
                <w:lang w:val="en-US" w:eastAsia="zh-CN" w:bidi="ar"/>
              </w:rPr>
              <w:t>证</w:t>
            </w:r>
            <w:r>
              <w:rPr>
                <w:rFonts w:hint="default" w:ascii="仿宋_GB2312" w:hAnsi="宋体" w:eastAsia="仿宋_GB2312" w:cs="仿宋_GB2312"/>
                <w:i w:val="0"/>
                <w:iCs w:val="0"/>
                <w:color w:val="000000"/>
                <w:kern w:val="0"/>
                <w:sz w:val="22"/>
                <w:szCs w:val="22"/>
                <w:u w:val="none"/>
                <w:lang w:val="en-US" w:eastAsia="zh-CN" w:bidi="ar"/>
              </w:rPr>
              <w:t>等</w:t>
            </w:r>
            <w:r>
              <w:rPr>
                <w:rFonts w:hint="eastAsia" w:ascii="仿宋_GB2312" w:hAnsi="宋体" w:eastAsia="仿宋_GB2312" w:cs="仿宋_GB2312"/>
                <w:i w:val="0"/>
                <w:iCs w:val="0"/>
                <w:color w:val="000000"/>
                <w:kern w:val="0"/>
                <w:sz w:val="22"/>
                <w:szCs w:val="22"/>
                <w:u w:val="none"/>
                <w:lang w:val="en-US" w:eastAsia="zh-CN" w:bidi="ar"/>
              </w:rPr>
              <w:t>相关手续；手续齐全，</w:t>
            </w:r>
            <w:r>
              <w:rPr>
                <w:rFonts w:hint="default" w:ascii="仿宋_GB2312" w:hAnsi="宋体" w:eastAsia="仿宋_GB2312" w:cs="仿宋_GB2312"/>
                <w:i w:val="0"/>
                <w:iCs w:val="0"/>
                <w:color w:val="000000"/>
                <w:kern w:val="0"/>
                <w:sz w:val="22"/>
                <w:szCs w:val="22"/>
                <w:u w:val="none"/>
                <w:lang w:val="en-US" w:eastAsia="zh-CN" w:bidi="ar"/>
              </w:rPr>
              <w:t>以上4项各占1/4权重分，符合则得</w:t>
            </w:r>
            <w:r>
              <w:rPr>
                <w:rFonts w:hint="eastAsia" w:ascii="仿宋_GB2312" w:hAnsi="宋体" w:eastAsia="仿宋_GB2312" w:cs="仿宋_GB2312"/>
                <w:i w:val="0"/>
                <w:iCs w:val="0"/>
                <w:color w:val="000000"/>
                <w:kern w:val="0"/>
                <w:sz w:val="22"/>
                <w:szCs w:val="22"/>
                <w:u w:val="none"/>
                <w:lang w:val="en-US" w:eastAsia="zh-CN" w:bidi="ar"/>
              </w:rPr>
              <w:t>3分</w:t>
            </w:r>
            <w:r>
              <w:rPr>
                <w:rFonts w:hint="default" w:ascii="仿宋_GB2312" w:hAnsi="宋体" w:eastAsia="仿宋_GB2312" w:cs="仿宋_GB2312"/>
                <w:i w:val="0"/>
                <w:iCs w:val="0"/>
                <w:color w:val="000000"/>
                <w:kern w:val="0"/>
                <w:sz w:val="22"/>
                <w:szCs w:val="22"/>
                <w:u w:val="none"/>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2</w:t>
            </w:r>
            <w:r>
              <w:rPr>
                <w:rStyle w:val="36"/>
                <w:rFonts w:hAnsi="宋体"/>
                <w:lang w:val="en-US" w:eastAsia="zh-CN" w:bidi="ar"/>
              </w:rPr>
              <w:t xml:space="preserve"> 绩效目标（6）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201</w:t>
            </w:r>
            <w:r>
              <w:rPr>
                <w:rStyle w:val="36"/>
                <w:rFonts w:hAnsi="宋体"/>
                <w:lang w:val="en-US" w:eastAsia="zh-CN" w:bidi="ar"/>
              </w:rPr>
              <w:t xml:space="preserve"> 绩效目标合理性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项目所设定的绩效目标是否依据充分，是否符合客观实际，用以反映和考核项目绩效目标与项目实施的相符情况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int="eastAsia" w:hAnsi="宋体"/>
                <w:lang w:val="en-US" w:eastAsia="zh-CN" w:bidi="ar"/>
              </w:rPr>
              <w:t>不完全</w:t>
            </w:r>
            <w:r>
              <w:rPr>
                <w:rStyle w:val="36"/>
                <w:rFonts w:hAnsi="宋体"/>
                <w:lang w:val="en-US" w:eastAsia="zh-CN" w:bidi="ar"/>
              </w:rPr>
              <w:t>合理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①项目是否有绩效目标；②项目绩效目标与实际工作内容是否具有相关性；③项目预期产出效益和效果是否符合正常的业绩水平；④是否与预算确定的项目投资额或资金量相匹配，以上4项各占1/4权重分，符合则得对应分值。</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default" w:ascii="仿宋_GB2312" w:hAnsi="宋体" w:eastAsia="仿宋_GB2312" w:cs="仿宋_GB2312"/>
                <w:i w:val="0"/>
                <w:iCs w:val="0"/>
                <w:color w:val="000000"/>
                <w:kern w:val="0"/>
                <w:sz w:val="22"/>
                <w:szCs w:val="22"/>
                <w:u w:val="none"/>
                <w:lang w:val="en-US" w:eastAsia="zh-CN" w:bidi="ar"/>
              </w:rPr>
              <w:t>根据评价组实地调研时查看的单位绩效管理系统填报情况及单位提供的资料分析，</w:t>
            </w:r>
            <w:r>
              <w:rPr>
                <w:rFonts w:hint="eastAsia" w:ascii="仿宋_GB2312" w:hAnsi="宋体" w:eastAsia="仿宋_GB2312" w:cs="仿宋_GB2312"/>
                <w:i w:val="0"/>
                <w:iCs w:val="0"/>
                <w:color w:val="000000"/>
                <w:kern w:val="0"/>
                <w:sz w:val="22"/>
                <w:szCs w:val="22"/>
                <w:u w:val="none"/>
                <w:lang w:val="en-US" w:eastAsia="zh-CN" w:bidi="ar"/>
              </w:rPr>
              <w:t>经查证《绩效目标申报表》、沙湾市智慧交通信息化升级改造工程项目明细账，实际支出5000万元，可知项目有绩效目标；项目支出绩效目标申报表均明确了项目的产出和效益目标，目标围绕项目建设内容和效果设置，预期产出效益和效果符合项目设计水平。但是满意度指标设置有误。本条指标满分为3分，得分2分。</w:t>
            </w:r>
          </w:p>
          <w:p>
            <w:pPr>
              <w:widowControl/>
              <w:jc w:val="left"/>
              <w:textAlignment w:val="center"/>
              <w:rPr>
                <w:rFonts w:ascii="Times New Roman" w:hAnsi="Times New Roman" w:cs="Times New Roman"/>
                <w:kern w:val="0"/>
                <w:sz w:val="22"/>
                <w:highlight w:val="none"/>
              </w:rPr>
            </w:pP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yellow"/>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202</w:t>
            </w:r>
            <w:r>
              <w:rPr>
                <w:rStyle w:val="36"/>
                <w:rFonts w:hAnsi="宋体"/>
                <w:lang w:val="en-US" w:eastAsia="zh-CN" w:bidi="ar"/>
              </w:rPr>
              <w:t xml:space="preserve"> 绩效指标明确性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依据绩效目标设定的绩效指标是否清晰、细化、可衡量等，用以反映和考核项目绩效目标</w:t>
            </w:r>
            <w:r>
              <w:rPr>
                <w:rStyle w:val="36"/>
                <w:rFonts w:hint="eastAsia" w:hAnsi="宋体"/>
                <w:lang w:val="en-US" w:eastAsia="zh-CN" w:bidi="ar"/>
              </w:rPr>
              <w:t>的</w:t>
            </w:r>
            <w:r>
              <w:rPr>
                <w:rStyle w:val="36"/>
                <w:rFonts w:hAnsi="宋体"/>
                <w:lang w:val="en-US" w:eastAsia="zh-CN" w:bidi="ar"/>
              </w:rPr>
              <w:t>细化情况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明晰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①是否将项目绩效目标细化分解为具体的绩效指标；②是否通过清晰、可衡量的指标值予以体现；③是否与项目目标任务数或计划数相对应，每项权重</w:t>
            </w:r>
            <w:r>
              <w:rPr>
                <w:rFonts w:hint="default" w:ascii="Times New Roman" w:hAnsi="Times New Roman" w:eastAsia="仿宋_GB2312" w:cs="Times New Roman"/>
                <w:i w:val="0"/>
                <w:iCs w:val="0"/>
                <w:color w:val="000000"/>
                <w:kern w:val="0"/>
                <w:sz w:val="22"/>
                <w:szCs w:val="22"/>
                <w:u w:val="none"/>
                <w:lang w:val="en-US" w:eastAsia="zh-CN" w:bidi="ar"/>
              </w:rPr>
              <w:t>1</w:t>
            </w:r>
            <w:r>
              <w:rPr>
                <w:rStyle w:val="36"/>
                <w:rFonts w:hAnsi="宋体"/>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3</w:t>
            </w:r>
            <w:r>
              <w:rPr>
                <w:rStyle w:val="36"/>
                <w:rFonts w:hAnsi="宋体"/>
                <w:lang w:val="en-US" w:eastAsia="zh-CN" w:bidi="ar"/>
              </w:rPr>
              <w:t>，符合则得对应分值。</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6"/>
                <w:rFonts w:hint="eastAsia" w:hAnsi="宋体"/>
                <w:lang w:val="en-US" w:eastAsia="zh-CN" w:bidi="ar"/>
              </w:rPr>
            </w:pPr>
            <w:r>
              <w:rPr>
                <w:rStyle w:val="36"/>
                <w:rFonts w:hint="eastAsia" w:hAnsi="宋体"/>
                <w:lang w:val="en-US" w:eastAsia="zh-CN" w:bidi="ar"/>
              </w:rPr>
              <w:t xml:space="preserve">   经查证沙湾市智慧交通信息化升级改造工程项目《绩效目标申报表》，可知绩效目标设置了7条三级指标，对项目的任务进行了细化分解；指标量化率为71.4%，达到《自治区项目支出绩效目标设置指引》70%的要求；项目实施方案建设内容与目标计划数相对应，根据评分标准，本条指标满分为3分，得分3分。</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3</w:t>
            </w:r>
            <w:r>
              <w:rPr>
                <w:rStyle w:val="36"/>
                <w:rFonts w:hAnsi="宋体"/>
                <w:lang w:val="en-US" w:eastAsia="zh-CN" w:bidi="ar"/>
              </w:rPr>
              <w:t xml:space="preserve"> 资金投入（3）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A</w:t>
            </w:r>
            <w:r>
              <w:rPr>
                <w:rFonts w:hint="default" w:ascii="Times New Roman" w:hAnsi="Times New Roman" w:eastAsia="仿宋_GB2312" w:cs="Times New Roman"/>
                <w:i w:val="0"/>
                <w:iCs w:val="0"/>
                <w:color w:val="000000"/>
                <w:kern w:val="0"/>
                <w:sz w:val="22"/>
                <w:szCs w:val="22"/>
                <w:u w:val="none"/>
                <w:lang w:val="en-US" w:eastAsia="zh-CN" w:bidi="ar"/>
              </w:rPr>
              <w:t>301</w:t>
            </w:r>
            <w:r>
              <w:rPr>
                <w:rStyle w:val="36"/>
                <w:rFonts w:hAnsi="宋体"/>
                <w:lang w:val="en-US" w:eastAsia="zh-CN" w:bidi="ar"/>
              </w:rPr>
              <w:t xml:space="preserve"> 预算编制科学性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项目预算编制是否经过科学论证、有明确标准，资金额度与年度目标是否相适应，用以反映和考核项目预算编制的科学性、合理性情况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科学</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①预算编制是否经过科学论证，满足条件得1分；②预算内容与项目内容是否匹配；在①满足的基础上，②满足得2分，否则不得分。</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沙湾市智慧交通信息化升级改造项目预算编制经过科学论证、具有明确标准，资金额度与年度目标相适应，以反映和考核项目预算编制的科学性、合理性情况。</w:t>
            </w:r>
            <w:r>
              <w:rPr>
                <w:rFonts w:hint="default" w:ascii="仿宋_GB2312" w:hAnsi="宋体" w:eastAsia="仿宋_GB2312" w:cs="仿宋_GB2312"/>
                <w:i w:val="0"/>
                <w:iCs w:val="0"/>
                <w:color w:val="000000"/>
                <w:kern w:val="0"/>
                <w:sz w:val="22"/>
                <w:szCs w:val="22"/>
                <w:u w:val="none"/>
                <w:lang w:val="en-US" w:eastAsia="zh-CN" w:bidi="ar"/>
              </w:rPr>
              <w:t>根据评分标准，</w:t>
            </w:r>
            <w:r>
              <w:rPr>
                <w:rFonts w:hint="eastAsia" w:ascii="仿宋_GB2312" w:hAnsi="宋体" w:eastAsia="仿宋_GB2312" w:cs="仿宋_GB2312"/>
                <w:i w:val="0"/>
                <w:iCs w:val="0"/>
                <w:color w:val="000000"/>
                <w:kern w:val="0"/>
                <w:sz w:val="22"/>
                <w:szCs w:val="22"/>
                <w:u w:val="none"/>
                <w:lang w:val="en-US" w:eastAsia="zh-CN" w:bidi="ar"/>
              </w:rPr>
              <w:t>本条</w:t>
            </w:r>
            <w:r>
              <w:rPr>
                <w:rFonts w:hint="default" w:ascii="仿宋_GB2312" w:hAnsi="宋体" w:eastAsia="仿宋_GB2312" w:cs="仿宋_GB2312"/>
                <w:i w:val="0"/>
                <w:iCs w:val="0"/>
                <w:color w:val="000000"/>
                <w:kern w:val="0"/>
                <w:sz w:val="22"/>
                <w:szCs w:val="22"/>
                <w:u w:val="none"/>
                <w:lang w:val="en-US" w:eastAsia="zh-CN" w:bidi="ar"/>
              </w:rPr>
              <w:t>指标满分为</w:t>
            </w:r>
            <w:r>
              <w:rPr>
                <w:rFonts w:hint="eastAsia" w:ascii="仿宋_GB2312" w:hAnsi="宋体" w:eastAsia="仿宋_GB2312" w:cs="仿宋_GB2312"/>
                <w:i w:val="0"/>
                <w:iCs w:val="0"/>
                <w:color w:val="000000"/>
                <w:kern w:val="0"/>
                <w:sz w:val="22"/>
                <w:szCs w:val="22"/>
                <w:u w:val="none"/>
                <w:lang w:val="en-US" w:eastAsia="zh-CN" w:bidi="ar"/>
              </w:rPr>
              <w:t>3</w:t>
            </w:r>
            <w:r>
              <w:rPr>
                <w:rFonts w:hint="default" w:ascii="仿宋_GB2312" w:hAnsi="宋体" w:eastAsia="仿宋_GB2312" w:cs="仿宋_GB2312"/>
                <w:i w:val="0"/>
                <w:iCs w:val="0"/>
                <w:color w:val="000000"/>
                <w:kern w:val="0"/>
                <w:sz w:val="22"/>
                <w:szCs w:val="22"/>
                <w:u w:val="none"/>
                <w:lang w:val="en-US" w:eastAsia="zh-CN" w:bidi="ar"/>
              </w:rPr>
              <w:t>分，得分</w:t>
            </w:r>
            <w:r>
              <w:rPr>
                <w:rFonts w:hint="eastAsia" w:ascii="仿宋_GB2312" w:hAnsi="宋体" w:eastAsia="仿宋_GB2312" w:cs="仿宋_GB2312"/>
                <w:i w:val="0"/>
                <w:iCs w:val="0"/>
                <w:color w:val="000000"/>
                <w:kern w:val="0"/>
                <w:sz w:val="22"/>
                <w:szCs w:val="22"/>
                <w:u w:val="none"/>
                <w:lang w:val="en-US" w:eastAsia="zh-CN" w:bidi="ar"/>
              </w:rPr>
              <w:t>3</w:t>
            </w:r>
            <w:r>
              <w:rPr>
                <w:rFonts w:hint="default" w:ascii="仿宋_GB2312" w:hAnsi="宋体" w:eastAsia="仿宋_GB2312" w:cs="仿宋_GB2312"/>
                <w:i w:val="0"/>
                <w:iCs w:val="0"/>
                <w:color w:val="000000"/>
                <w:kern w:val="0"/>
                <w:sz w:val="22"/>
                <w:szCs w:val="22"/>
                <w:u w:val="none"/>
                <w:lang w:val="en-US" w:eastAsia="zh-CN" w:bidi="ar"/>
              </w:rPr>
              <w:t>分</w:t>
            </w:r>
            <w:r>
              <w:rPr>
                <w:rFonts w:hint="eastAsia" w:ascii="仿宋_GB2312" w:hAnsi="宋体" w:eastAsia="仿宋_GB2312" w:cs="仿宋_GB2312"/>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blHeader/>
        </w:trPr>
        <w:tc>
          <w:tcPr>
            <w:tcW w:w="796"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B 过程</w:t>
            </w:r>
            <w:r>
              <w:rPr>
                <w:rFonts w:hint="eastAsia" w:ascii="仿宋_GB2312" w:hAnsi="宋体" w:eastAsia="仿宋_GB2312" w:cs="仿宋_GB2312"/>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24</w:t>
            </w:r>
            <w:r>
              <w:rPr>
                <w:rFonts w:hint="eastAsia" w:ascii="Times New Roman" w:hAnsi="Times New Roman" w:eastAsia="仿宋_GB2312" w:cs="Times New Roman"/>
                <w:i w:val="0"/>
                <w:iCs w:val="0"/>
                <w:color w:val="000000"/>
                <w:kern w:val="0"/>
                <w:sz w:val="22"/>
                <w:szCs w:val="22"/>
                <w:u w:val="none"/>
                <w:lang w:val="en-US" w:eastAsia="zh-CN" w:bidi="ar"/>
              </w:rPr>
              <w:t>）</w:t>
            </w:r>
          </w:p>
        </w:tc>
        <w:tc>
          <w:tcPr>
            <w:tcW w:w="8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B</w:t>
            </w:r>
            <w:r>
              <w:rPr>
                <w:rFonts w:hint="default" w:ascii="Times New Roman" w:hAnsi="Times New Roman" w:eastAsia="仿宋_GB2312" w:cs="Times New Roman"/>
                <w:i w:val="0"/>
                <w:iCs w:val="0"/>
                <w:color w:val="000000"/>
                <w:kern w:val="0"/>
                <w:sz w:val="22"/>
                <w:szCs w:val="22"/>
                <w:u w:val="none"/>
                <w:lang w:val="en-US" w:eastAsia="zh-CN" w:bidi="ar"/>
              </w:rPr>
              <w:t>1</w:t>
            </w:r>
            <w:r>
              <w:rPr>
                <w:rStyle w:val="36"/>
                <w:rFonts w:hAnsi="宋体"/>
                <w:lang w:val="en-US" w:eastAsia="zh-CN" w:bidi="ar"/>
              </w:rPr>
              <w:t xml:space="preserve"> 资金管理</w:t>
            </w:r>
            <w:r>
              <w:rPr>
                <w:rStyle w:val="36"/>
                <w:rFonts w:hint="eastAsia" w:hAnsi="宋体"/>
                <w:lang w:val="en-US" w:eastAsia="zh-CN" w:bidi="ar"/>
              </w:rPr>
              <w:t>（</w:t>
            </w:r>
            <w:r>
              <w:rPr>
                <w:rStyle w:val="36"/>
                <w:rFonts w:hAnsi="宋体"/>
                <w:lang w:val="en-US" w:eastAsia="zh-CN" w:bidi="ar"/>
              </w:rPr>
              <w:t>10</w:t>
            </w:r>
            <w:r>
              <w:rPr>
                <w:rStyle w:val="36"/>
                <w:rFonts w:hint="eastAsia" w:hAnsi="宋体"/>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B</w:t>
            </w:r>
            <w:r>
              <w:rPr>
                <w:rFonts w:hint="default" w:ascii="Times New Roman" w:hAnsi="Times New Roman" w:eastAsia="仿宋_GB2312" w:cs="Times New Roman"/>
                <w:i w:val="0"/>
                <w:iCs w:val="0"/>
                <w:color w:val="000000"/>
                <w:kern w:val="0"/>
                <w:sz w:val="22"/>
                <w:szCs w:val="22"/>
                <w:u w:val="none"/>
                <w:lang w:val="en-US" w:eastAsia="zh-CN" w:bidi="ar"/>
              </w:rPr>
              <w:t>101</w:t>
            </w:r>
            <w:r>
              <w:rPr>
                <w:rFonts w:hint="eastAsia" w:ascii="Times New Roman" w:hAnsi="Times New Roman" w:eastAsia="仿宋_GB2312" w:cs="Times New Roman"/>
                <w:i w:val="0"/>
                <w:iCs w:val="0"/>
                <w:color w:val="000000"/>
                <w:kern w:val="0"/>
                <w:sz w:val="22"/>
                <w:szCs w:val="22"/>
                <w:u w:val="none"/>
                <w:lang w:val="en-US" w:eastAsia="zh-CN" w:bidi="ar"/>
              </w:rPr>
              <w:t>资金</w:t>
            </w:r>
            <w:r>
              <w:rPr>
                <w:rStyle w:val="36"/>
                <w:rFonts w:hAnsi="宋体"/>
                <w:lang w:val="en-US" w:eastAsia="zh-CN" w:bidi="ar"/>
              </w:rPr>
              <w:t>规模合理性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项目申请</w:t>
            </w:r>
            <w:r>
              <w:rPr>
                <w:rStyle w:val="36"/>
                <w:rFonts w:hint="eastAsia" w:hAnsi="宋体"/>
                <w:lang w:val="en-US" w:eastAsia="zh-CN" w:bidi="ar"/>
              </w:rPr>
              <w:t>资金</w:t>
            </w:r>
            <w:r>
              <w:rPr>
                <w:rStyle w:val="36"/>
                <w:rFonts w:hAnsi="宋体"/>
                <w:lang w:val="en-US" w:eastAsia="zh-CN" w:bidi="ar"/>
              </w:rPr>
              <w:t>额度与实际需要匹配情况，用以反映或考核资金规模的合理性</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6"/>
                <w:rFonts w:hAnsi="宋体"/>
                <w:lang w:val="en-US" w:eastAsia="zh-CN" w:bidi="ar"/>
              </w:rPr>
              <w:t>合理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①</w:t>
            </w:r>
            <w:r>
              <w:rPr>
                <w:rFonts w:hint="eastAsia" w:ascii="仿宋_GB2312" w:hAnsi="宋体" w:eastAsia="仿宋_GB2312" w:cs="仿宋_GB2312"/>
                <w:i w:val="0"/>
                <w:iCs w:val="0"/>
                <w:color w:val="000000"/>
                <w:kern w:val="0"/>
                <w:sz w:val="22"/>
                <w:szCs w:val="22"/>
                <w:u w:val="none"/>
                <w:lang w:val="en-US" w:eastAsia="zh-CN" w:bidi="ar"/>
              </w:rPr>
              <w:t>资金</w:t>
            </w:r>
            <w:r>
              <w:rPr>
                <w:rFonts w:hint="default" w:ascii="仿宋_GB2312" w:hAnsi="宋体" w:eastAsia="仿宋_GB2312" w:cs="仿宋_GB2312"/>
                <w:i w:val="0"/>
                <w:iCs w:val="0"/>
                <w:color w:val="000000"/>
                <w:kern w:val="0"/>
                <w:sz w:val="22"/>
                <w:szCs w:val="22"/>
                <w:u w:val="none"/>
                <w:lang w:val="en-US" w:eastAsia="zh-CN" w:bidi="ar"/>
              </w:rPr>
              <w:t>规模和项目当期实际资金需求匹配；②</w:t>
            </w:r>
            <w:r>
              <w:rPr>
                <w:rFonts w:hint="eastAsia" w:ascii="仿宋_GB2312" w:hAnsi="宋体" w:eastAsia="仿宋_GB2312" w:cs="仿宋_GB2312"/>
                <w:i w:val="0"/>
                <w:iCs w:val="0"/>
                <w:color w:val="000000"/>
                <w:kern w:val="0"/>
                <w:sz w:val="22"/>
                <w:szCs w:val="22"/>
                <w:u w:val="none"/>
                <w:lang w:val="en-US" w:eastAsia="zh-CN" w:bidi="ar"/>
              </w:rPr>
              <w:t>资金下拨</w:t>
            </w:r>
            <w:r>
              <w:rPr>
                <w:rFonts w:hint="default" w:ascii="仿宋_GB2312" w:hAnsi="宋体" w:eastAsia="仿宋_GB2312" w:cs="仿宋_GB2312"/>
                <w:i w:val="0"/>
                <w:iCs w:val="0"/>
                <w:color w:val="000000"/>
                <w:kern w:val="0"/>
                <w:sz w:val="22"/>
                <w:szCs w:val="22"/>
                <w:u w:val="none"/>
                <w:lang w:val="en-US" w:eastAsia="zh-CN" w:bidi="ar"/>
              </w:rPr>
              <w:t>批次和</w:t>
            </w:r>
            <w:r>
              <w:rPr>
                <w:rFonts w:hint="eastAsia" w:ascii="仿宋_GB2312" w:hAnsi="宋体" w:eastAsia="仿宋_GB2312" w:cs="仿宋_GB2312"/>
                <w:i w:val="0"/>
                <w:iCs w:val="0"/>
                <w:color w:val="000000"/>
                <w:kern w:val="0"/>
                <w:sz w:val="22"/>
                <w:szCs w:val="22"/>
                <w:u w:val="none"/>
                <w:lang w:val="en-US" w:eastAsia="zh-CN" w:bidi="ar"/>
              </w:rPr>
              <w:t>专项</w:t>
            </w:r>
            <w:r>
              <w:rPr>
                <w:rFonts w:hint="default" w:ascii="仿宋_GB2312" w:hAnsi="宋体" w:eastAsia="仿宋_GB2312" w:cs="仿宋_GB2312"/>
                <w:i w:val="0"/>
                <w:iCs w:val="0"/>
                <w:color w:val="000000"/>
                <w:kern w:val="0"/>
                <w:sz w:val="22"/>
                <w:szCs w:val="22"/>
                <w:u w:val="none"/>
                <w:lang w:val="en-US" w:eastAsia="zh-CN" w:bidi="ar"/>
              </w:rPr>
              <w:t>项目分年投资计划匹配；在①满足的基础上，②满足得1分，否则不得分。</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    根据《关于对沙湾市智慧交通信息化升级改造工程可行性研究报告（代项目建议书）的批复》（沙发改字〔2023〕245号文），项目总投资5804.18万元，资金来源为申请地方政府专项资金及地方配套资金，资金下达文件中显示，专项资金2024年到位5000万元，资金规模和当期实际资金需求匹配；根据沙湾市公安局设立的绩效目标该项目需要专项资金5000万元，资金下拨批次和专项项目年度投资计划匹配。根据评分标准，本条指标满分为2分，得分2分。</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blHeader/>
        </w:trPr>
        <w:tc>
          <w:tcPr>
            <w:tcW w:w="79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B</w:t>
            </w:r>
            <w:r>
              <w:rPr>
                <w:rFonts w:hint="default" w:ascii="Times New Roman" w:hAnsi="Times New Roman" w:eastAsia="仿宋_GB2312" w:cs="Times New Roman"/>
                <w:i w:val="0"/>
                <w:iCs w:val="0"/>
                <w:color w:val="000000"/>
                <w:kern w:val="0"/>
                <w:sz w:val="22"/>
                <w:szCs w:val="22"/>
                <w:u w:val="none"/>
                <w:lang w:val="en-US" w:eastAsia="zh-CN" w:bidi="ar"/>
              </w:rPr>
              <w:t>102</w:t>
            </w:r>
            <w:r>
              <w:rPr>
                <w:rStyle w:val="36"/>
                <w:rFonts w:hAnsi="宋体"/>
                <w:lang w:val="en-US" w:eastAsia="zh-CN" w:bidi="ar"/>
              </w:rPr>
              <w:t>资金到位率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项目实际到位资金与预算资金的比率，用以反映和考核资金落实情况对项目总体保障程度</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资金到位率=实际到位资金/预算资金×</w:t>
            </w:r>
            <w:r>
              <w:rPr>
                <w:rFonts w:hint="default" w:ascii="Times New Roman" w:hAnsi="Times New Roman" w:eastAsia="仿宋_GB2312" w:cs="Times New Roman"/>
                <w:i w:val="0"/>
                <w:iCs w:val="0"/>
                <w:color w:val="000000"/>
                <w:kern w:val="0"/>
                <w:sz w:val="22"/>
                <w:szCs w:val="22"/>
                <w:u w:val="none"/>
                <w:lang w:val="en-US" w:eastAsia="zh-CN" w:bidi="ar"/>
              </w:rPr>
              <w:t>100</w:t>
            </w:r>
            <w:r>
              <w:rPr>
                <w:rStyle w:val="36"/>
                <w:rFonts w:hAnsi="宋体"/>
                <w:lang w:val="en-US" w:eastAsia="zh-CN" w:bidi="ar"/>
              </w:rPr>
              <w:t>%，资金到位率达</w:t>
            </w:r>
            <w:r>
              <w:rPr>
                <w:rFonts w:hint="default" w:ascii="Times New Roman" w:hAnsi="Times New Roman" w:eastAsia="仿宋_GB2312" w:cs="Times New Roman"/>
                <w:i w:val="0"/>
                <w:iCs w:val="0"/>
                <w:color w:val="000000"/>
                <w:kern w:val="0"/>
                <w:sz w:val="22"/>
                <w:szCs w:val="22"/>
                <w:u w:val="none"/>
                <w:lang w:val="en-US" w:eastAsia="zh-CN" w:bidi="ar"/>
              </w:rPr>
              <w:t>100</w:t>
            </w:r>
            <w:r>
              <w:rPr>
                <w:rStyle w:val="36"/>
                <w:rFonts w:hAnsi="宋体"/>
                <w:lang w:val="en-US" w:eastAsia="zh-CN" w:bidi="ar"/>
              </w:rPr>
              <w:t>%，得满分，</w:t>
            </w:r>
            <w:r>
              <w:rPr>
                <w:rFonts w:hint="default" w:ascii="Times New Roman" w:hAnsi="Times New Roman" w:eastAsia="仿宋_GB2312" w:cs="Times New Roman"/>
                <w:i w:val="0"/>
                <w:iCs w:val="0"/>
                <w:color w:val="000000"/>
                <w:kern w:val="0"/>
                <w:sz w:val="22"/>
                <w:szCs w:val="22"/>
                <w:u w:val="none"/>
                <w:lang w:val="en-US" w:eastAsia="zh-CN" w:bidi="ar"/>
              </w:rPr>
              <w:t>90</w:t>
            </w:r>
            <w:r>
              <w:rPr>
                <w:rStyle w:val="36"/>
                <w:rFonts w:hAnsi="宋体"/>
                <w:lang w:val="en-US" w:eastAsia="zh-CN" w:bidi="ar"/>
              </w:rPr>
              <w:t>%≤预算执行率小于</w:t>
            </w:r>
            <w:r>
              <w:rPr>
                <w:rFonts w:hint="default" w:ascii="Times New Roman" w:hAnsi="Times New Roman" w:eastAsia="仿宋_GB2312" w:cs="Times New Roman"/>
                <w:i w:val="0"/>
                <w:iCs w:val="0"/>
                <w:color w:val="000000"/>
                <w:kern w:val="0"/>
                <w:sz w:val="22"/>
                <w:szCs w:val="22"/>
                <w:u w:val="none"/>
                <w:lang w:val="en-US" w:eastAsia="zh-CN" w:bidi="ar"/>
              </w:rPr>
              <w:t>100</w:t>
            </w:r>
            <w:r>
              <w:rPr>
                <w:rStyle w:val="36"/>
                <w:rFonts w:hAnsi="宋体"/>
                <w:lang w:val="en-US" w:eastAsia="zh-CN" w:bidi="ar"/>
              </w:rPr>
              <w:t>%，扣0.5分，</w:t>
            </w:r>
            <w:r>
              <w:rPr>
                <w:rFonts w:hint="default" w:ascii="Times New Roman" w:hAnsi="Times New Roman" w:eastAsia="仿宋_GB2312" w:cs="Times New Roman"/>
                <w:i w:val="0"/>
                <w:iCs w:val="0"/>
                <w:color w:val="000000"/>
                <w:kern w:val="0"/>
                <w:sz w:val="22"/>
                <w:szCs w:val="22"/>
                <w:u w:val="none"/>
                <w:lang w:val="en-US" w:eastAsia="zh-CN" w:bidi="ar"/>
              </w:rPr>
              <w:t>80</w:t>
            </w:r>
            <w:r>
              <w:rPr>
                <w:rStyle w:val="36"/>
                <w:rFonts w:hAnsi="宋体"/>
                <w:lang w:val="en-US" w:eastAsia="zh-CN" w:bidi="ar"/>
              </w:rPr>
              <w:t>%≤预算执行率小于</w:t>
            </w:r>
            <w:r>
              <w:rPr>
                <w:rFonts w:hint="default" w:ascii="Times New Roman" w:hAnsi="Times New Roman" w:eastAsia="仿宋_GB2312" w:cs="Times New Roman"/>
                <w:i w:val="0"/>
                <w:iCs w:val="0"/>
                <w:color w:val="000000"/>
                <w:kern w:val="0"/>
                <w:sz w:val="22"/>
                <w:szCs w:val="22"/>
                <w:u w:val="none"/>
                <w:lang w:val="en-US" w:eastAsia="zh-CN" w:bidi="ar"/>
              </w:rPr>
              <w:t>90</w:t>
            </w:r>
            <w:r>
              <w:rPr>
                <w:rStyle w:val="36"/>
                <w:rFonts w:hAnsi="宋体"/>
                <w:lang w:val="en-US" w:eastAsia="zh-CN" w:bidi="ar"/>
              </w:rPr>
              <w:t>%，扣1分，</w:t>
            </w:r>
            <w:r>
              <w:rPr>
                <w:rFonts w:hint="default" w:ascii="Times New Roman" w:hAnsi="Times New Roman" w:eastAsia="仿宋_GB2312" w:cs="Times New Roman"/>
                <w:i w:val="0"/>
                <w:iCs w:val="0"/>
                <w:color w:val="000000"/>
                <w:kern w:val="0"/>
                <w:sz w:val="22"/>
                <w:szCs w:val="22"/>
                <w:u w:val="none"/>
                <w:lang w:val="en-US" w:eastAsia="zh-CN" w:bidi="ar"/>
              </w:rPr>
              <w:t>80</w:t>
            </w:r>
            <w:r>
              <w:rPr>
                <w:rStyle w:val="36"/>
                <w:rFonts w:hAnsi="宋体"/>
                <w:lang w:val="en-US" w:eastAsia="zh-CN" w:bidi="ar"/>
              </w:rPr>
              <w:t>%以下不得分。</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6"/>
                <w:rFonts w:hint="default" w:hAnsi="宋体"/>
                <w:lang w:val="en-US" w:eastAsia="zh-CN" w:bidi="ar"/>
              </w:rPr>
            </w:pPr>
            <w:r>
              <w:rPr>
                <w:rStyle w:val="36"/>
                <w:rFonts w:hint="eastAsia" w:hAnsi="宋体"/>
                <w:lang w:val="en-US" w:eastAsia="zh-CN" w:bidi="ar"/>
              </w:rPr>
              <w:t xml:space="preserve">    经查证沙湾市公安局单位财务资料，沙湾市智慧交通信息化升级改造工程项目预算资金5804.18万元，实际到位预算资金5000万元，资金到位率=实际到位资金/预算资金×100%=86.14%。配套资金804.18万元，实际到位配套资金804.18万元，配套资金到位率=实际到位资金/预算资金×100%=13.86%；根据评分标准，本条指标满分为2分，得分2分。</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blHeader/>
        </w:trPr>
        <w:tc>
          <w:tcPr>
            <w:tcW w:w="79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B</w:t>
            </w:r>
            <w:r>
              <w:rPr>
                <w:rFonts w:hint="default" w:ascii="Times New Roman" w:hAnsi="Times New Roman" w:eastAsia="仿宋_GB2312" w:cs="Times New Roman"/>
                <w:i w:val="0"/>
                <w:iCs w:val="0"/>
                <w:color w:val="000000"/>
                <w:kern w:val="0"/>
                <w:sz w:val="22"/>
                <w:szCs w:val="22"/>
                <w:u w:val="none"/>
                <w:lang w:val="en-US" w:eastAsia="zh-CN" w:bidi="ar"/>
              </w:rPr>
              <w:t>103</w:t>
            </w:r>
            <w:r>
              <w:rPr>
                <w:rFonts w:hint="eastAsia" w:ascii="Times New Roman" w:hAnsi="Times New Roman" w:eastAsia="仿宋_GB2312" w:cs="Times New Roman"/>
                <w:i w:val="0"/>
                <w:iCs w:val="0"/>
                <w:color w:val="000000"/>
                <w:kern w:val="0"/>
                <w:sz w:val="22"/>
                <w:szCs w:val="22"/>
                <w:u w:val="none"/>
                <w:lang w:val="en-US" w:eastAsia="zh-CN" w:bidi="ar"/>
              </w:rPr>
              <w:t>项目</w:t>
            </w:r>
            <w:r>
              <w:rPr>
                <w:rStyle w:val="36"/>
                <w:rFonts w:hAnsi="宋体"/>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项目资金是否按照计划执行，用以反映或考核项目预算执行情况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预算执行率=实际支出资金/实际到位资金×</w:t>
            </w:r>
            <w:r>
              <w:rPr>
                <w:rFonts w:hint="default" w:ascii="Times New Roman" w:hAnsi="Times New Roman" w:eastAsia="仿宋_GB2312" w:cs="Times New Roman"/>
                <w:i w:val="0"/>
                <w:iCs w:val="0"/>
                <w:color w:val="000000"/>
                <w:kern w:val="0"/>
                <w:sz w:val="22"/>
                <w:szCs w:val="22"/>
                <w:u w:val="none"/>
                <w:lang w:val="en-US" w:eastAsia="zh-CN" w:bidi="ar"/>
              </w:rPr>
              <w:t>100</w:t>
            </w:r>
            <w:r>
              <w:rPr>
                <w:rStyle w:val="36"/>
                <w:rFonts w:hAnsi="宋体"/>
                <w:lang w:val="en-US" w:eastAsia="zh-CN" w:bidi="ar"/>
              </w:rPr>
              <w:t>%。实际支出资金：一定时期（本年度或项目期）内项目实际拨付的资金，满足条件得2分。</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6"/>
                <w:rFonts w:hint="default" w:hAnsi="宋体"/>
                <w:lang w:val="en-US" w:eastAsia="zh-CN" w:bidi="ar"/>
              </w:rPr>
            </w:pPr>
            <w:r>
              <w:rPr>
                <w:rStyle w:val="36"/>
                <w:rFonts w:hint="eastAsia" w:hAnsi="宋体"/>
                <w:lang w:val="en-US" w:eastAsia="zh-CN" w:bidi="ar"/>
              </w:rPr>
              <w:t xml:space="preserve">     经查证沙湾市公安局单位财务资料，沙湾市智慧交通信息化升级改造工程项目实际到位预算资金5000万元，实际支出5000万元，预算执行率=实际支出资金/实际到位资金×100%=100%；根据评分标准，本条指标满分为2分，得分2分。</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blHeader/>
        </w:trPr>
        <w:tc>
          <w:tcPr>
            <w:tcW w:w="79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6"/>
                <w:rFonts w:hAnsi="宋体"/>
                <w:lang w:val="en-US" w:eastAsia="zh-CN" w:bidi="ar"/>
              </w:rPr>
              <w:t>B</w:t>
            </w:r>
            <w:r>
              <w:rPr>
                <w:rFonts w:hint="default" w:ascii="Times New Roman" w:hAnsi="Times New Roman" w:eastAsia="仿宋_GB2312" w:cs="Times New Roman"/>
                <w:i w:val="0"/>
                <w:iCs w:val="0"/>
                <w:color w:val="000000"/>
                <w:kern w:val="0"/>
                <w:sz w:val="22"/>
                <w:szCs w:val="22"/>
                <w:u w:val="none"/>
                <w:lang w:val="en-US" w:eastAsia="zh-CN" w:bidi="ar"/>
              </w:rPr>
              <w:t>104</w:t>
            </w:r>
            <w:r>
              <w:rPr>
                <w:rStyle w:val="36"/>
                <w:rFonts w:hAnsi="宋体"/>
                <w:lang w:val="en-US" w:eastAsia="zh-CN" w:bidi="ar"/>
              </w:rPr>
              <w:t xml:space="preserve"> 资金使用合规性</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资金使用是否符合相关的财务管理制度规定，用以反映和考核项目资金的规范运行情况</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合规</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①是否符合国家财经法规和财务管理制度及有关</w:t>
            </w:r>
            <w:r>
              <w:rPr>
                <w:rFonts w:hint="eastAsia" w:ascii="仿宋_GB2312" w:hAnsi="宋体" w:eastAsia="仿宋_GB2312" w:cs="仿宋_GB2312"/>
                <w:i w:val="0"/>
                <w:iCs w:val="0"/>
                <w:color w:val="000000"/>
                <w:kern w:val="0"/>
                <w:sz w:val="22"/>
                <w:szCs w:val="22"/>
                <w:u w:val="none"/>
                <w:lang w:val="en-US" w:eastAsia="zh-CN" w:bidi="ar"/>
              </w:rPr>
              <w:t>项目</w:t>
            </w:r>
            <w:r>
              <w:rPr>
                <w:rFonts w:hint="default" w:ascii="仿宋_GB2312" w:hAnsi="宋体" w:eastAsia="仿宋_GB2312" w:cs="仿宋_GB2312"/>
                <w:i w:val="0"/>
                <w:iCs w:val="0"/>
                <w:color w:val="000000"/>
                <w:kern w:val="0"/>
                <w:sz w:val="22"/>
                <w:szCs w:val="22"/>
                <w:u w:val="none"/>
                <w:lang w:val="en-US" w:eastAsia="zh-CN" w:bidi="ar"/>
              </w:rPr>
              <w:t>资金管理的规定，仅用于支付项目建设工程预付款、项目建设工程款及与项目建设有关的资本性支出等；②预算资金的拨付有完整的审批程序和手续； ③符合项目预算批复或合同规定的用途；④不存在截留、挤占、挪用、虚列支出及大量结余闲置等情况，以上4项每项占1/4权重分，满足条件即得该项分值。</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查证沙湾市公安局单位财务资料，可知该项目资金使用符合国家财经法规和财务管理制度及有关资金管理的规定，仅用于支付项目建设工程预付款、项目建设工程款及与项目建设有关的资本性支出等；预算资金的拨付有完整的审批程序和手续；项目的重大开支经过评估认证；符合项目预算批复或合同规定的用途；得分2分。</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blHeader/>
        </w:trPr>
        <w:tc>
          <w:tcPr>
            <w:tcW w:w="796"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000000" w:sz="4" w:space="0"/>
              <w:left w:val="nil"/>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B105</w:t>
            </w:r>
            <w:r>
              <w:rPr>
                <w:rStyle w:val="36"/>
                <w:rFonts w:hAnsi="Times New Roman"/>
                <w:lang w:val="en-US" w:eastAsia="zh-CN" w:bidi="ar"/>
              </w:rPr>
              <w:t>财务监控有效性</w:t>
            </w:r>
          </w:p>
        </w:tc>
        <w:tc>
          <w:tcPr>
            <w:tcW w:w="5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项目单位是否为保障资金的安全、规范运行等而采取了必要的监控、管理措施，用以反映和考核项目实施单位对资金运行的控制情况</w:t>
            </w:r>
          </w:p>
        </w:tc>
        <w:tc>
          <w:tcPr>
            <w:tcW w:w="6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int="eastAsia" w:hAnsi="宋体"/>
                <w:lang w:val="en-US" w:eastAsia="zh-CN" w:bidi="ar"/>
              </w:rPr>
              <w:t>无</w:t>
            </w:r>
            <w:r>
              <w:rPr>
                <w:rStyle w:val="36"/>
                <w:rFonts w:hAnsi="宋体"/>
                <w:lang w:val="en-US" w:eastAsia="zh-CN" w:bidi="ar"/>
              </w:rPr>
              <w:t>效</w:t>
            </w:r>
          </w:p>
        </w:tc>
        <w:tc>
          <w:tcPr>
            <w:tcW w:w="7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通用标准</w:t>
            </w:r>
          </w:p>
        </w:tc>
        <w:tc>
          <w:tcPr>
            <w:tcW w:w="20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①采取财务检查、抽查等必要的措施或手段对资金使用进行监控；②具备可追溯至资金最终使用对象支出情况的必要条件或机制。以上2项每项占1/2权重分，满足条件即得该项分值。</w:t>
            </w:r>
          </w:p>
        </w:tc>
        <w:tc>
          <w:tcPr>
            <w:tcW w:w="43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    经查证沙湾市智慧交通信息化升级改造工程相关制度等文件资料，可查看相关资料，项目工程进度均由施工、监理、项目主管单位签字确认，财务根据工程量确认单进行付款，保障资金用于项目建设；但是该工程建设周期较短，未做绩效监控。根据评分标准，本条指标满分为1分，得分0分。</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7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default" w:ascii="仿宋_GB2312" w:hAnsi="宋体" w:eastAsia="仿宋_GB2312" w:cs="仿宋_GB2312"/>
                <w:i w:val="0"/>
                <w:iCs w:val="0"/>
                <w:color w:val="000000"/>
                <w:kern w:val="0"/>
                <w:sz w:val="22"/>
                <w:szCs w:val="22"/>
                <w:highlight w:val="none"/>
                <w:u w:val="none"/>
                <w:lang w:val="en-US" w:eastAsia="zh-CN" w:bidi="ar"/>
              </w:rPr>
              <w:t>B</w:t>
            </w:r>
            <w:r>
              <w:rPr>
                <w:rFonts w:hint="default" w:ascii="Times New Roman" w:hAnsi="Times New Roman" w:eastAsia="仿宋_GB2312" w:cs="Times New Roman"/>
                <w:i w:val="0"/>
                <w:iCs w:val="0"/>
                <w:color w:val="000000"/>
                <w:kern w:val="0"/>
                <w:sz w:val="22"/>
                <w:szCs w:val="22"/>
                <w:highlight w:val="none"/>
                <w:u w:val="none"/>
                <w:lang w:val="en-US" w:eastAsia="zh-CN" w:bidi="ar"/>
              </w:rPr>
              <w:t>2</w:t>
            </w:r>
            <w:r>
              <w:rPr>
                <w:rStyle w:val="36"/>
                <w:rFonts w:hAnsi="宋体"/>
                <w:highlight w:val="none"/>
                <w:lang w:val="en-US" w:eastAsia="zh-CN" w:bidi="ar"/>
              </w:rPr>
              <w:t xml:space="preserve"> 组织实施（14）</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000000"/>
                <w:sz w:val="22"/>
                <w:szCs w:val="22"/>
                <w:highlight w:val="none"/>
                <w:u w:val="none"/>
              </w:rPr>
            </w:pPr>
            <w:r>
              <w:rPr>
                <w:rFonts w:ascii="Times New Roman" w:hAnsi="Times New Roman" w:eastAsia="仿宋_GB2312"/>
                <w:color w:val="000000"/>
                <w:kern w:val="0"/>
                <w:sz w:val="22"/>
                <w:highlight w:val="none"/>
                <w:lang w:bidi="ar"/>
              </w:rPr>
              <w:t>B</w:t>
            </w:r>
            <w:r>
              <w:rPr>
                <w:rFonts w:hint="eastAsia" w:ascii="Times New Roman" w:hAnsi="Times New Roman" w:eastAsia="仿宋_GB2312"/>
                <w:color w:val="000000"/>
                <w:kern w:val="0"/>
                <w:sz w:val="22"/>
                <w:highlight w:val="none"/>
                <w:lang w:bidi="ar"/>
              </w:rPr>
              <w:t>201</w:t>
            </w:r>
            <w:r>
              <w:rPr>
                <w:rFonts w:hint="eastAsia" w:ascii="Times New Roman" w:hAnsi="Times New Roman" w:eastAsia="仿宋_GB2312" w:cs="仿宋"/>
                <w:color w:val="000000"/>
                <w:kern w:val="0"/>
                <w:sz w:val="22"/>
                <w:highlight w:val="none"/>
                <w:lang w:bidi="ar"/>
              </w:rPr>
              <w:t>财务管理制度健全性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imes New Roman" w:hAnsi="Times New Roman" w:eastAsia="宋体" w:cs="Times New Roman"/>
                <w:i w:val="0"/>
                <w:iCs w:val="0"/>
                <w:color w:val="000000"/>
                <w:sz w:val="22"/>
                <w:szCs w:val="22"/>
                <w:highlight w:val="none"/>
                <w:u w:val="none"/>
                <w:lang w:val="en-US" w:eastAsia="zh-CN"/>
              </w:rPr>
            </w:pPr>
            <w:r>
              <w:rPr>
                <w:rFonts w:hint="eastAsia" w:ascii="Times New Roman" w:hAnsi="Times New Roman" w:cs="Times New Roman"/>
                <w:i w:val="0"/>
                <w:iCs w:val="0"/>
                <w:color w:val="000000"/>
                <w:sz w:val="22"/>
                <w:szCs w:val="22"/>
                <w:highlight w:val="none"/>
                <w:u w:val="none"/>
                <w:lang w:val="en-US" w:eastAsia="zh-CN"/>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
                <w:color w:val="000000"/>
                <w:kern w:val="0"/>
                <w:sz w:val="22"/>
                <w:highlight w:val="none"/>
                <w:lang w:bidi="ar"/>
              </w:rPr>
              <w:t>项目实施单位的财务制度是</w:t>
            </w:r>
            <w:r>
              <w:rPr>
                <w:rFonts w:hint="eastAsia" w:ascii="Times New Roman" w:hAnsi="Times New Roman" w:eastAsia="仿宋_GB2312" w:cs="仿宋"/>
                <w:color w:val="000000"/>
                <w:kern w:val="0"/>
                <w:sz w:val="22"/>
                <w:highlight w:val="none"/>
                <w:lang w:eastAsia="zh-CN" w:bidi="ar"/>
              </w:rPr>
              <w:t>否安</w:t>
            </w:r>
            <w:r>
              <w:rPr>
                <w:rFonts w:hint="eastAsia" w:ascii="Times New Roman" w:hAnsi="Times New Roman" w:eastAsia="仿宋_GB2312" w:cs="仿宋"/>
                <w:color w:val="000000"/>
                <w:kern w:val="0"/>
                <w:sz w:val="22"/>
                <w:highlight w:val="none"/>
                <w:lang w:bidi="ar"/>
              </w:rPr>
              <w:t>全，用以反映和考核财务管理制度对项目顺利实施的保障情况</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
                <w:color w:val="000000"/>
                <w:kern w:val="0"/>
                <w:sz w:val="22"/>
                <w:highlight w:val="none"/>
                <w:lang w:bidi="ar"/>
              </w:rPr>
              <w:t>健全</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24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
                <w:color w:val="000000"/>
                <w:kern w:val="0"/>
                <w:sz w:val="22"/>
                <w:highlight w:val="none"/>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240"/>
              <w:jc w:val="left"/>
              <w:textAlignment w:val="center"/>
              <w:rPr>
                <w:rFonts w:hint="eastAsia" w:ascii="仿宋_GB2312" w:hAnsi="宋体" w:eastAsia="仿宋_GB2312" w:cs="仿宋_GB2312"/>
                <w:i w:val="0"/>
                <w:iCs w:val="0"/>
                <w:color w:val="000000"/>
                <w:sz w:val="22"/>
                <w:szCs w:val="22"/>
                <w:highlight w:val="none"/>
                <w:u w:val="none"/>
                <w:lang w:eastAsia="zh-CN"/>
              </w:rPr>
            </w:pPr>
            <w:r>
              <w:rPr>
                <w:rFonts w:hint="eastAsia" w:ascii="Times New Roman" w:hAnsi="Times New Roman" w:eastAsia="仿宋_GB2312" w:cs="仿宋"/>
                <w:color w:val="000000"/>
                <w:kern w:val="0"/>
                <w:sz w:val="22"/>
                <w:highlight w:val="none"/>
                <w:lang w:bidi="ar"/>
              </w:rPr>
              <w:t>①是否已制定或具有相应的财务管理制度；②财务管理制度是否合法、合规、完整</w:t>
            </w:r>
            <w:r>
              <w:rPr>
                <w:rFonts w:hint="eastAsia" w:ascii="Times New Roman" w:hAnsi="Times New Roman" w:eastAsia="仿宋_GB2312" w:cs="仿宋"/>
                <w:color w:val="000000"/>
                <w:kern w:val="0"/>
                <w:sz w:val="22"/>
                <w:highlight w:val="none"/>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240"/>
              <w:jc w:val="left"/>
              <w:textAlignment w:val="center"/>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
                <w:color w:val="000000"/>
                <w:kern w:val="0"/>
                <w:sz w:val="22"/>
                <w:highlight w:val="none"/>
                <w:lang w:val="en-US" w:eastAsia="zh-CN" w:bidi="ar"/>
              </w:rPr>
              <w:t>经查证单位提供的项目资料，可知沙湾市公安局已具有相应的《沙湾市公安局财务管理制度》，财务管理制度合法、合规、完整。得分1分。</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24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24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202</w:t>
            </w:r>
            <w:r>
              <w:rPr>
                <w:rFonts w:hint="eastAsia" w:ascii="Times New Roman" w:hAnsi="Times New Roman" w:eastAsia="仿宋_GB2312" w:cs="仿宋"/>
                <w:color w:val="000000"/>
                <w:kern w:val="0"/>
                <w:sz w:val="22"/>
                <w:lang w:bidi="ar"/>
              </w:rPr>
              <w:t>业务管理制度健全性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项目实施单位的业务制度是否健全，用以反映和考核业务管理制度对项目顺利实施的保障情况</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健全</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是否已制定或具有相应的合法合规的业务管理制度；②业务管理制度是否内容完整，覆盖明确的组织管理、采购管理、工程监理、合同管理、质量管理、进度管理、安全管理、成本管理等内容；③各项业务管理制度明确了工作流程、职责分工、管理要求等，具备可操作性</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default" w:ascii="仿宋_GB2312" w:hAnsi="宋体"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
                <w:color w:val="000000"/>
                <w:kern w:val="0"/>
                <w:sz w:val="22"/>
                <w:szCs w:val="24"/>
                <w:lang w:val="en-US" w:eastAsia="zh-CN" w:bidi="ar"/>
              </w:rPr>
              <w:t>经查证单位提供的项目资料，可知沙湾市公安局已具有相应的合法合规的《沙湾市公安局业务管理制度》；业务管理制度内容完整，覆盖明确的组织管理、采购管理、工程监理、合同管理、质量管理、进度管理、安全管理、成本管理等内容；各项业务管理制度明确了工作流程、职责分工、管理要求等，具备可操作性，</w:t>
            </w:r>
            <w:r>
              <w:rPr>
                <w:rFonts w:hint="eastAsia" w:ascii="仿宋_GB2312" w:hAnsi="宋体" w:eastAsia="仿宋_GB2312" w:cs="仿宋_GB2312"/>
                <w:i w:val="0"/>
                <w:iCs w:val="0"/>
                <w:color w:val="000000"/>
                <w:sz w:val="22"/>
                <w:szCs w:val="22"/>
                <w:highlight w:val="none"/>
                <w:u w:val="none"/>
                <w:lang w:val="en-US" w:eastAsia="zh-CN"/>
              </w:rPr>
              <w:t>得分1分。</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24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24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203</w:t>
            </w:r>
            <w:r>
              <w:rPr>
                <w:rFonts w:hint="eastAsia" w:ascii="Times New Roman" w:hAnsi="Times New Roman" w:eastAsia="仿宋_GB2312" w:cs="仿宋"/>
                <w:color w:val="000000"/>
                <w:kern w:val="0"/>
                <w:sz w:val="22"/>
                <w:lang w:bidi="ar"/>
              </w:rPr>
              <w:t>实施计划合理性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是否有合理的工程建设和相应的资金开支计划以实现项目预定投资计划，用以反映和考核项目实施计划的合理情况</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合理</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①是否编制合理科学的施工总进度计划、月度、季度和年度计划和相应资金开支计划；②施工计划和开支计划符合客观实际，可执行性较强；③资金拨付和支出进度与项目建设进度相匹配</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单位提供的项目资料，可知沙湾市公安局已编制合理科学的施工总进度计划、月度、季度和年度计划和相应资金开支计划；施工计划和开支计划符合客观实际，可执行性较强；资金拨付和支出进度与项目建设进度相匹配。得分 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204</w:t>
            </w:r>
            <w:r>
              <w:rPr>
                <w:rFonts w:hint="eastAsia" w:ascii="Times New Roman" w:hAnsi="Times New Roman" w:eastAsia="仿宋_GB2312" w:cs="仿宋"/>
                <w:color w:val="000000"/>
                <w:kern w:val="0"/>
                <w:sz w:val="22"/>
                <w:lang w:bidi="ar"/>
              </w:rPr>
              <w:t>组织管理合理性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项目相关建设管理主体的资质是否符合相应的要求；项目组织形式和机构设置是否合理；勘察设计、咨询、强审等建设参与方的引入方式及程序是否合法合规，用以反映和考核项目组织管理的合理情况</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合理</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①项目建设管理主体资质符合相关要求；②项目建设参与方资质符合相关要求；③供应商供</w:t>
            </w:r>
            <w:r>
              <w:rPr>
                <w:rFonts w:hint="eastAsia" w:ascii="Times New Roman" w:hAnsi="Times New Roman" w:eastAsia="仿宋_GB2312" w:cs="仿宋"/>
                <w:color w:val="000000"/>
                <w:kern w:val="0"/>
                <w:sz w:val="22"/>
                <w:lang w:eastAsia="zh-CN" w:bidi="ar"/>
              </w:rPr>
              <w:t>应的</w:t>
            </w:r>
            <w:r>
              <w:rPr>
                <w:rFonts w:hint="eastAsia" w:ascii="Times New Roman" w:hAnsi="Times New Roman" w:eastAsia="仿宋_GB2312" w:cs="仿宋"/>
                <w:color w:val="000000"/>
                <w:kern w:val="0"/>
                <w:sz w:val="22"/>
                <w:lang w:bidi="ar"/>
              </w:rPr>
              <w:t>材料、设备、产品、服务等符合相关技术参数标准；④项目组织形式和机构设置是否合理；⑤勘察设计、咨询、强审等建设参与方的引入方式及程序是否合法、合规</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lang w:val="en-US" w:eastAsia="zh-CN" w:bidi="ar"/>
              </w:rPr>
            </w:pPr>
            <w:r>
              <w:rPr>
                <w:rFonts w:hint="eastAsia" w:ascii="Times New Roman" w:hAnsi="Times New Roman" w:eastAsia="仿宋_GB2312" w:cs="仿宋"/>
                <w:color w:val="000000"/>
                <w:kern w:val="0"/>
                <w:sz w:val="22"/>
                <w:szCs w:val="24"/>
                <w:lang w:val="en-US" w:eastAsia="zh-CN" w:bidi="ar"/>
              </w:rPr>
              <w:t>经查证单位提供的《施工许可证》《开工报告》《工程进度表》《概算汇总表》等项目资料，可知项目建设管理主体资质符合相关要求；项目建设参与方资质符合相关要求；供应商供应材料、设备、产品、服务等符合相关技术参数标准；项目组织形式和机构设置合理；勘察设计、咨询、强审等建设参与方的引入方式及程序合法、合规，得分1分。</w:t>
            </w:r>
          </w:p>
          <w:p>
            <w:pPr>
              <w:widowControl/>
              <w:jc w:val="left"/>
              <w:textAlignment w:val="center"/>
              <w:rPr>
                <w:rFonts w:hint="eastAsia" w:ascii="仿宋_GB2312" w:hAnsi="宋体" w:eastAsia="仿宋_GB2312" w:cs="仿宋_GB2312"/>
                <w:i w:val="0"/>
                <w:iCs w:val="0"/>
                <w:color w:val="000000"/>
                <w:sz w:val="22"/>
                <w:szCs w:val="22"/>
                <w:highlight w:val="yellow"/>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205</w:t>
            </w:r>
            <w:r>
              <w:rPr>
                <w:rFonts w:hint="eastAsia" w:ascii="Times New Roman" w:hAnsi="Times New Roman" w:eastAsia="仿宋_GB2312" w:cs="仿宋"/>
                <w:color w:val="000000"/>
                <w:kern w:val="0"/>
                <w:sz w:val="22"/>
                <w:lang w:bidi="ar"/>
              </w:rPr>
              <w:t>政府采购规范性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工程、设备、原材料等采购需求是否合理；项目管理主体、工程承包、分包商的采购程序是否规范，采购是否通过充分地遴选等，用以反映和考核项目单位采购实施的规范性</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规范</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是否按照政府采购规定采取了合理的采购方式；②政府采购的程序执行是否规范；③工程、设备、原材料等的采购需求是否与项目实际需求一致；④是否存在重复采购或过量采购等浪费情形；规则；⑤采购标的是否满足项目需求</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单位提供的《沙湾市智慧交通信息化升级改造项目招标投标文件》等文件资料，该沙湾市智慧交通信息化升级改造项目按照政府采购规定采取了合理的采购方式；政府采购的程序执行规范；工程、设备、原材料等的采购需求与项目实际需求一致；不存在重复采购或过量采购等浪费情形；招投标文件中明确了采购规则；采购标的满足项目需求；采购价格在可比情况下处于合理较低水平。得分 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206</w:t>
            </w:r>
            <w:r>
              <w:rPr>
                <w:rFonts w:hint="eastAsia" w:ascii="Times New Roman" w:hAnsi="Times New Roman" w:eastAsia="仿宋_GB2312" w:cs="仿宋"/>
                <w:color w:val="000000"/>
                <w:kern w:val="0"/>
                <w:sz w:val="22"/>
                <w:lang w:bidi="ar"/>
              </w:rPr>
              <w:t>合同管理完备性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合同管理是否符合基本建设项目管理需求，是否严格按照约定履行合同，不发生合同违约，项目合同的变更、终止及其风控措施是否符合约定且合法合规，用以反映和考核合同管理情况能否对保障项目的有效实施形成约束</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完备</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①是否按规定签署采购合同、协议；             ②合同标的物及价格是否明确、清晰；③合同中是否有明确、清晰的质量标准或验收标准；④合同中是否有明确的交付时间、方式及地点； ⑤合同支付方式和支付是否时间明确、清晰；⑥合同违约责任界定是否明确、清晰；⑦是否按照合同各项要素履行合约；⑧合同变更是否经由规范流程审核、批准</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项目单位提供的《沙湾市智慧交通信息化升级改造项目合同台账》，可知该项目按规定签署采购合同、协议；合同标的物及价格明确、清晰；合同中有明确、清晰的质量标准或验收标准；合同中有明确的交付时间、方式及地点；合同支付方式和支付时间明确、清晰；合同违约责任界定明确、清晰；按照合同各项要素履行合约；合同变更经由规范流程审核、批准。符合标准得分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207</w:t>
            </w:r>
            <w:r>
              <w:rPr>
                <w:rFonts w:hint="eastAsia" w:ascii="Times New Roman" w:hAnsi="Times New Roman" w:eastAsia="仿宋_GB2312"/>
                <w:color w:val="000000"/>
                <w:kern w:val="0"/>
                <w:sz w:val="22"/>
                <w:lang w:val="en-US" w:eastAsia="zh-CN" w:bidi="ar"/>
              </w:rPr>
              <w:t>成本控制有效性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val="en-US" w:eastAsia="zh-CN" w:bidi="ar"/>
              </w:rPr>
              <w:t>是否在保证工期和质量满足要求的情况下，利用组织措施、经济措施、技术措施、合同措施把成本控制在合理范围内，用以反映和考核项目成本控制的有效性</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val="en-US" w:eastAsia="zh-CN" w:bidi="ar"/>
              </w:rPr>
              <w:t>有效</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val="en-US" w:eastAsia="zh-CN" w:bidi="ar"/>
              </w:rPr>
              <w:t>①是否执行有关的成本开支范围、费用开支标准、工程预算定额等；②是否通过有效措施控制各类生产要素的利用效率和消耗定额；③是否控制影响效率和消耗量的其他因素所引起的成本增加；④是否对不可预见的成本风险进行常态分析和预控，并采取相应的应急措施等；⑤对于确需增加投资概算等调整成本的项目，是否提出调整方案及资金来源，并按照规定的程序报原初步设计审批部门或者投资概算核定部门核定</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40" w:firstLineChars="200"/>
              <w:jc w:val="left"/>
              <w:textAlignment w:val="center"/>
              <w:rPr>
                <w:rFonts w:hint="default" w:ascii="仿宋_GB2312" w:hAnsi="宋体" w:eastAsia="仿宋_GB2312" w:cs="仿宋_GB2312"/>
                <w:i w:val="0"/>
                <w:iCs w:val="0"/>
                <w:color w:val="000000"/>
                <w:sz w:val="22"/>
                <w:szCs w:val="22"/>
                <w:highlight w:val="none"/>
                <w:u w:val="none"/>
                <w:lang w:val="en-US"/>
              </w:rPr>
            </w:pPr>
            <w:r>
              <w:rPr>
                <w:rFonts w:hint="eastAsia" w:ascii="Times New Roman" w:hAnsi="Times New Roman" w:eastAsia="仿宋_GB2312" w:cs="仿宋"/>
                <w:color w:val="000000"/>
                <w:kern w:val="0"/>
                <w:sz w:val="22"/>
                <w:highlight w:val="none"/>
                <w:lang w:val="en-US" w:eastAsia="zh-CN" w:bidi="ar"/>
              </w:rPr>
              <w:t>经查证项目单位提供的财务资料，该项目执行有关的成本开支范围、费用开支标准、工程预算定额等；通过有效措施控制各类生产要素的利用效率和消耗定额；控制影响效率和消耗量的其他因素所引起的成本增加；对不可预见的成本风险进行常态分析和预控，并采取相应的应急措施等；对于确需增加投资概算等调整成本的项目，提出调整方案及资金来源，并按照规定的程序报原初步设计审批部门或者投资概算核定部门核定。得分1分。</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w:t>
            </w:r>
            <w:r>
              <w:rPr>
                <w:rFonts w:hint="eastAsia" w:ascii="Times New Roman" w:hAnsi="Times New Roman" w:eastAsia="仿宋_GB2312"/>
                <w:color w:val="000000"/>
                <w:kern w:val="0"/>
                <w:sz w:val="22"/>
                <w:lang w:val="en-US" w:eastAsia="zh-CN" w:bidi="ar"/>
              </w:rPr>
              <w:t>8</w:t>
            </w:r>
            <w:r>
              <w:rPr>
                <w:rFonts w:hint="eastAsia" w:ascii="Times New Roman" w:hAnsi="Times New Roman" w:eastAsia="仿宋_GB2312" w:cs="仿宋"/>
                <w:color w:val="000000"/>
                <w:kern w:val="0"/>
                <w:sz w:val="22"/>
                <w:lang w:bidi="ar"/>
              </w:rPr>
              <w:t>质量管理有效性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项目设计和施工质量管理是否符合相应国家规范或标准，满足设计要求，体现经济性、先进性、适用性和生态性等，用以反映和考核项目质量管理的有效性</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有效</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项目采用的技术标准是否满足国家或行业标准，可研批复标准等相关规定要求；②项目设计方案、设备配套、工艺、功能布局等是否满足运营需要；③项目工艺、设备使用等是否充分考虑节能和环保需求；④项目技术方案是否经济合理、可操作性强；⑤项目工程施工过程是否按照相应的国家规范、标准及项目管理制度规定有效执行</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项目单位提供的《沙湾市智慧交通信息化升级改造项目设计方案》《沙湾市智慧交通信息化升级改造项目监理日志》《沙湾市智慧交通信息化升级改造工程款支付证书》等项目资料，可知该项目采用的技术标准满足行业标准，可研批复标准等相关规定要求；项目设计方案、设备配套、工艺、功能布局等满足运营需要；项目工艺、设备使用等充分考虑节能和环保需求；项目技术方案经济合理、可操作性强；项目在技术创新方面具有先进水平，对工程质量和投资等产生积极影响。项目工程施工过程按照相应的国家规范、标准及项目管理制度规定有效执行。得分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20</w:t>
            </w:r>
            <w:r>
              <w:rPr>
                <w:rFonts w:hint="eastAsia" w:ascii="Times New Roman" w:hAnsi="Times New Roman" w:eastAsia="仿宋_GB2312"/>
                <w:color w:val="000000"/>
                <w:kern w:val="0"/>
                <w:sz w:val="22"/>
                <w:lang w:val="en-US" w:eastAsia="zh-CN" w:bidi="ar"/>
              </w:rPr>
              <w:t>9</w:t>
            </w:r>
            <w:r>
              <w:rPr>
                <w:rFonts w:hint="eastAsia" w:ascii="Times New Roman" w:hAnsi="Times New Roman" w:eastAsia="仿宋_GB2312" w:cs="仿宋"/>
                <w:color w:val="000000"/>
                <w:kern w:val="0"/>
                <w:sz w:val="22"/>
                <w:lang w:bidi="ar"/>
              </w:rPr>
              <w:t>安全管理完备性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是否加强项目实施中的安全生产和风险控制，用以反映和考核项目安全管理的完备性</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完备</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①是否按照项目安全管理要求，加强对施工现场、消防安全、临时用电安全、机械安全、环境安全的管理；②是否强化安全监督，定期培训项目实施相关人员和监督人员</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lang w:val="en-US" w:eastAsia="zh-CN" w:bidi="ar"/>
              </w:rPr>
            </w:pPr>
            <w:r>
              <w:rPr>
                <w:rFonts w:hint="eastAsia" w:ascii="Times New Roman" w:hAnsi="Times New Roman" w:eastAsia="仿宋_GB2312" w:cs="仿宋"/>
                <w:color w:val="000000"/>
                <w:kern w:val="0"/>
                <w:sz w:val="22"/>
                <w:szCs w:val="24"/>
                <w:lang w:val="en-US" w:eastAsia="zh-CN" w:bidi="ar"/>
              </w:rPr>
              <w:t>经查证项目单位提供的《沙湾市智慧交通信息化升级改造项目监理日志》等项目资料，可知该项目按照项目安全管理要求，加强了对施工现场、消防安全、临时用电安全、机械安全、环境安全的管理；强化了安全监督，定期对项目实施相关人员和监督人员进行了培训，得分 1分。</w:t>
            </w:r>
          </w:p>
          <w:p>
            <w:pPr>
              <w:widowControl/>
              <w:jc w:val="left"/>
              <w:textAlignment w:val="center"/>
              <w:rPr>
                <w:rFonts w:hint="eastAsia" w:ascii="仿宋_GB2312" w:hAnsi="宋体" w:eastAsia="仿宋_GB2312" w:cs="仿宋_GB2312"/>
                <w:i w:val="0"/>
                <w:iCs w:val="0"/>
                <w:color w:val="000000"/>
                <w:sz w:val="22"/>
                <w:szCs w:val="22"/>
                <w:highlight w:val="yellow"/>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w:t>
            </w:r>
            <w:r>
              <w:rPr>
                <w:rFonts w:hint="eastAsia" w:ascii="Times New Roman" w:hAnsi="Times New Roman" w:eastAsia="仿宋_GB2312"/>
                <w:color w:val="000000"/>
                <w:kern w:val="0"/>
                <w:sz w:val="22"/>
                <w:lang w:val="en-US" w:eastAsia="zh-CN" w:bidi="ar"/>
              </w:rPr>
              <w:t>10工程变更规范性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val="en-US" w:eastAsia="zh-CN" w:bidi="ar"/>
              </w:rPr>
              <w:t>是否建立有完善的授权签证制度（含重大变更报批制度），各类工程变更手续是否齐全，用以反映和考核工程变更的规范性</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val="en-US" w:eastAsia="zh-CN" w:bidi="ar"/>
              </w:rPr>
              <w:t>规范</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val="en-US" w:eastAsia="zh-CN" w:bidi="ar"/>
              </w:rPr>
              <w:t>①工程变更理由与条件是否合理；②工程变更是否经由规范流程审核、批准；③工程变更的图纸设计要求和深度是否等同原设计文件；④工程变更设计是否审核批准后进行施工。</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default"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经查证项目资料，可知该项目工程变更理由与条件合理；工程变更经由规范流程审核、批准；工程变更的图纸设计要求和深度等同原设计文件；工程变更设计审核批准后进行了施工，得分为1分。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w:t>
            </w:r>
            <w:r>
              <w:rPr>
                <w:rFonts w:hint="eastAsia" w:ascii="Times New Roman" w:hAnsi="Times New Roman" w:eastAsia="仿宋_GB2312"/>
                <w:color w:val="000000"/>
                <w:kern w:val="0"/>
                <w:sz w:val="22"/>
                <w:lang w:val="en-US" w:eastAsia="zh-CN" w:bidi="ar"/>
              </w:rPr>
              <w:t>11</w:t>
            </w:r>
            <w:r>
              <w:rPr>
                <w:rFonts w:hint="eastAsia" w:ascii="Times New Roman" w:hAnsi="Times New Roman" w:eastAsia="仿宋_GB2312" w:cs="仿宋"/>
                <w:color w:val="000000"/>
                <w:kern w:val="0"/>
                <w:sz w:val="22"/>
                <w:lang w:bidi="ar"/>
              </w:rPr>
              <w:t>监理规范性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财务监理和工程监理工作的规范性，用以反映和考核工程监理在项目时间管理、质量管理、风险管理的工作完成情况</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规范</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仿宋"/>
                <w:color w:val="000000"/>
                <w:kern w:val="0"/>
                <w:sz w:val="22"/>
                <w:lang w:bidi="ar"/>
              </w:rPr>
            </w:pPr>
            <w:r>
              <w:rPr>
                <w:rFonts w:hint="eastAsia" w:ascii="Times New Roman" w:hAnsi="Times New Roman" w:eastAsia="仿宋_GB2312" w:cs="仿宋"/>
                <w:color w:val="000000"/>
                <w:kern w:val="0"/>
                <w:sz w:val="22"/>
                <w:lang w:bidi="ar"/>
              </w:rPr>
              <w:t xml:space="preserve">①是否聘请资质符合的监理单位； </w:t>
            </w:r>
          </w:p>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②工程监理记录是否完整，包括安全、质量、进度等内容；③是否形成监理材料并及时提交</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40" w:firstLineChars="200"/>
              <w:jc w:val="left"/>
              <w:textAlignment w:val="center"/>
              <w:rPr>
                <w:rFonts w:hint="eastAsia" w:ascii="Times New Roman" w:hAnsi="Times New Roman" w:eastAsia="仿宋_GB2312" w:cs="仿宋"/>
                <w:color w:val="000000"/>
                <w:kern w:val="0"/>
                <w:sz w:val="22"/>
                <w:highlight w:val="none"/>
                <w:lang w:val="en-US" w:eastAsia="zh-CN" w:bidi="ar"/>
              </w:rPr>
            </w:pPr>
            <w:r>
              <w:rPr>
                <w:rFonts w:hint="eastAsia" w:ascii="Times New Roman" w:hAnsi="Times New Roman" w:eastAsia="仿宋_GB2312" w:cs="仿宋"/>
                <w:color w:val="000000"/>
                <w:kern w:val="0"/>
                <w:sz w:val="22"/>
                <w:highlight w:val="none"/>
                <w:lang w:val="en-US" w:eastAsia="zh-CN" w:bidi="ar"/>
              </w:rPr>
              <w:t>经查证项目单位提供的《监理招投标文件》《沙湾市智慧交通信息化升级改造项目监理日志》《监理报告》等项目资料，可知该项目聘请了符合资质的监理单位；工程监理记录完整，包括安全、质量、进度等内容；及时形成了监理材料，得分 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21</w:t>
            </w:r>
            <w:r>
              <w:rPr>
                <w:rFonts w:hint="eastAsia" w:ascii="Times New Roman" w:hAnsi="Times New Roman" w:eastAsia="仿宋_GB2312"/>
                <w:color w:val="000000"/>
                <w:kern w:val="0"/>
                <w:sz w:val="22"/>
                <w:lang w:val="en-US" w:eastAsia="zh-CN" w:bidi="ar"/>
              </w:rPr>
              <w:t>2配套措施执行有效性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val="en-US" w:eastAsia="zh-CN" w:bidi="ar"/>
              </w:rPr>
              <w:t>项目实施的人员条件、沟通协调、信息支撑等是否落实到位，用以反映和考核项目配套措施执行有效性</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val="en-US" w:eastAsia="zh-CN" w:bidi="ar"/>
              </w:rPr>
              <w:t>①是否按照项目实施内容及投标承诺要求配备人员数量；②配备的技术、施工等人员及时到位，不随意发生变更；③配备人员专业资质符合项目相关要求；④是否建立政府相关部门和项目单位间良好的沟通协调机制；⑤是否依托投资在线审批监管平台、项目库管理平台、监测监管系统等信息化手段对项目进行管理。</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项目单位提供的《监理招投标文件》《监理报告》等项目资料，该项目实施内容及投标承诺要求配备人员数量；配备的技术、施工等人员及时到位，未随意发生变更；配备人员专业资质符合项目相关要求；建立了政府相关部门和项目单位间良好的沟通协调机制，得分 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21</w:t>
            </w:r>
            <w:r>
              <w:rPr>
                <w:rFonts w:hint="eastAsia" w:ascii="Times New Roman" w:hAnsi="Times New Roman" w:eastAsia="仿宋_GB2312"/>
                <w:color w:val="000000"/>
                <w:kern w:val="0"/>
                <w:sz w:val="22"/>
                <w:lang w:val="en-US" w:eastAsia="zh-CN" w:bidi="ar"/>
              </w:rPr>
              <w:t>3</w:t>
            </w:r>
            <w:r>
              <w:rPr>
                <w:rFonts w:hint="eastAsia" w:ascii="Times New Roman" w:hAnsi="Times New Roman" w:eastAsia="仿宋_GB2312" w:cs="仿宋"/>
                <w:color w:val="000000"/>
                <w:kern w:val="0"/>
                <w:sz w:val="22"/>
                <w:lang w:bidi="ar"/>
              </w:rPr>
              <w:t>项目验收规范性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是否按照基本建设行业规范或管理制度要求对项目工程采购进行验收，用以反映和考核验收机制对采购数量、质量的保障情况</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规范</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①是否按验收流程及标准组织验收工作；②验收相关方是否全部参与验收；③相关验收文件是否齐全、有效；以上各占1/3权重分值</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仿宋_GB2312" w:hAnsi="宋体" w:eastAsia="仿宋_GB2312" w:cs="仿宋_GB2312"/>
                <w:i w:val="0"/>
                <w:iCs w:val="0"/>
                <w:color w:val="000000"/>
                <w:sz w:val="22"/>
                <w:szCs w:val="22"/>
                <w:highlight w:val="none"/>
                <w:u w:val="none"/>
              </w:rPr>
            </w:pPr>
            <w:r>
              <w:rPr>
                <w:rFonts w:hint="eastAsia" w:ascii="Times New Roman" w:hAnsi="Times New Roman" w:eastAsia="仿宋_GB2312" w:cs="仿宋"/>
                <w:color w:val="000000"/>
                <w:kern w:val="0"/>
                <w:sz w:val="22"/>
                <w:szCs w:val="24"/>
                <w:highlight w:val="none"/>
                <w:lang w:val="en-US" w:eastAsia="zh-CN" w:bidi="ar"/>
              </w:rPr>
              <w:t>经查证项目资料可知该项目按验收流程及标准组织验收工作；验收相关方全部参与验收；相关验收文件齐全、有效，得分 1分。</w:t>
            </w: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21</w:t>
            </w:r>
            <w:r>
              <w:rPr>
                <w:rFonts w:hint="eastAsia" w:ascii="Times New Roman" w:hAnsi="Times New Roman" w:eastAsia="仿宋_GB2312"/>
                <w:color w:val="000000"/>
                <w:kern w:val="0"/>
                <w:sz w:val="22"/>
                <w:lang w:val="en-US" w:eastAsia="zh-CN" w:bidi="ar"/>
              </w:rPr>
              <w:t>4项目资产管理规范性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val="en-US" w:eastAsia="zh-CN" w:bidi="ar"/>
              </w:rPr>
              <w:t>项目竣工后是否按照国有资产管理规定履行资产备案和产权登记</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规范</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val="en-US" w:eastAsia="zh-CN" w:bidi="ar"/>
              </w:rPr>
              <w:t>①是否履行资产备案和产权登记；②是否按照国有资产管理要求，明确项目中涉及的政府资产和企业资产的产权归属、管理与移交方案等。</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经查证项目资料可知，该项目形成的固定资产履行了资产备案和产权登记；按照国有资产管理要求，明确项目中涉及的政府资产和企业资产的产权归属、管理与移交方案等，得分1分。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21</w:t>
            </w:r>
            <w:r>
              <w:rPr>
                <w:rFonts w:hint="eastAsia" w:ascii="Times New Roman" w:hAnsi="Times New Roman" w:eastAsia="仿宋_GB2312"/>
                <w:color w:val="000000"/>
                <w:kern w:val="0"/>
                <w:sz w:val="22"/>
                <w:lang w:val="en-US" w:eastAsia="zh-CN" w:bidi="ar"/>
              </w:rPr>
              <w:t>5项目</w:t>
            </w:r>
            <w:r>
              <w:rPr>
                <w:rFonts w:hint="eastAsia" w:ascii="Times New Roman" w:hAnsi="Times New Roman" w:eastAsia="仿宋_GB2312" w:cs="仿宋"/>
                <w:color w:val="000000"/>
                <w:kern w:val="0"/>
                <w:sz w:val="22"/>
                <w:lang w:bidi="ar"/>
              </w:rPr>
              <w:t>信息公开完备性</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是否公开项目信息，公开内容是否完整、规范</w:t>
            </w:r>
          </w:p>
        </w:tc>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完备</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6"/>
                <w:rFonts w:hAnsi="宋体"/>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
                <w:color w:val="000000"/>
                <w:kern w:val="0"/>
                <w:sz w:val="22"/>
                <w:lang w:bidi="ar"/>
              </w:rPr>
              <w:t>①是否公开项目存续期的重大事项，包括资金使用情况、项目建设进度等；②若为专项项目，是否对实施方案中测算的调整进行</w:t>
            </w:r>
            <w:r>
              <w:rPr>
                <w:rFonts w:hint="eastAsia" w:ascii="Times New Roman" w:hAnsi="Times New Roman" w:eastAsia="仿宋_GB2312" w:cs="仿宋"/>
                <w:color w:val="000000"/>
                <w:kern w:val="0"/>
                <w:sz w:val="22"/>
                <w:lang w:val="en-US" w:eastAsia="zh-CN" w:bidi="ar"/>
              </w:rPr>
              <w:t>公开</w:t>
            </w:r>
            <w:r>
              <w:rPr>
                <w:rFonts w:hint="eastAsia" w:ascii="Times New Roman" w:hAnsi="Times New Roman" w:eastAsia="仿宋_GB2312" w:cs="仿宋"/>
                <w:color w:val="000000"/>
                <w:kern w:val="0"/>
                <w:sz w:val="22"/>
                <w:lang w:bidi="ar"/>
              </w:rPr>
              <w:t>③项目进度是否根据原计划进行，若有延迟，是否进行披露</w:t>
            </w:r>
            <w:r>
              <w:rPr>
                <w:rFonts w:hint="eastAsia" w:ascii="Times New Roman" w:hAnsi="Times New Roman" w:eastAsia="仿宋_GB2312" w:cs="仿宋"/>
                <w:color w:val="000000"/>
                <w:kern w:val="0"/>
                <w:sz w:val="22"/>
                <w:lang w:eastAsia="zh-CN" w:bidi="ar"/>
              </w:rPr>
              <w:t>。</w:t>
            </w:r>
          </w:p>
        </w:tc>
        <w:tc>
          <w:tcPr>
            <w:tcW w:w="43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项目单位提供的《实施方案》等项目资料，访谈沙湾市财政局可知沙湾市公安局对项目的重大事项，包括资金使用情况、项目建设进度等进行了公开公示；对实施方案中测算的调整进行了披露；项目进度已根据原计划进行，得分 1分。</w:t>
            </w:r>
          </w:p>
          <w:p>
            <w:pPr>
              <w:widowControl/>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blHeader/>
        </w:trPr>
        <w:tc>
          <w:tcPr>
            <w:tcW w:w="796"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auto"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p>
        </w:tc>
        <w:tc>
          <w:tcPr>
            <w:tcW w:w="7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Times New Roman"/>
                <w:color w:val="000000"/>
                <w:kern w:val="0"/>
                <w:sz w:val="22"/>
                <w:szCs w:val="24"/>
                <w:lang w:val="en-US" w:eastAsia="zh-CN" w:bidi="ar"/>
              </w:rPr>
            </w:pPr>
            <w:r>
              <w:rPr>
                <w:rFonts w:ascii="Times New Roman" w:hAnsi="Times New Roman" w:eastAsia="仿宋_GB2312"/>
                <w:color w:val="000000"/>
                <w:kern w:val="0"/>
                <w:sz w:val="22"/>
                <w:lang w:bidi="ar"/>
              </w:rPr>
              <w:t>B</w:t>
            </w:r>
            <w:r>
              <w:rPr>
                <w:rFonts w:hint="eastAsia" w:ascii="Times New Roman" w:hAnsi="Times New Roman" w:eastAsia="仿宋_GB2312"/>
                <w:color w:val="000000"/>
                <w:kern w:val="0"/>
                <w:sz w:val="22"/>
                <w:lang w:bidi="ar"/>
              </w:rPr>
              <w:t>21</w:t>
            </w:r>
            <w:r>
              <w:rPr>
                <w:rFonts w:hint="eastAsia" w:ascii="Times New Roman" w:hAnsi="Times New Roman" w:eastAsia="仿宋_GB2312"/>
                <w:color w:val="000000"/>
                <w:kern w:val="0"/>
                <w:sz w:val="22"/>
                <w:lang w:val="en-US" w:eastAsia="zh-CN" w:bidi="ar"/>
              </w:rPr>
              <w:t>6外部监督发现问题整改情况</w:t>
            </w:r>
          </w:p>
        </w:tc>
        <w:tc>
          <w:tcPr>
            <w:tcW w:w="55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_GB2312" w:cs="仿宋"/>
                <w:color w:val="000000"/>
                <w:kern w:val="0"/>
                <w:sz w:val="22"/>
                <w:szCs w:val="24"/>
                <w:lang w:val="en-US" w:eastAsia="zh-CN" w:bidi="ar"/>
              </w:rPr>
            </w:pPr>
            <w:r>
              <w:rPr>
                <w:rFonts w:hint="eastAsia" w:ascii="Times New Roman" w:hAnsi="Times New Roman" w:eastAsia="仿宋_GB2312" w:cs="仿宋"/>
                <w:color w:val="000000"/>
                <w:kern w:val="0"/>
                <w:sz w:val="22"/>
                <w:szCs w:val="24"/>
                <w:lang w:val="en-US" w:eastAsia="zh-CN" w:bidi="ar"/>
              </w:rPr>
              <w:t>1</w:t>
            </w:r>
          </w:p>
        </w:tc>
        <w:tc>
          <w:tcPr>
            <w:tcW w:w="14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仿宋"/>
                <w:color w:val="000000"/>
                <w:kern w:val="0"/>
                <w:sz w:val="22"/>
                <w:szCs w:val="24"/>
                <w:lang w:val="en-US" w:eastAsia="zh-CN" w:bidi="ar"/>
              </w:rPr>
            </w:pPr>
            <w:r>
              <w:rPr>
                <w:rFonts w:hint="eastAsia" w:ascii="Times New Roman" w:hAnsi="Times New Roman" w:eastAsia="仿宋_GB2312" w:cs="仿宋"/>
                <w:color w:val="000000"/>
                <w:kern w:val="0"/>
                <w:sz w:val="22"/>
                <w:lang w:val="en-US" w:eastAsia="zh-CN" w:bidi="ar"/>
              </w:rPr>
              <w:t>是否对同级人大、审计等部门及上级部门监督发现的问题进行整改</w:t>
            </w:r>
          </w:p>
        </w:tc>
        <w:tc>
          <w:tcPr>
            <w:tcW w:w="69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仿宋"/>
                <w:color w:val="000000"/>
                <w:kern w:val="0"/>
                <w:sz w:val="22"/>
                <w:szCs w:val="24"/>
                <w:lang w:val="en-US" w:eastAsia="zh-CN" w:bidi="ar"/>
              </w:rPr>
            </w:pPr>
            <w:r>
              <w:rPr>
                <w:rFonts w:hint="eastAsia" w:ascii="Times New Roman" w:hAnsi="Times New Roman" w:eastAsia="仿宋_GB2312" w:cs="仿宋"/>
                <w:color w:val="000000"/>
                <w:kern w:val="0"/>
                <w:sz w:val="22"/>
                <w:lang w:val="en-US" w:eastAsia="zh-CN" w:bidi="ar"/>
              </w:rPr>
              <w:t>落实</w:t>
            </w:r>
          </w:p>
        </w:tc>
        <w:tc>
          <w:tcPr>
            <w:tcW w:w="7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仿宋"/>
                <w:color w:val="000000"/>
                <w:kern w:val="0"/>
                <w:sz w:val="22"/>
                <w:szCs w:val="24"/>
                <w:lang w:val="en-US" w:eastAsia="zh-CN" w:bidi="ar"/>
              </w:rPr>
            </w:pPr>
            <w:r>
              <w:rPr>
                <w:rFonts w:hint="eastAsia" w:ascii="Times New Roman" w:hAnsi="Times New Roman" w:eastAsia="仿宋_GB2312" w:cs="仿宋"/>
                <w:color w:val="000000"/>
                <w:kern w:val="0"/>
                <w:sz w:val="22"/>
                <w:lang w:bidi="ar"/>
              </w:rPr>
              <w:t>通用标准</w:t>
            </w:r>
          </w:p>
        </w:tc>
        <w:tc>
          <w:tcPr>
            <w:tcW w:w="20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仿宋_GB2312" w:cs="仿宋"/>
                <w:color w:val="000000"/>
                <w:kern w:val="0"/>
                <w:sz w:val="22"/>
                <w:szCs w:val="24"/>
                <w:lang w:val="en-US" w:eastAsia="zh-CN" w:bidi="ar"/>
              </w:rPr>
            </w:pPr>
            <w:r>
              <w:rPr>
                <w:rFonts w:hint="eastAsia" w:ascii="Times New Roman" w:hAnsi="Times New Roman" w:eastAsia="仿宋_GB2312" w:cs="仿宋"/>
                <w:color w:val="000000"/>
                <w:kern w:val="0"/>
                <w:sz w:val="22"/>
                <w:lang w:val="en-US" w:eastAsia="zh-CN" w:bidi="ar"/>
              </w:rPr>
              <w:t>①外部监督发现问题以实质性纠错的方式予以全部整改落实；②已采取措施着手整改但尚未完全整改到位的问题明确了后续落实方案和时间计划；</w:t>
            </w:r>
            <w:r>
              <w:rPr>
                <w:rFonts w:hint="eastAsia" w:ascii="Times New Roman" w:hAnsi="Times New Roman" w:eastAsia="仿宋_GB2312" w:cs="仿宋"/>
                <w:color w:val="000000"/>
                <w:kern w:val="0"/>
                <w:sz w:val="22"/>
                <w:lang w:val="en-US" w:eastAsia="zh-CN" w:bidi="ar"/>
              </w:rPr>
              <w:br w:type="textWrapping"/>
            </w:r>
            <w:r>
              <w:rPr>
                <w:rFonts w:hint="eastAsia" w:ascii="Times New Roman" w:hAnsi="Times New Roman" w:eastAsia="仿宋_GB2312" w:cs="仿宋"/>
                <w:color w:val="000000"/>
                <w:kern w:val="0"/>
                <w:sz w:val="22"/>
                <w:lang w:val="en-US" w:eastAsia="zh-CN" w:bidi="ar"/>
              </w:rPr>
              <w:t>③对于较重大问题或屡次再现的监督发现问题，项目单位及主管部门是否建立有效的长效解决机制。</w:t>
            </w:r>
          </w:p>
        </w:tc>
        <w:tc>
          <w:tcPr>
            <w:tcW w:w="436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7"/>
              <w:keepNext w:val="0"/>
              <w:keepLines w:val="0"/>
              <w:pageBreakBefore w:val="0"/>
              <w:kinsoku/>
              <w:wordWrap/>
              <w:overflowPunct/>
              <w:topLinePunct w:val="0"/>
              <w:autoSpaceDE/>
              <w:autoSpaceDN/>
              <w:bidi w:val="0"/>
              <w:spacing w:line="240" w:lineRule="auto"/>
              <w:ind w:left="0" w:leftChars="0" w:firstLine="440" w:firstLineChars="200"/>
              <w:rPr>
                <w:rFonts w:hint="eastAsia" w:ascii="Times New Roman" w:hAnsi="Times New Roman" w:eastAsia="仿宋_GB2312" w:cs="仿宋"/>
                <w:color w:val="000000"/>
                <w:kern w:val="0"/>
                <w:sz w:val="22"/>
                <w:szCs w:val="24"/>
                <w:highlight w:val="none"/>
                <w:lang w:val="en-US" w:eastAsia="zh-CN" w:bidi="ar"/>
              </w:rPr>
            </w:pPr>
            <w:r>
              <w:rPr>
                <w:rFonts w:hint="eastAsia" w:ascii="Times New Roman" w:hAnsi="Times New Roman" w:eastAsia="仿宋_GB2312" w:cs="仿宋"/>
                <w:color w:val="000000"/>
                <w:kern w:val="0"/>
                <w:sz w:val="22"/>
                <w:szCs w:val="24"/>
                <w:highlight w:val="none"/>
                <w:lang w:val="en-US" w:eastAsia="zh-CN" w:bidi="ar"/>
              </w:rPr>
              <w:t>经查证项目单位提供的项目资料，外部监督发现问题以实质性纠错的方式予以全部整改落实；对已采取措施着手整改但尚未完全整改到位的问题明确了后续落实方案和时间计划；对于较重大问题或屡次出现的监督发现问题，项目单位及主管部门建立有效的长效解决机制</w:t>
            </w:r>
            <w:bookmarkStart w:id="4" w:name="_Toc9325"/>
            <w:r>
              <w:rPr>
                <w:rFonts w:hint="eastAsia" w:ascii="Times New Roman" w:hAnsi="Times New Roman" w:eastAsia="仿宋_GB2312" w:cs="仿宋"/>
                <w:color w:val="000000"/>
                <w:kern w:val="0"/>
                <w:sz w:val="22"/>
                <w:szCs w:val="24"/>
                <w:highlight w:val="none"/>
                <w:lang w:val="en-US" w:eastAsia="zh-CN" w:bidi="ar"/>
              </w:rPr>
              <w:t>，得分 1分。</w:t>
            </w:r>
            <w:bookmarkEnd w:id="4"/>
          </w:p>
          <w:p>
            <w:pPr>
              <w:widowControl/>
              <w:spacing w:after="240"/>
              <w:jc w:val="left"/>
              <w:textAlignment w:val="center"/>
              <w:rPr>
                <w:rFonts w:hint="eastAsia" w:ascii="仿宋_GB2312" w:hAnsi="宋体" w:eastAsia="仿宋_GB2312" w:cs="仿宋_GB2312"/>
                <w:i w:val="0"/>
                <w:iCs w:val="0"/>
                <w:color w:val="000000"/>
                <w:sz w:val="22"/>
                <w:szCs w:val="22"/>
                <w:highlight w:val="none"/>
                <w:u w:val="none"/>
              </w:rPr>
            </w:pPr>
          </w:p>
        </w:tc>
        <w:tc>
          <w:tcPr>
            <w:tcW w:w="72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after="24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w:t>
            </w:r>
          </w:p>
        </w:tc>
        <w:tc>
          <w:tcPr>
            <w:tcW w:w="1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after="24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blHead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C 产出（4</w:t>
            </w:r>
            <w:r>
              <w:rPr>
                <w:rFonts w:hint="eastAsia" w:ascii="仿宋_GB2312" w:hAnsi="宋体" w:eastAsia="仿宋_GB2312" w:cs="仿宋_GB2312"/>
                <w:i w:val="0"/>
                <w:iCs w:val="0"/>
                <w:color w:val="000000"/>
                <w:kern w:val="0"/>
                <w:sz w:val="22"/>
                <w:szCs w:val="22"/>
                <w:u w:val="none"/>
                <w:lang w:val="en-US" w:eastAsia="zh-CN" w:bidi="ar"/>
              </w:rPr>
              <w:t>0</w:t>
            </w:r>
            <w:r>
              <w:rPr>
                <w:rFonts w:hint="default" w:ascii="仿宋_GB2312" w:hAnsi="宋体" w:eastAsia="仿宋_GB2312" w:cs="仿宋_GB2312"/>
                <w:i w:val="0"/>
                <w:iCs w:val="0"/>
                <w:color w:val="000000"/>
                <w:kern w:val="0"/>
                <w:sz w:val="22"/>
                <w:szCs w:val="22"/>
                <w:u w:val="none"/>
                <w:lang w:val="en-US" w:eastAsia="zh-CN" w:bidi="ar"/>
              </w:rPr>
              <w:t>）</w:t>
            </w:r>
          </w:p>
        </w:tc>
        <w:tc>
          <w:tcPr>
            <w:tcW w:w="8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C</w:t>
            </w:r>
            <w:r>
              <w:rPr>
                <w:rFonts w:hint="default" w:ascii="Times New Roman" w:hAnsi="Times New Roman" w:eastAsia="仿宋_GB2312" w:cs="Times New Roman"/>
                <w:i w:val="0"/>
                <w:iCs w:val="0"/>
                <w:color w:val="000000"/>
                <w:kern w:val="0"/>
                <w:sz w:val="22"/>
                <w:szCs w:val="22"/>
                <w:u w:val="none"/>
                <w:lang w:val="en-US" w:eastAsia="zh-CN" w:bidi="ar"/>
              </w:rPr>
              <w:t>1</w:t>
            </w:r>
            <w:r>
              <w:rPr>
                <w:rStyle w:val="36"/>
                <w:rFonts w:hAnsi="宋体"/>
                <w:lang w:val="en-US" w:eastAsia="zh-CN" w:bidi="ar"/>
              </w:rPr>
              <w:t xml:space="preserve"> 数量</w:t>
            </w:r>
            <w:r>
              <w:rPr>
                <w:rStyle w:val="36"/>
                <w:rFonts w:hint="eastAsia" w:hAnsi="宋体"/>
                <w:lang w:val="en-US" w:eastAsia="zh-CN" w:bidi="ar"/>
              </w:rPr>
              <w:t>（</w:t>
            </w:r>
            <w:r>
              <w:rPr>
                <w:rStyle w:val="36"/>
                <w:rFonts w:hAnsi="宋体"/>
                <w:lang w:val="en-US" w:eastAsia="zh-CN" w:bidi="ar"/>
              </w:rPr>
              <w:t>1</w:t>
            </w:r>
            <w:r>
              <w:rPr>
                <w:rStyle w:val="36"/>
                <w:rFonts w:hint="eastAsia" w:hAnsi="宋体"/>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23"/>
                <w:rFonts w:hint="eastAsia" w:ascii="Times New Roman" w:hAnsi="Times New Roman" w:eastAsia="仿宋_GB2312" w:cs="Times New Roman"/>
                <w:color w:val="000000"/>
                <w:kern w:val="0"/>
                <w:sz w:val="22"/>
                <w:lang w:val="en-US"/>
              </w:rPr>
              <w:t>建设项目数量（个）</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Times New Roman" w:hAnsi="Times New Roman"/>
                <w:kern w:val="0"/>
                <w:sz w:val="22"/>
                <w:highlight w:val="none"/>
              </w:rPr>
              <w:t>考察项目建</w:t>
            </w:r>
            <w:r>
              <w:rPr>
                <w:rFonts w:hint="eastAsia" w:ascii="Times New Roman" w:hAnsi="Times New Roman"/>
                <w:kern w:val="0"/>
                <w:sz w:val="22"/>
                <w:highlight w:val="none"/>
                <w:lang w:val="en-US" w:eastAsia="zh-CN"/>
              </w:rPr>
              <w:t>设完成</w:t>
            </w:r>
            <w:r>
              <w:rPr>
                <w:rFonts w:ascii="Times New Roman" w:hAnsi="Times New Roman"/>
                <w:kern w:val="0"/>
                <w:sz w:val="22"/>
                <w:highlight w:val="none"/>
              </w:rPr>
              <w:t>数量</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=1个</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计划标准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仿宋"/>
                <w:color w:val="000000"/>
                <w:kern w:val="0"/>
                <w:sz w:val="22"/>
                <w:lang w:val="en-US" w:eastAsia="zh-CN" w:bidi="ar"/>
              </w:rPr>
            </w:pPr>
            <w:r>
              <w:rPr>
                <w:rFonts w:hint="eastAsia" w:ascii="Times New Roman" w:hAnsi="Times New Roman" w:eastAsia="仿宋_GB2312" w:cs="仿宋"/>
                <w:color w:val="000000"/>
                <w:kern w:val="0"/>
                <w:sz w:val="22"/>
                <w:lang w:val="en-US" w:eastAsia="zh-CN" w:bidi="ar"/>
              </w:rPr>
              <w:t>根据项目实际完成情况与初设批复情况对比，达到目标值得满分，未达到不得分。</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仿宋"/>
                <w:color w:val="000000"/>
                <w:kern w:val="0"/>
                <w:sz w:val="22"/>
                <w:lang w:val="en-US" w:eastAsia="zh-CN" w:bidi="ar"/>
              </w:rPr>
            </w:pPr>
            <w:r>
              <w:rPr>
                <w:rFonts w:hint="eastAsia" w:ascii="Times New Roman" w:hAnsi="Times New Roman" w:eastAsia="仿宋_GB2312" w:cs="仿宋"/>
                <w:color w:val="000000"/>
                <w:kern w:val="0"/>
                <w:sz w:val="22"/>
                <w:lang w:val="en-US" w:eastAsia="zh-CN" w:bidi="ar"/>
              </w:rPr>
              <w:t>根据项目验收资料及初设批复内容分析，沙湾市智慧交通信息化升级改造项目全部完成验收，得分12分。</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C</w:t>
            </w:r>
            <w:r>
              <w:rPr>
                <w:rFonts w:hint="default" w:ascii="Times New Roman" w:hAnsi="Times New Roman" w:eastAsia="仿宋_GB2312" w:cs="Times New Roman"/>
                <w:i w:val="0"/>
                <w:iCs w:val="0"/>
                <w:color w:val="000000"/>
                <w:kern w:val="0"/>
                <w:sz w:val="22"/>
                <w:szCs w:val="22"/>
                <w:u w:val="none"/>
                <w:lang w:val="en-US" w:eastAsia="zh-CN" w:bidi="ar"/>
              </w:rPr>
              <w:t>2</w:t>
            </w:r>
            <w:r>
              <w:rPr>
                <w:rStyle w:val="36"/>
                <w:rFonts w:hAnsi="宋体"/>
                <w:lang w:val="en-US" w:eastAsia="zh-CN" w:bidi="ar"/>
              </w:rPr>
              <w:t xml:space="preserve"> 质量</w:t>
            </w:r>
            <w:r>
              <w:rPr>
                <w:rStyle w:val="36"/>
                <w:rFonts w:hint="eastAsia" w:hAnsi="宋体"/>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资金支付合规率（%）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考察项目资金支付是否合法合规，是否符合沙湾市财政支付流程</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计划标准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资金支付合法合规，并且符合财政支付流程得分，否则不得分。</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yellow"/>
                <w:u w:val="none"/>
                <w:lang w:val="en-US"/>
              </w:rPr>
            </w:pPr>
            <w:r>
              <w:rPr>
                <w:rFonts w:hint="eastAsia" w:ascii="仿宋_GB2312" w:hAnsi="宋体" w:eastAsia="仿宋_GB2312" w:cs="仿宋_GB2312"/>
                <w:i w:val="0"/>
                <w:iCs w:val="0"/>
                <w:color w:val="000000"/>
                <w:sz w:val="22"/>
                <w:szCs w:val="22"/>
                <w:u w:val="none"/>
                <w:lang w:val="en-US" w:eastAsia="zh-CN"/>
              </w:rPr>
              <w:t>查证单位财务资料该项目资金支付合法合规，并且符合财政支付流程，得分8分。</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lang w:val="en-US" w:eastAsia="zh-CN"/>
              </w:rPr>
            </w:pPr>
            <w:r>
              <w:rPr>
                <w:rFonts w:hint="eastAsia" w:ascii="宋体" w:hAnsi="宋体" w:cs="宋体"/>
                <w:i w:val="0"/>
                <w:iCs w:val="0"/>
                <w:color w:val="000000"/>
                <w:sz w:val="22"/>
                <w:szCs w:val="22"/>
                <w:highlight w:val="none"/>
                <w:u w:val="none"/>
                <w:lang w:val="en-US" w:eastAsia="zh-CN"/>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C</w:t>
            </w:r>
            <w:r>
              <w:rPr>
                <w:rFonts w:hint="default" w:ascii="Times New Roman" w:hAnsi="Times New Roman" w:eastAsia="仿宋_GB2312" w:cs="Times New Roman"/>
                <w:i w:val="0"/>
                <w:iCs w:val="0"/>
                <w:color w:val="000000"/>
                <w:kern w:val="0"/>
                <w:sz w:val="22"/>
                <w:szCs w:val="22"/>
                <w:u w:val="none"/>
                <w:lang w:val="en-US" w:eastAsia="zh-CN" w:bidi="ar"/>
              </w:rPr>
              <w:t>3</w:t>
            </w:r>
            <w:r>
              <w:rPr>
                <w:rStyle w:val="36"/>
                <w:rFonts w:hAnsi="宋体"/>
                <w:lang w:val="en-US" w:eastAsia="zh-CN" w:bidi="ar"/>
              </w:rPr>
              <w:t xml:space="preserve"> 时效（</w:t>
            </w:r>
            <w:r>
              <w:rPr>
                <w:rStyle w:val="36"/>
                <w:rFonts w:hint="eastAsia" w:hAnsi="宋体"/>
                <w:lang w:val="en-US" w:eastAsia="zh-CN" w:bidi="ar"/>
              </w:rPr>
              <w:t>7</w:t>
            </w:r>
            <w:r>
              <w:rPr>
                <w:rStyle w:val="36"/>
                <w:rFonts w:hAnsi="宋体"/>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资金支付及时率（%）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考察项目资金支付实际完成时间与计划完成时间的比较，用以反映和考核项目完成时效目标的实现程度</w:t>
            </w:r>
            <w:r>
              <w:rPr>
                <w:rFonts w:ascii="Times New Roman" w:hAnsi="Times New Roman"/>
                <w:sz w:val="22"/>
                <w:highlight w:val="none"/>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计划标准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考察项目是否按计划完工并且支付资金，晚于计划完成日期支付资金一个月扣除10%的权重分，扣完为止。</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highlight w:val="yellow"/>
                <w:u w:val="none"/>
                <w:lang w:val="en-US"/>
              </w:rPr>
            </w:pPr>
            <w:r>
              <w:rPr>
                <w:rFonts w:hint="eastAsia" w:ascii="仿宋_GB2312" w:hAnsi="宋体" w:eastAsia="仿宋_GB2312" w:cs="仿宋_GB2312"/>
                <w:i w:val="0"/>
                <w:iCs w:val="0"/>
                <w:color w:val="000000"/>
                <w:sz w:val="22"/>
                <w:szCs w:val="22"/>
                <w:u w:val="none"/>
                <w:lang w:val="en-US" w:eastAsia="zh-CN"/>
              </w:rPr>
              <w:t>查证单位财务资料该项目已按照计划完工并完成验收，资金合同规定及时支付，得分7分。</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C</w:t>
            </w:r>
            <w:r>
              <w:rPr>
                <w:rFonts w:hint="default" w:ascii="Times New Roman" w:hAnsi="Times New Roman" w:eastAsia="仿宋_GB2312" w:cs="Times New Roman"/>
                <w:i w:val="0"/>
                <w:iCs w:val="0"/>
                <w:color w:val="000000"/>
                <w:kern w:val="0"/>
                <w:sz w:val="22"/>
                <w:szCs w:val="22"/>
                <w:u w:val="none"/>
                <w:lang w:val="en-US" w:eastAsia="zh-CN" w:bidi="ar"/>
              </w:rPr>
              <w:t>4</w:t>
            </w:r>
            <w:r>
              <w:rPr>
                <w:rStyle w:val="36"/>
                <w:rFonts w:hAnsi="宋体"/>
                <w:lang w:val="en-US" w:eastAsia="zh-CN" w:bidi="ar"/>
              </w:rPr>
              <w:t xml:space="preserve"> 成本</w:t>
            </w:r>
            <w:r>
              <w:rPr>
                <w:rStyle w:val="36"/>
                <w:rFonts w:hint="eastAsia" w:hAnsi="宋体"/>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公安局智慧交通建设项目成本（万元）</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考察项目成本</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≤5000万元</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计划标准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考察项目成本有没有高于平均市场成本，是否节约成本，成本如虚高该项不得分</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查证单位财务资料该项目成本符合标准，并按时支付5000万元，得分13分。</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blHead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D效益（20）</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D1 实施效益</w:t>
            </w:r>
            <w:r>
              <w:rPr>
                <w:rFonts w:hint="eastAsia"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10</w:t>
            </w:r>
            <w:r>
              <w:rPr>
                <w:rFonts w:hint="eastAsia" w:ascii="仿宋_GB2312" w:hAnsi="宋体" w:eastAsia="仿宋_GB2312" w:cs="仿宋_GB2312"/>
                <w:i w:val="0"/>
                <w:iCs w:val="0"/>
                <w:color w:val="000000"/>
                <w:kern w:val="0"/>
                <w:sz w:val="22"/>
                <w:szCs w:val="22"/>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改善当地的交通通行安全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考察项目效益</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有效改善</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其他标准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考察项目实施对当地交通通行安全改善情况</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通过对信号灯的智能化升级和精准调控，路口通行秩序得到有效规范，提升了城乡道路的整体通行效率。得分5分</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blHead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提升交通秩序</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考察项目效益</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有效提升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其他标准</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考察项目实施对当地交通秩序提升情况</w:t>
            </w:r>
          </w:p>
        </w:tc>
        <w:tc>
          <w:tcPr>
            <w:tcW w:w="4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通过对 信号灯的智能化升级和精准调控，路口通行秩序得到有效规范，提升了城乡道路的整体通行效率。得分5分</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blHeader/>
        </w:trPr>
        <w:tc>
          <w:tcPr>
            <w:tcW w:w="79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8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D</w:t>
            </w:r>
            <w:r>
              <w:rPr>
                <w:rFonts w:hint="default" w:ascii="Times New Roman" w:hAnsi="Times New Roman" w:eastAsia="仿宋_GB2312" w:cs="Times New Roman"/>
                <w:i w:val="0"/>
                <w:iCs w:val="0"/>
                <w:color w:val="000000"/>
                <w:kern w:val="0"/>
                <w:sz w:val="22"/>
                <w:szCs w:val="22"/>
                <w:u w:val="none"/>
                <w:lang w:val="en-US" w:eastAsia="zh-CN" w:bidi="ar"/>
              </w:rPr>
              <w:t>2</w:t>
            </w:r>
            <w:r>
              <w:rPr>
                <w:rStyle w:val="36"/>
                <w:rFonts w:hAnsi="宋体"/>
                <w:lang w:val="en-US" w:eastAsia="zh-CN" w:bidi="ar"/>
              </w:rPr>
              <w:t xml:space="preserve"> 满意度</w:t>
            </w:r>
            <w:r>
              <w:rPr>
                <w:rStyle w:val="36"/>
                <w:rFonts w:hint="eastAsia" w:hAnsi="宋体"/>
                <w:lang w:val="en-US" w:eastAsia="zh-CN" w:bidi="ar"/>
              </w:rPr>
              <w:t>（</w:t>
            </w:r>
            <w:r>
              <w:rPr>
                <w:rStyle w:val="36"/>
                <w:rFonts w:hAnsi="宋体"/>
                <w:lang w:val="en-US" w:eastAsia="zh-CN" w:bidi="ar"/>
              </w:rPr>
              <w:t>10</w:t>
            </w:r>
            <w:r>
              <w:rPr>
                <w:rStyle w:val="36"/>
                <w:rFonts w:hint="eastAsia" w:hAnsi="宋体"/>
                <w:lang w:val="en-US" w:eastAsia="zh-CN" w:bidi="ar"/>
              </w:rPr>
              <w:t>）</w:t>
            </w:r>
          </w:p>
        </w:tc>
        <w:tc>
          <w:tcPr>
            <w:tcW w:w="7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受益企业满意度（%）</w:t>
            </w:r>
          </w:p>
        </w:tc>
        <w:tc>
          <w:tcPr>
            <w:tcW w:w="5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10</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考察受众满意度情况</w:t>
            </w:r>
          </w:p>
        </w:tc>
        <w:tc>
          <w:tcPr>
            <w:tcW w:w="6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≥95%</w:t>
            </w:r>
          </w:p>
        </w:tc>
        <w:tc>
          <w:tcPr>
            <w:tcW w:w="7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满意度标准</w:t>
            </w:r>
          </w:p>
        </w:tc>
        <w:tc>
          <w:tcPr>
            <w:tcW w:w="20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考察项目实施受众满意度情况</w:t>
            </w:r>
          </w:p>
        </w:tc>
        <w:tc>
          <w:tcPr>
            <w:tcW w:w="43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调研发放满意度问卷55分，回收有效问卷50分，满意度达到99%，得分5分。</w:t>
            </w:r>
          </w:p>
        </w:tc>
        <w:tc>
          <w:tcPr>
            <w:tcW w:w="72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blHeader/>
        </w:trPr>
        <w:tc>
          <w:tcPr>
            <w:tcW w:w="796"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36"/>
                <w:rFonts w:hAnsi="宋体"/>
                <w:lang w:val="en-US" w:eastAsia="zh-CN" w:bidi="ar"/>
              </w:rPr>
              <w:t>总分</w:t>
            </w:r>
          </w:p>
        </w:tc>
        <w:tc>
          <w:tcPr>
            <w:tcW w:w="84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8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55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100</w:t>
            </w:r>
          </w:p>
        </w:tc>
        <w:tc>
          <w:tcPr>
            <w:tcW w:w="148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69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72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08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369"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2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98</w:t>
            </w:r>
          </w:p>
        </w:tc>
        <w:tc>
          <w:tcPr>
            <w:tcW w:w="1034" w:type="dxa"/>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97.32%</w:t>
            </w:r>
          </w:p>
        </w:tc>
      </w:tr>
    </w:tbl>
    <w:p>
      <w:pPr>
        <w:bidi w:val="0"/>
        <w:jc w:val="left"/>
        <w:rPr>
          <w:rFonts w:hint="default"/>
          <w:lang w:val="en-US" w:eastAsia="zh-CN"/>
        </w:rPr>
      </w:pPr>
    </w:p>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CDE60C-4386-494B-9998-90E07311F9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9664322-91A3-4AFA-BCB5-11349A2EE7B0}"/>
  </w:font>
  <w:font w:name="仿宋_GB2312">
    <w:panose1 w:val="02010609030101010101"/>
    <w:charset w:val="86"/>
    <w:family w:val="modern"/>
    <w:pitch w:val="default"/>
    <w:sig w:usb0="00000001" w:usb1="080E0000" w:usb2="00000000" w:usb3="00000000" w:csb0="00040000" w:csb1="00000000"/>
    <w:embedRegular r:id="rId3" w:fontKey="{041D9128-856D-4CA8-AA6A-CB43D3626A6B}"/>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00C057E6-3416-45CB-9744-8A597048EF31}"/>
  </w:font>
  <w:font w:name="方正黑体_GBK">
    <w:panose1 w:val="02000000000000000000"/>
    <w:charset w:val="86"/>
    <w:family w:val="auto"/>
    <w:pitch w:val="default"/>
    <w:sig w:usb0="A00002BF" w:usb1="38CF7CFA" w:usb2="00082016" w:usb3="00000000" w:csb0="00040001" w:csb1="00000000"/>
    <w:embedRegular r:id="rId5" w:fontKey="{F351FAF2-97D2-4DAF-A1E7-2F6F89BC1E20}"/>
  </w:font>
  <w:font w:name="隶书">
    <w:panose1 w:val="02010509060101010101"/>
    <w:charset w:val="86"/>
    <w:family w:val="modern"/>
    <w:pitch w:val="default"/>
    <w:sig w:usb0="00000001" w:usb1="080E0000" w:usb2="00000000" w:usb3="00000000" w:csb0="00040000" w:csb1="00000000"/>
    <w:embedRegular r:id="rId6" w:fontKey="{86BDBA93-95CD-4071-9352-8C436937F709}"/>
  </w:font>
  <w:font w:name="方正仿宋_GBK">
    <w:panose1 w:val="02000000000000000000"/>
    <w:charset w:val="86"/>
    <w:family w:val="auto"/>
    <w:pitch w:val="default"/>
    <w:sig w:usb0="A00002BF" w:usb1="38CF7CFA" w:usb2="00082016" w:usb3="00000000" w:csb0="00040001" w:csb1="00000000"/>
    <w:embedRegular r:id="rId7" w:fontKey="{943869C7-CE7C-4049-889C-8FDC266336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526415"/>
      <w:docPartObj>
        <w:docPartGallery w:val="autotext"/>
      </w:docPartObj>
    </w:sdtPr>
    <w:sdtContent>
      <w:p>
        <w:pPr>
          <w:pStyle w:val="10"/>
          <w:jc w:val="center"/>
        </w:pPr>
        <w:r>
          <w:fldChar w:fldCharType="begin"/>
        </w:r>
        <w:r>
          <w:instrText xml:space="preserve">PAGE   \* MERGEFORMAT</w:instrText>
        </w:r>
        <w:r>
          <w:fldChar w:fldCharType="separate"/>
        </w:r>
        <w:r>
          <w:rPr>
            <w:lang w:val="zh-CN"/>
          </w:rPr>
          <w:t>12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pBdr>
        <w:bottom w:val="none" w:color="auto" w:sz="0" w:space="1"/>
      </w:pBdr>
      <w:kinsoku/>
      <w:wordWrap/>
      <w:overflowPunct/>
      <w:topLinePunct w:val="0"/>
      <w:bidi w:val="0"/>
      <w:adjustRightInd/>
      <w:snapToGrid w:val="0"/>
      <w:spacing w:after="0" w:line="300" w:lineRule="exact"/>
      <w:jc w:val="left"/>
      <w:textAlignment w:val="auto"/>
      <w:outlineLvl w:val="9"/>
      <w:rPr>
        <w:rFonts w:hint="eastAsia" w:ascii="隶书" w:hAnsi="宋体" w:eastAsia="宋体"/>
        <w:b w:val="0"/>
        <w:bCs w:val="0"/>
        <w:sz w:val="21"/>
        <w:szCs w:val="21"/>
        <w:lang w:eastAsia="zh-CN"/>
      </w:rPr>
    </w:pPr>
    <w:r>
      <w:rPr>
        <w:rFonts w:hint="eastAsia" w:ascii="隶书" w:hAnsi="宋体"/>
        <w:b w:val="0"/>
        <w:bCs w:val="0"/>
        <w:sz w:val="21"/>
        <w:szCs w:val="21"/>
      </w:rPr>
      <w:t>新</w:t>
    </w:r>
    <w:r>
      <w:rPr>
        <w:rFonts w:hint="eastAsia" w:ascii="隶书" w:hAnsi="宋体" w:eastAsia="宋体"/>
        <w:b w:val="0"/>
        <w:bCs w:val="0"/>
        <w:sz w:val="21"/>
        <w:szCs w:val="21"/>
      </w:rPr>
      <w:t>疆</w:t>
    </w:r>
    <w:r>
      <w:rPr>
        <w:rFonts w:hint="eastAsia" w:ascii="隶书" w:hAnsi="宋体"/>
        <w:b w:val="0"/>
        <w:bCs w:val="0"/>
        <w:sz w:val="21"/>
        <w:szCs w:val="21"/>
        <w:lang w:val="en-US" w:eastAsia="zh-CN"/>
      </w:rPr>
      <w:t>智汇铭宸科技</w:t>
    </w:r>
    <w:r>
      <w:rPr>
        <w:rFonts w:hint="eastAsia" w:ascii="隶书" w:hAnsi="宋体" w:eastAsia="宋体"/>
        <w:b w:val="0"/>
        <w:bCs w:val="0"/>
        <w:sz w:val="21"/>
        <w:szCs w:val="21"/>
        <w:lang w:val="en-US" w:eastAsia="zh-CN"/>
      </w:rPr>
      <w:t>咨询</w:t>
    </w:r>
    <w:r>
      <w:rPr>
        <w:rFonts w:hint="eastAsia" w:ascii="隶书" w:hAnsi="宋体" w:eastAsia="宋体"/>
        <w:b w:val="0"/>
        <w:bCs w:val="0"/>
        <w:sz w:val="21"/>
        <w:szCs w:val="21"/>
      </w:rPr>
      <w:t>有限</w:t>
    </w:r>
    <w:r>
      <w:rPr>
        <w:rFonts w:hint="eastAsia" w:ascii="隶书" w:hAnsi="宋体" w:eastAsia="宋体"/>
        <w:b w:val="0"/>
        <w:bCs w:val="0"/>
        <w:sz w:val="21"/>
        <w:szCs w:val="21"/>
        <w:lang w:val="en-US" w:eastAsia="zh-CN"/>
      </w:rPr>
      <w:t>公司</w:t>
    </w:r>
  </w:p>
  <w:p>
    <w:pPr>
      <w:pStyle w:val="11"/>
      <w:keepNext w:val="0"/>
      <w:keepLines w:val="0"/>
      <w:pageBreakBefore w:val="0"/>
      <w:widowControl w:val="0"/>
      <w:pBdr>
        <w:bottom w:val="single" w:color="auto" w:sz="4" w:space="1"/>
      </w:pBdr>
      <w:kinsoku/>
      <w:wordWrap/>
      <w:overflowPunct/>
      <w:topLinePunct w:val="0"/>
      <w:bidi w:val="0"/>
      <w:adjustRightInd/>
      <w:snapToGrid w:val="0"/>
      <w:spacing w:after="0" w:line="300" w:lineRule="exact"/>
      <w:jc w:val="left"/>
      <w:textAlignment w:val="auto"/>
      <w:outlineLvl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NTU0MWNlMTdmZDllOTYxYjJiZGVlZTI3NjFlNmQifQ=="/>
  </w:docVars>
  <w:rsids>
    <w:rsidRoot w:val="00000000"/>
    <w:rsid w:val="003F4CAE"/>
    <w:rsid w:val="00EF3124"/>
    <w:rsid w:val="01205E20"/>
    <w:rsid w:val="01654456"/>
    <w:rsid w:val="01830099"/>
    <w:rsid w:val="01CC1A40"/>
    <w:rsid w:val="02897931"/>
    <w:rsid w:val="028B338A"/>
    <w:rsid w:val="02FE3E7B"/>
    <w:rsid w:val="03253AFD"/>
    <w:rsid w:val="04073203"/>
    <w:rsid w:val="045E0CD4"/>
    <w:rsid w:val="04E92909"/>
    <w:rsid w:val="053A3164"/>
    <w:rsid w:val="054144F3"/>
    <w:rsid w:val="05C56ED2"/>
    <w:rsid w:val="05FD666C"/>
    <w:rsid w:val="067500F7"/>
    <w:rsid w:val="06CC4290"/>
    <w:rsid w:val="073F2CB4"/>
    <w:rsid w:val="07B45450"/>
    <w:rsid w:val="07FB4E2D"/>
    <w:rsid w:val="08CB3664"/>
    <w:rsid w:val="08FD32B2"/>
    <w:rsid w:val="09497E1A"/>
    <w:rsid w:val="0A616557"/>
    <w:rsid w:val="0A6842D0"/>
    <w:rsid w:val="0BD75BB1"/>
    <w:rsid w:val="0CAF16B7"/>
    <w:rsid w:val="0DBE2B84"/>
    <w:rsid w:val="0E197DBB"/>
    <w:rsid w:val="1088747A"/>
    <w:rsid w:val="10C5247C"/>
    <w:rsid w:val="112A0531"/>
    <w:rsid w:val="11360437"/>
    <w:rsid w:val="11B322D4"/>
    <w:rsid w:val="131D034D"/>
    <w:rsid w:val="132C67E2"/>
    <w:rsid w:val="138228A6"/>
    <w:rsid w:val="146975C2"/>
    <w:rsid w:val="14871C3B"/>
    <w:rsid w:val="14EE480C"/>
    <w:rsid w:val="153A0A10"/>
    <w:rsid w:val="15747FCD"/>
    <w:rsid w:val="15981F0D"/>
    <w:rsid w:val="1658298F"/>
    <w:rsid w:val="1686445B"/>
    <w:rsid w:val="169721C5"/>
    <w:rsid w:val="18072E68"/>
    <w:rsid w:val="182C4B8E"/>
    <w:rsid w:val="18A032B3"/>
    <w:rsid w:val="19401DB9"/>
    <w:rsid w:val="19962699"/>
    <w:rsid w:val="199C5D44"/>
    <w:rsid w:val="1A0C111B"/>
    <w:rsid w:val="1A9C7615"/>
    <w:rsid w:val="1ADE75B5"/>
    <w:rsid w:val="1B4346C9"/>
    <w:rsid w:val="1BB630ED"/>
    <w:rsid w:val="1BC05D1A"/>
    <w:rsid w:val="1BD96DDB"/>
    <w:rsid w:val="1C09208A"/>
    <w:rsid w:val="1C80194D"/>
    <w:rsid w:val="1C856F63"/>
    <w:rsid w:val="1CF85987"/>
    <w:rsid w:val="1D016AA2"/>
    <w:rsid w:val="1D3369BF"/>
    <w:rsid w:val="1DA8115B"/>
    <w:rsid w:val="1EAE0073"/>
    <w:rsid w:val="1EE91A2B"/>
    <w:rsid w:val="1EF36406"/>
    <w:rsid w:val="1F20231F"/>
    <w:rsid w:val="1F516CF8"/>
    <w:rsid w:val="1F5A0233"/>
    <w:rsid w:val="1F6115C2"/>
    <w:rsid w:val="1F9A0F77"/>
    <w:rsid w:val="1FD06F37"/>
    <w:rsid w:val="202B3535"/>
    <w:rsid w:val="206C6470"/>
    <w:rsid w:val="20841298"/>
    <w:rsid w:val="20E95D13"/>
    <w:rsid w:val="220D5A31"/>
    <w:rsid w:val="22796BD4"/>
    <w:rsid w:val="228161A9"/>
    <w:rsid w:val="22BD3F49"/>
    <w:rsid w:val="235A7FBB"/>
    <w:rsid w:val="237C4C1C"/>
    <w:rsid w:val="23A10B26"/>
    <w:rsid w:val="24350DA1"/>
    <w:rsid w:val="244B0A92"/>
    <w:rsid w:val="24654ECD"/>
    <w:rsid w:val="246D0A09"/>
    <w:rsid w:val="24AC1531"/>
    <w:rsid w:val="250110FD"/>
    <w:rsid w:val="254A2AF8"/>
    <w:rsid w:val="25C603D0"/>
    <w:rsid w:val="26551754"/>
    <w:rsid w:val="2749750E"/>
    <w:rsid w:val="27CB7F20"/>
    <w:rsid w:val="27F751B9"/>
    <w:rsid w:val="28643ED1"/>
    <w:rsid w:val="28BE7A85"/>
    <w:rsid w:val="28E868B0"/>
    <w:rsid w:val="29406AC3"/>
    <w:rsid w:val="2A7A79DB"/>
    <w:rsid w:val="2B51698E"/>
    <w:rsid w:val="2BE45A54"/>
    <w:rsid w:val="2C1764C2"/>
    <w:rsid w:val="2D0B7011"/>
    <w:rsid w:val="2D574004"/>
    <w:rsid w:val="2DBE4D75"/>
    <w:rsid w:val="2DFD2DFD"/>
    <w:rsid w:val="2E0C467D"/>
    <w:rsid w:val="2E9E6C85"/>
    <w:rsid w:val="2EA96AE1"/>
    <w:rsid w:val="2F280A0F"/>
    <w:rsid w:val="2F2C1A95"/>
    <w:rsid w:val="2FAD4B84"/>
    <w:rsid w:val="30073BA1"/>
    <w:rsid w:val="30161F54"/>
    <w:rsid w:val="3095556F"/>
    <w:rsid w:val="30D140CD"/>
    <w:rsid w:val="30E331E4"/>
    <w:rsid w:val="322070BA"/>
    <w:rsid w:val="326E42CA"/>
    <w:rsid w:val="32805DAB"/>
    <w:rsid w:val="32AE2918"/>
    <w:rsid w:val="32AE46C6"/>
    <w:rsid w:val="32B01F6A"/>
    <w:rsid w:val="32E20814"/>
    <w:rsid w:val="33A819B6"/>
    <w:rsid w:val="33F86541"/>
    <w:rsid w:val="34A71D15"/>
    <w:rsid w:val="34BD6E42"/>
    <w:rsid w:val="35006703"/>
    <w:rsid w:val="358B6F41"/>
    <w:rsid w:val="36151F31"/>
    <w:rsid w:val="36413AA3"/>
    <w:rsid w:val="36E20DE2"/>
    <w:rsid w:val="376932B2"/>
    <w:rsid w:val="39477622"/>
    <w:rsid w:val="39504729"/>
    <w:rsid w:val="396106E4"/>
    <w:rsid w:val="39A22309"/>
    <w:rsid w:val="3AD153F6"/>
    <w:rsid w:val="3B3005EB"/>
    <w:rsid w:val="3BA1126C"/>
    <w:rsid w:val="3BF82E56"/>
    <w:rsid w:val="3C2100DE"/>
    <w:rsid w:val="3C575DCE"/>
    <w:rsid w:val="3C601127"/>
    <w:rsid w:val="3C917532"/>
    <w:rsid w:val="3DD74DA8"/>
    <w:rsid w:val="3E29379B"/>
    <w:rsid w:val="3EEC6CA2"/>
    <w:rsid w:val="3F051B12"/>
    <w:rsid w:val="3F283A52"/>
    <w:rsid w:val="3F406FEE"/>
    <w:rsid w:val="3F4A5777"/>
    <w:rsid w:val="3F5605BF"/>
    <w:rsid w:val="3FB53538"/>
    <w:rsid w:val="3FF83425"/>
    <w:rsid w:val="40185875"/>
    <w:rsid w:val="407927B7"/>
    <w:rsid w:val="40ED4F53"/>
    <w:rsid w:val="415E375B"/>
    <w:rsid w:val="41A77A43"/>
    <w:rsid w:val="41C07F72"/>
    <w:rsid w:val="425F3C2F"/>
    <w:rsid w:val="42943303"/>
    <w:rsid w:val="42B52A5A"/>
    <w:rsid w:val="432F54BB"/>
    <w:rsid w:val="439E659B"/>
    <w:rsid w:val="449D27EC"/>
    <w:rsid w:val="44C766E4"/>
    <w:rsid w:val="4585575A"/>
    <w:rsid w:val="45DB181E"/>
    <w:rsid w:val="461F3BB2"/>
    <w:rsid w:val="463B22BD"/>
    <w:rsid w:val="46582153"/>
    <w:rsid w:val="46733805"/>
    <w:rsid w:val="47A57725"/>
    <w:rsid w:val="47D93B3C"/>
    <w:rsid w:val="47E36768"/>
    <w:rsid w:val="482E25FC"/>
    <w:rsid w:val="48663934"/>
    <w:rsid w:val="48FD44EF"/>
    <w:rsid w:val="492D61CA"/>
    <w:rsid w:val="49741B10"/>
    <w:rsid w:val="4A0B4362"/>
    <w:rsid w:val="4A1B4DFA"/>
    <w:rsid w:val="4ACA1E61"/>
    <w:rsid w:val="4B2F5154"/>
    <w:rsid w:val="4B3D6AD7"/>
    <w:rsid w:val="4BF821AF"/>
    <w:rsid w:val="4C325F10"/>
    <w:rsid w:val="4C5E6D05"/>
    <w:rsid w:val="4CCF375F"/>
    <w:rsid w:val="4DE02688"/>
    <w:rsid w:val="4F021BCA"/>
    <w:rsid w:val="4F672375"/>
    <w:rsid w:val="4F7B197C"/>
    <w:rsid w:val="4F8E7901"/>
    <w:rsid w:val="4FC33BF9"/>
    <w:rsid w:val="505A77E4"/>
    <w:rsid w:val="50A761A2"/>
    <w:rsid w:val="51711289"/>
    <w:rsid w:val="51744D14"/>
    <w:rsid w:val="517B5C63"/>
    <w:rsid w:val="51FC1166"/>
    <w:rsid w:val="524D5852"/>
    <w:rsid w:val="527E7398"/>
    <w:rsid w:val="52A14FC9"/>
    <w:rsid w:val="54766E20"/>
    <w:rsid w:val="549B6B9A"/>
    <w:rsid w:val="54F75F49"/>
    <w:rsid w:val="55CC2F32"/>
    <w:rsid w:val="56044479"/>
    <w:rsid w:val="56B1518E"/>
    <w:rsid w:val="56CD6F61"/>
    <w:rsid w:val="578D049F"/>
    <w:rsid w:val="57B92032"/>
    <w:rsid w:val="586631C9"/>
    <w:rsid w:val="594159E5"/>
    <w:rsid w:val="5AF90080"/>
    <w:rsid w:val="5C87555C"/>
    <w:rsid w:val="5CA22C3E"/>
    <w:rsid w:val="5D012C1D"/>
    <w:rsid w:val="5DED1C97"/>
    <w:rsid w:val="5E9842F9"/>
    <w:rsid w:val="5FEB29D1"/>
    <w:rsid w:val="6005151A"/>
    <w:rsid w:val="605426E8"/>
    <w:rsid w:val="621C0D9D"/>
    <w:rsid w:val="62967221"/>
    <w:rsid w:val="62D358FF"/>
    <w:rsid w:val="62EA49F7"/>
    <w:rsid w:val="63121C1D"/>
    <w:rsid w:val="635F5A70"/>
    <w:rsid w:val="63A4521B"/>
    <w:rsid w:val="63AA10B5"/>
    <w:rsid w:val="642D7291"/>
    <w:rsid w:val="643028DD"/>
    <w:rsid w:val="644545DB"/>
    <w:rsid w:val="64882719"/>
    <w:rsid w:val="6498688C"/>
    <w:rsid w:val="65006754"/>
    <w:rsid w:val="65056DE1"/>
    <w:rsid w:val="65825650"/>
    <w:rsid w:val="658B7808"/>
    <w:rsid w:val="65AB0210"/>
    <w:rsid w:val="65C85C1B"/>
    <w:rsid w:val="65EF127F"/>
    <w:rsid w:val="65F067C8"/>
    <w:rsid w:val="662D0629"/>
    <w:rsid w:val="669021AE"/>
    <w:rsid w:val="66C0619B"/>
    <w:rsid w:val="67325C35"/>
    <w:rsid w:val="673804CE"/>
    <w:rsid w:val="67825B46"/>
    <w:rsid w:val="67DD4B2A"/>
    <w:rsid w:val="68617509"/>
    <w:rsid w:val="68CF4DBB"/>
    <w:rsid w:val="69F04FE9"/>
    <w:rsid w:val="6A136F29"/>
    <w:rsid w:val="6A244C92"/>
    <w:rsid w:val="6A493ECB"/>
    <w:rsid w:val="6A745C1A"/>
    <w:rsid w:val="6AC45DE2"/>
    <w:rsid w:val="6AF02DC7"/>
    <w:rsid w:val="6B027EFF"/>
    <w:rsid w:val="6B1E5B86"/>
    <w:rsid w:val="6B460E59"/>
    <w:rsid w:val="6C2345DA"/>
    <w:rsid w:val="6C4A0CFC"/>
    <w:rsid w:val="6C626A2D"/>
    <w:rsid w:val="6CF77AF3"/>
    <w:rsid w:val="6D5E04BB"/>
    <w:rsid w:val="6DA95590"/>
    <w:rsid w:val="6DDF271A"/>
    <w:rsid w:val="6DEC3D19"/>
    <w:rsid w:val="6E166FE8"/>
    <w:rsid w:val="6E62222D"/>
    <w:rsid w:val="6EAC5256"/>
    <w:rsid w:val="6F8306AD"/>
    <w:rsid w:val="700F0193"/>
    <w:rsid w:val="70CE5958"/>
    <w:rsid w:val="70D8681E"/>
    <w:rsid w:val="719B1CDE"/>
    <w:rsid w:val="726B674E"/>
    <w:rsid w:val="72B22F7F"/>
    <w:rsid w:val="734A29F2"/>
    <w:rsid w:val="735F4F8D"/>
    <w:rsid w:val="743E2DF5"/>
    <w:rsid w:val="744428CA"/>
    <w:rsid w:val="744523D5"/>
    <w:rsid w:val="746F1200"/>
    <w:rsid w:val="75FE0072"/>
    <w:rsid w:val="76AA29C3"/>
    <w:rsid w:val="77244524"/>
    <w:rsid w:val="77275DC2"/>
    <w:rsid w:val="774E6E46"/>
    <w:rsid w:val="77821F6A"/>
    <w:rsid w:val="779D6084"/>
    <w:rsid w:val="77D31AA6"/>
    <w:rsid w:val="77F04406"/>
    <w:rsid w:val="784F55D0"/>
    <w:rsid w:val="78D67AA0"/>
    <w:rsid w:val="79D20267"/>
    <w:rsid w:val="7A1563A6"/>
    <w:rsid w:val="7A3F2986"/>
    <w:rsid w:val="7B1E128A"/>
    <w:rsid w:val="7BB41A1F"/>
    <w:rsid w:val="7BE6624C"/>
    <w:rsid w:val="7C330D65"/>
    <w:rsid w:val="7C4D0079"/>
    <w:rsid w:val="7CF44998"/>
    <w:rsid w:val="7D845D1C"/>
    <w:rsid w:val="7D951CD7"/>
    <w:rsid w:val="7DB303AF"/>
    <w:rsid w:val="7DDD71DA"/>
    <w:rsid w:val="7E6418EB"/>
    <w:rsid w:val="7E6E2528"/>
    <w:rsid w:val="7F181C41"/>
    <w:rsid w:val="7F507E3C"/>
    <w:rsid w:val="7F810161"/>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ind w:firstLine="640" w:firstLineChars="200"/>
      <w:outlineLvl w:val="0"/>
    </w:pPr>
    <w:rPr>
      <w:rFonts w:ascii="Times New Roman" w:hAnsi="Times New Roman" w:eastAsia="仿宋" w:cs="Times New Roman"/>
      <w:b/>
      <w:kern w:val="44"/>
      <w:sz w:val="44"/>
      <w:szCs w:val="2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200" w:firstLineChars="200"/>
    </w:pPr>
    <w:rPr>
      <w:rFonts w:eastAsia="仿宋_GB2312"/>
      <w:sz w:val="28"/>
      <w:szCs w:val="20"/>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next w:val="7"/>
    <w:semiHidden/>
    <w:unhideWhenUsed/>
    <w:qFormat/>
    <w:uiPriority w:val="99"/>
    <w:pPr>
      <w:spacing w:after="120"/>
      <w:ind w:left="420" w:leftChars="200"/>
    </w:pPr>
  </w:style>
  <w:style w:type="paragraph" w:styleId="9">
    <w:name w:val="toc 3"/>
    <w:basedOn w:val="1"/>
    <w:next w:val="1"/>
    <w:qFormat/>
    <w:uiPriority w:val="0"/>
    <w:pPr>
      <w:ind w:left="840" w:leftChars="400"/>
    </w:p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10"/>
    <w:pPr>
      <w:widowControl/>
      <w:spacing w:before="240" w:after="60"/>
      <w:jc w:val="center"/>
      <w:outlineLvl w:val="0"/>
    </w:pPr>
    <w:rPr>
      <w:rFonts w:ascii="Cambria" w:hAnsi="Cambria" w:eastAsia="宋体"/>
      <w:b/>
      <w:bCs/>
      <w:kern w:val="28"/>
      <w:sz w:val="32"/>
      <w:szCs w:val="32"/>
    </w:rPr>
  </w:style>
  <w:style w:type="paragraph" w:styleId="16">
    <w:name w:val="Body Text First Indent"/>
    <w:basedOn w:val="7"/>
    <w:qFormat/>
    <w:uiPriority w:val="0"/>
    <w:pPr>
      <w:ind w:firstLine="420" w:firstLineChars="100"/>
    </w:pPr>
  </w:style>
  <w:style w:type="paragraph" w:styleId="17">
    <w:name w:val="Body Text First Indent 2"/>
    <w:basedOn w:val="8"/>
    <w:next w:val="16"/>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24">
    <w:name w:val="UserStyle_23"/>
    <w:basedOn w:val="1"/>
    <w:qFormat/>
    <w:uiPriority w:val="0"/>
    <w:pPr>
      <w:widowControl/>
      <w:spacing w:line="560" w:lineRule="exact"/>
      <w:ind w:firstLine="803" w:firstLineChars="250"/>
      <w:textAlignment w:val="baseline"/>
    </w:pPr>
    <w:rPr>
      <w:rFonts w:ascii="黑体" w:hAnsi="黑体" w:eastAsia="黑体" w:cs="Times New Roman"/>
      <w:kern w:val="0"/>
      <w:sz w:val="32"/>
      <w:szCs w:val="28"/>
    </w:rPr>
  </w:style>
  <w:style w:type="paragraph" w:customStyle="1" w:styleId="25">
    <w:name w:val="UserStyle_14"/>
    <w:basedOn w:val="1"/>
    <w:qFormat/>
    <w:uiPriority w:val="0"/>
    <w:pPr>
      <w:widowControl/>
      <w:spacing w:line="500" w:lineRule="exact"/>
      <w:ind w:firstLine="883" w:firstLineChars="200"/>
      <w:textAlignment w:val="baseline"/>
    </w:pPr>
    <w:rPr>
      <w:rFonts w:ascii="Times New Roman" w:hAnsi="Times New Roman" w:eastAsia="仿宋_GB2312" w:cs="Times New Roman"/>
      <w:kern w:val="0"/>
      <w:sz w:val="28"/>
      <w:szCs w:val="28"/>
    </w:rPr>
  </w:style>
  <w:style w:type="paragraph" w:customStyle="1" w:styleId="26">
    <w:name w:val="TOC Heading"/>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27">
    <w:name w:val="内容"/>
    <w:basedOn w:val="1"/>
    <w:qFormat/>
    <w:uiPriority w:val="0"/>
    <w:pPr>
      <w:tabs>
        <w:tab w:val="left" w:pos="5725"/>
      </w:tabs>
      <w:adjustRightInd w:val="0"/>
      <w:snapToGrid w:val="0"/>
      <w:ind w:left="280" w:leftChars="100" w:right="280" w:rightChars="100" w:firstLine="560"/>
    </w:pPr>
    <w:rPr>
      <w:rFonts w:cs="Arial"/>
    </w:rPr>
  </w:style>
  <w:style w:type="character" w:customStyle="1" w:styleId="28">
    <w:name w:val="font31"/>
    <w:basedOn w:val="20"/>
    <w:qFormat/>
    <w:uiPriority w:val="0"/>
    <w:rPr>
      <w:rFonts w:hint="eastAsia" w:ascii="仿宋_GB2312" w:eastAsia="仿宋_GB2312" w:cs="仿宋_GB2312"/>
      <w:color w:val="000000"/>
      <w:sz w:val="22"/>
      <w:szCs w:val="22"/>
      <w:u w:val="none"/>
    </w:rPr>
  </w:style>
  <w:style w:type="character" w:customStyle="1" w:styleId="29">
    <w:name w:val="font41"/>
    <w:basedOn w:val="20"/>
    <w:qFormat/>
    <w:uiPriority w:val="0"/>
    <w:rPr>
      <w:rFonts w:hint="default" w:ascii="Times New Roman" w:hAnsi="Times New Roman" w:cs="Times New Roman"/>
      <w:color w:val="000000"/>
      <w:sz w:val="22"/>
      <w:szCs w:val="22"/>
      <w:u w:val="none"/>
    </w:rPr>
  </w:style>
  <w:style w:type="character" w:customStyle="1" w:styleId="30">
    <w:name w:val="font11"/>
    <w:basedOn w:val="20"/>
    <w:qFormat/>
    <w:uiPriority w:val="0"/>
    <w:rPr>
      <w:rFonts w:hint="eastAsia" w:ascii="宋体" w:hAnsi="宋体" w:eastAsia="宋体" w:cs="宋体"/>
      <w:color w:val="000000"/>
      <w:sz w:val="22"/>
      <w:szCs w:val="22"/>
      <w:u w:val="none"/>
    </w:rPr>
  </w:style>
  <w:style w:type="character" w:customStyle="1" w:styleId="31">
    <w:name w:val="font71"/>
    <w:basedOn w:val="20"/>
    <w:qFormat/>
    <w:uiPriority w:val="0"/>
    <w:rPr>
      <w:rFonts w:hint="eastAsia" w:ascii="宋体" w:hAnsi="宋体" w:eastAsia="宋体" w:cs="宋体"/>
      <w:color w:val="000000"/>
      <w:sz w:val="21"/>
      <w:szCs w:val="21"/>
      <w:u w:val="none"/>
    </w:rPr>
  </w:style>
  <w:style w:type="character" w:customStyle="1" w:styleId="32">
    <w:name w:val="font101"/>
    <w:basedOn w:val="20"/>
    <w:qFormat/>
    <w:uiPriority w:val="0"/>
    <w:rPr>
      <w:rFonts w:ascii="Calibri" w:hAnsi="Calibri" w:cs="Calibri"/>
      <w:color w:val="000000"/>
      <w:sz w:val="21"/>
      <w:szCs w:val="21"/>
      <w:u w:val="none"/>
    </w:rPr>
  </w:style>
  <w:style w:type="character" w:customStyle="1" w:styleId="33">
    <w:name w:val="font81"/>
    <w:basedOn w:val="20"/>
    <w:qFormat/>
    <w:uiPriority w:val="0"/>
    <w:rPr>
      <w:rFonts w:hint="eastAsia" w:ascii="宋体" w:hAnsi="宋体" w:eastAsia="宋体" w:cs="宋体"/>
      <w:color w:val="000000"/>
      <w:sz w:val="21"/>
      <w:szCs w:val="21"/>
      <w:u w:val="none"/>
    </w:rPr>
  </w:style>
  <w:style w:type="character" w:customStyle="1" w:styleId="34">
    <w:name w:val="font112"/>
    <w:basedOn w:val="20"/>
    <w:qFormat/>
    <w:uiPriority w:val="0"/>
    <w:rPr>
      <w:rFonts w:hint="default" w:ascii="Calibri" w:hAnsi="Calibri" w:cs="Calibri"/>
      <w:color w:val="000000"/>
      <w:sz w:val="21"/>
      <w:szCs w:val="21"/>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51"/>
    <w:basedOn w:val="20"/>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5727</Words>
  <Characters>6019</Characters>
  <Lines>0</Lines>
  <Paragraphs>0</Paragraphs>
  <TotalTime>153</TotalTime>
  <ScaleCrop>false</ScaleCrop>
  <LinksUpToDate>false</LinksUpToDate>
  <CharactersWithSpaces>6075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2023-03-06T10:14:00Z</dcterms:created>
  <dc:creator>Administrator</dc:creator>
  <cp:lastModifiedBy>Administrator</cp:lastModifiedBy>
  <cp:lastPrinted>2023-07-07T09:14:00Z</cp:lastPrinted>
  <dcterms:modified xsi:type="dcterms:W3CDTF">2025-09-18T04:21:17Z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3DAEAEF37A304856ABD517A10C5F54DA_13</vt:lpwstr>
  </property>
  <property fmtid="{D5CDD505-2E9C-101B-9397-08002B2CF9AE}" pid="4" name="KSOTemplateDocerSaveRecord">
    <vt:lpwstr>eyJoZGlkIjoiYjNiMmNjZDRhMWI2MDVkYzUwNmNmZDMwMDZkN2MxMjYiLCJ1c2VySWQiOiIxNTc2MzU5MjAzIn0=</vt:lpwstr>
  </property>
</Properties>
</file>