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hint="default" w:ascii="Times New Roman" w:hAnsi="Times New Roman" w:eastAsia="黑体" w:cs="Times New Roman"/>
          <w:b/>
          <w:bCs/>
          <w:color w:val="auto"/>
          <w:sz w:val="52"/>
          <w:szCs w:val="52"/>
          <w:highlight w:val="none"/>
          <w:lang w:val="en-US" w:eastAsia="zh-CN"/>
        </w:rPr>
      </w:pPr>
    </w:p>
    <w:p>
      <w:pPr>
        <w:jc w:val="center"/>
        <w:outlineLvl w:val="9"/>
        <w:rPr>
          <w:rFonts w:hint="default" w:ascii="Times New Roman" w:hAnsi="Times New Roman" w:eastAsia="黑体" w:cs="Times New Roman"/>
          <w:b/>
          <w:bCs/>
          <w:color w:val="auto"/>
          <w:sz w:val="52"/>
          <w:szCs w:val="52"/>
          <w:highlight w:val="none"/>
          <w:lang w:val="en-US" w:eastAsia="zh-CN"/>
        </w:rPr>
      </w:pPr>
    </w:p>
    <w:p>
      <w:pPr>
        <w:widowControl w:val="0"/>
        <w:snapToGrid/>
        <w:spacing w:before="0" w:beforeAutospacing="0" w:after="0" w:afterAutospacing="0" w:line="240" w:lineRule="auto"/>
        <w:jc w:val="center"/>
        <w:textAlignment w:val="baseline"/>
        <w:rPr>
          <w:rStyle w:val="14"/>
          <w:rFonts w:hint="default" w:ascii="方正小标宋_GBK" w:hAnsi="方正小标宋_GBK" w:eastAsia="方正小标宋_GBK" w:cs="方正小标宋_GBK"/>
          <w:b/>
          <w:i w:val="0"/>
          <w:caps w:val="0"/>
          <w:spacing w:val="0"/>
          <w:w w:val="100"/>
          <w:kern w:val="0"/>
          <w:sz w:val="40"/>
          <w:szCs w:val="40"/>
          <w:lang w:val="en-US" w:eastAsia="zh-CN" w:bidi="ar-SA"/>
        </w:rPr>
      </w:pPr>
      <w:bookmarkStart w:id="0" w:name="_Toc21564"/>
      <w:r>
        <w:rPr>
          <w:rStyle w:val="14"/>
          <w:rFonts w:hint="eastAsia" w:ascii="方正小标宋_GBK" w:hAnsi="方正小标宋_GBK" w:eastAsia="方正小标宋_GBK" w:cs="方正小标宋_GBK"/>
          <w:b/>
          <w:i w:val="0"/>
          <w:caps w:val="0"/>
          <w:spacing w:val="0"/>
          <w:w w:val="100"/>
          <w:kern w:val="0"/>
          <w:sz w:val="40"/>
          <w:szCs w:val="40"/>
          <w:lang w:val="en-US" w:eastAsia="zh-CN" w:bidi="ar-SA"/>
        </w:rPr>
        <w:t>沙湾市</w:t>
      </w:r>
      <w:r>
        <w:rPr>
          <w:rStyle w:val="14"/>
          <w:rFonts w:hint="default" w:ascii="方正小标宋_GBK" w:hAnsi="方正小标宋_GBK" w:eastAsia="方正小标宋_GBK" w:cs="方正小标宋_GBK"/>
          <w:b/>
          <w:i w:val="0"/>
          <w:caps w:val="0"/>
          <w:spacing w:val="0"/>
          <w:w w:val="100"/>
          <w:kern w:val="0"/>
          <w:sz w:val="40"/>
          <w:szCs w:val="40"/>
          <w:lang w:val="en-US" w:eastAsia="zh-CN" w:bidi="ar-SA"/>
        </w:rPr>
        <w:t>20</w:t>
      </w:r>
      <w:r>
        <w:rPr>
          <w:rStyle w:val="14"/>
          <w:rFonts w:hint="eastAsia" w:ascii="方正小标宋_GBK" w:hAnsi="方正小标宋_GBK" w:eastAsia="方正小标宋_GBK" w:cs="方正小标宋_GBK"/>
          <w:b/>
          <w:i w:val="0"/>
          <w:caps w:val="0"/>
          <w:spacing w:val="0"/>
          <w:w w:val="100"/>
          <w:kern w:val="0"/>
          <w:sz w:val="40"/>
          <w:szCs w:val="40"/>
          <w:lang w:val="en-US" w:eastAsia="zh-CN" w:bidi="ar-SA"/>
        </w:rPr>
        <w:t>24</w:t>
      </w:r>
      <w:r>
        <w:rPr>
          <w:rStyle w:val="14"/>
          <w:rFonts w:hint="default" w:ascii="方正小标宋_GBK" w:hAnsi="方正小标宋_GBK" w:eastAsia="方正小标宋_GBK" w:cs="方正小标宋_GBK"/>
          <w:b/>
          <w:i w:val="0"/>
          <w:caps w:val="0"/>
          <w:spacing w:val="0"/>
          <w:w w:val="100"/>
          <w:kern w:val="0"/>
          <w:sz w:val="40"/>
          <w:szCs w:val="40"/>
          <w:lang w:val="en-US" w:eastAsia="zh-CN" w:bidi="ar-SA"/>
        </w:rPr>
        <w:t>年度</w:t>
      </w:r>
      <w:bookmarkEnd w:id="0"/>
      <w:bookmarkStart w:id="1" w:name="_Toc3248"/>
      <w:r>
        <w:rPr>
          <w:rStyle w:val="14"/>
          <w:rFonts w:hint="default" w:ascii="方正小标宋_GBK" w:hAnsi="方正小标宋_GBK" w:eastAsia="方正小标宋_GBK" w:cs="方正小标宋_GBK"/>
          <w:b/>
          <w:i w:val="0"/>
          <w:caps w:val="0"/>
          <w:spacing w:val="0"/>
          <w:w w:val="100"/>
          <w:kern w:val="0"/>
          <w:sz w:val="40"/>
          <w:szCs w:val="40"/>
          <w:lang w:val="en-US" w:eastAsia="zh-CN" w:bidi="ar-SA"/>
        </w:rPr>
        <w:t>预算</w:t>
      </w:r>
    </w:p>
    <w:p>
      <w:pPr>
        <w:widowControl w:val="0"/>
        <w:snapToGrid/>
        <w:spacing w:before="0" w:beforeAutospacing="0" w:after="0" w:afterAutospacing="0" w:line="240" w:lineRule="auto"/>
        <w:jc w:val="center"/>
        <w:textAlignment w:val="baseline"/>
        <w:rPr>
          <w:rFonts w:hint="default" w:ascii="Times New Roman" w:hAnsi="Times New Roman" w:eastAsia="黑体" w:cs="Times New Roman"/>
          <w:b/>
          <w:bCs/>
          <w:color w:val="auto"/>
          <w:sz w:val="52"/>
          <w:szCs w:val="52"/>
          <w:highlight w:val="none"/>
          <w:lang w:val="en-US" w:eastAsia="zh-CN"/>
        </w:rPr>
      </w:pPr>
      <w:r>
        <w:rPr>
          <w:rStyle w:val="14"/>
          <w:rFonts w:hint="default" w:ascii="方正小标宋_GBK" w:hAnsi="方正小标宋_GBK" w:eastAsia="方正小标宋_GBK" w:cs="方正小标宋_GBK"/>
          <w:b/>
          <w:i w:val="0"/>
          <w:caps w:val="0"/>
          <w:spacing w:val="0"/>
          <w:w w:val="100"/>
          <w:kern w:val="0"/>
          <w:sz w:val="40"/>
          <w:szCs w:val="40"/>
          <w:lang w:val="en-US" w:eastAsia="zh-CN" w:bidi="ar-SA"/>
        </w:rPr>
        <w:t>绩效评价报告</w:t>
      </w:r>
      <w:bookmarkEnd w:id="1"/>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pageBreakBefore w:val="0"/>
        <w:widowControl/>
        <w:kinsoku/>
        <w:wordWrap/>
        <w:overflowPunct/>
        <w:topLinePunct w:val="0"/>
        <w:autoSpaceDE/>
        <w:autoSpaceDN/>
        <w:bidi w:val="0"/>
        <w:adjustRightInd/>
        <w:snapToGrid/>
        <w:spacing w:before="120" w:beforeAutospacing="0" w:after="120" w:afterAutospacing="0" w:line="560" w:lineRule="exact"/>
        <w:ind w:firstLine="1280" w:firstLineChars="400"/>
        <w:jc w:val="left"/>
        <w:textAlignment w:val="baseline"/>
        <w:rPr>
          <w:rFonts w:hint="default" w:ascii="方正黑体_GBK" w:hAnsi="方正黑体_GBK" w:eastAsia="方正黑体_GBK" w:cs="方正黑体_GBK"/>
          <w:kern w:val="0"/>
          <w:sz w:val="32"/>
          <w:szCs w:val="32"/>
          <w:lang w:val="en-US" w:eastAsia="zh-CN" w:bidi="ar-SA"/>
        </w:rPr>
      </w:pPr>
    </w:p>
    <w:p>
      <w:pPr>
        <w:pageBreakBefore w:val="0"/>
        <w:widowControl/>
        <w:kinsoku/>
        <w:wordWrap/>
        <w:overflowPunct/>
        <w:topLinePunct w:val="0"/>
        <w:autoSpaceDE/>
        <w:autoSpaceDN/>
        <w:bidi w:val="0"/>
        <w:adjustRightInd/>
        <w:snapToGrid/>
        <w:spacing w:before="120" w:beforeAutospacing="0" w:after="120" w:afterAutospacing="0" w:line="560" w:lineRule="exact"/>
        <w:ind w:left="2877" w:leftChars="532" w:hanging="1600" w:hangingChars="500"/>
        <w:jc w:val="left"/>
        <w:textAlignment w:val="baseline"/>
        <w:rPr>
          <w:rFonts w:hint="default" w:ascii="方正黑体_GBK" w:hAnsi="方正黑体_GBK" w:eastAsia="方正黑体_GBK" w:cs="方正黑体_GBK"/>
          <w:kern w:val="0"/>
          <w:sz w:val="32"/>
          <w:szCs w:val="32"/>
          <w:lang w:val="en-US" w:eastAsia="zh-CN" w:bidi="ar-SA"/>
        </w:rPr>
      </w:pPr>
      <w:r>
        <w:rPr>
          <w:rFonts w:hint="default" w:ascii="方正黑体_GBK" w:hAnsi="方正黑体_GBK" w:eastAsia="方正黑体_GBK" w:cs="方正黑体_GBK"/>
          <w:kern w:val="0"/>
          <w:sz w:val="32"/>
          <w:szCs w:val="32"/>
          <w:lang w:val="en-US" w:eastAsia="zh-CN" w:bidi="ar-SA"/>
        </w:rPr>
        <w:t>项目名称：</w:t>
      </w:r>
      <w:r>
        <w:rPr>
          <w:rFonts w:hint="eastAsia" w:ascii="方正黑体_GBK" w:hAnsi="方正黑体_GBK" w:eastAsia="方正黑体_GBK" w:cs="方正黑体_GBK"/>
          <w:kern w:val="0"/>
          <w:sz w:val="32"/>
          <w:szCs w:val="32"/>
          <w:lang w:val="en-US" w:eastAsia="zh-CN" w:bidi="ar-SA"/>
        </w:rPr>
        <w:t>2024年中央农业经营主体能力提升资金（农村实用人才）</w:t>
      </w:r>
    </w:p>
    <w:p>
      <w:pPr>
        <w:pageBreakBefore w:val="0"/>
        <w:widowControl/>
        <w:kinsoku/>
        <w:wordWrap/>
        <w:overflowPunct/>
        <w:topLinePunct w:val="0"/>
        <w:autoSpaceDE/>
        <w:autoSpaceDN/>
        <w:bidi w:val="0"/>
        <w:adjustRightInd/>
        <w:snapToGrid/>
        <w:spacing w:before="120" w:beforeAutospacing="0" w:after="120" w:afterAutospacing="0" w:line="560" w:lineRule="exact"/>
        <w:ind w:firstLine="1280" w:firstLineChars="400"/>
        <w:jc w:val="left"/>
        <w:textAlignment w:val="baseline"/>
        <w:rPr>
          <w:rFonts w:hint="default" w:ascii="方正黑体_GBK" w:hAnsi="方正黑体_GBK" w:eastAsia="方正黑体_GBK" w:cs="方正黑体_GBK"/>
          <w:kern w:val="0"/>
          <w:sz w:val="32"/>
          <w:szCs w:val="32"/>
          <w:lang w:val="en-US" w:eastAsia="zh-CN" w:bidi="ar-SA"/>
        </w:rPr>
      </w:pPr>
      <w:r>
        <w:rPr>
          <w:rFonts w:hint="default" w:ascii="方正黑体_GBK" w:hAnsi="方正黑体_GBK" w:eastAsia="方正黑体_GBK" w:cs="方正黑体_GBK"/>
          <w:kern w:val="0"/>
          <w:sz w:val="32"/>
          <w:szCs w:val="32"/>
          <w:lang w:val="en-US" w:eastAsia="zh-CN" w:bidi="ar-SA"/>
        </w:rPr>
        <w:t>项目单位：</w:t>
      </w:r>
      <w:r>
        <w:rPr>
          <w:rFonts w:hint="eastAsia" w:ascii="方正黑体_GBK" w:hAnsi="方正黑体_GBK" w:eastAsia="方正黑体_GBK" w:cs="方正黑体_GBK"/>
          <w:kern w:val="0"/>
          <w:sz w:val="32"/>
          <w:szCs w:val="32"/>
          <w:lang w:val="en-US" w:eastAsia="zh-CN" w:bidi="ar-SA"/>
        </w:rPr>
        <w:t>沙湾市农业广播电视学校沙湾市分校</w:t>
      </w:r>
    </w:p>
    <w:p>
      <w:pPr>
        <w:pageBreakBefore w:val="0"/>
        <w:widowControl/>
        <w:kinsoku/>
        <w:wordWrap/>
        <w:overflowPunct/>
        <w:topLinePunct w:val="0"/>
        <w:autoSpaceDE/>
        <w:autoSpaceDN/>
        <w:bidi w:val="0"/>
        <w:adjustRightInd/>
        <w:snapToGrid/>
        <w:spacing w:before="120" w:beforeAutospacing="0" w:after="120" w:afterAutospacing="0" w:line="560" w:lineRule="exact"/>
        <w:ind w:firstLine="1280" w:firstLineChars="400"/>
        <w:jc w:val="left"/>
        <w:textAlignment w:val="baseline"/>
        <w:rPr>
          <w:rFonts w:hint="default" w:ascii="方正黑体_GBK" w:hAnsi="方正黑体_GBK" w:eastAsia="方正黑体_GBK" w:cs="方正黑体_GBK"/>
          <w:kern w:val="0"/>
          <w:sz w:val="32"/>
          <w:szCs w:val="32"/>
          <w:lang w:val="en-US" w:eastAsia="zh-CN" w:bidi="ar-SA"/>
        </w:rPr>
      </w:pPr>
      <w:r>
        <w:rPr>
          <w:rFonts w:hint="default" w:ascii="方正黑体_GBK" w:hAnsi="方正黑体_GBK" w:eastAsia="方正黑体_GBK" w:cs="方正黑体_GBK"/>
          <w:kern w:val="0"/>
          <w:sz w:val="32"/>
          <w:szCs w:val="32"/>
          <w:lang w:val="en-US" w:eastAsia="zh-CN" w:bidi="ar-SA"/>
        </w:rPr>
        <w:t>主管部门：</w:t>
      </w:r>
      <w:r>
        <w:rPr>
          <w:rFonts w:hint="eastAsia" w:ascii="方正黑体_GBK" w:hAnsi="方正黑体_GBK" w:eastAsia="方正黑体_GBK" w:cs="方正黑体_GBK"/>
          <w:kern w:val="0"/>
          <w:sz w:val="32"/>
          <w:szCs w:val="32"/>
          <w:lang w:val="en-US" w:eastAsia="zh-CN" w:bidi="ar-SA"/>
        </w:rPr>
        <w:t>沙湾市农业农村局</w:t>
      </w:r>
    </w:p>
    <w:p>
      <w:pPr>
        <w:pageBreakBefore w:val="0"/>
        <w:widowControl/>
        <w:kinsoku/>
        <w:wordWrap/>
        <w:overflowPunct/>
        <w:topLinePunct w:val="0"/>
        <w:autoSpaceDE/>
        <w:autoSpaceDN/>
        <w:bidi w:val="0"/>
        <w:adjustRightInd/>
        <w:snapToGrid/>
        <w:spacing w:before="120" w:beforeAutospacing="0" w:after="120" w:afterAutospacing="0" w:line="560" w:lineRule="exact"/>
        <w:ind w:firstLine="1280" w:firstLineChars="400"/>
        <w:jc w:val="left"/>
        <w:textAlignment w:val="baseline"/>
        <w:rPr>
          <w:rFonts w:hint="default" w:ascii="方正黑体_GBK" w:hAnsi="方正黑体_GBK" w:eastAsia="方正黑体_GBK" w:cs="方正黑体_GBK"/>
          <w:kern w:val="0"/>
          <w:sz w:val="32"/>
          <w:szCs w:val="32"/>
          <w:lang w:val="en-US" w:eastAsia="zh-CN" w:bidi="ar-SA"/>
        </w:rPr>
      </w:pPr>
      <w:r>
        <w:rPr>
          <w:rFonts w:hint="default" w:ascii="方正黑体_GBK" w:hAnsi="方正黑体_GBK" w:eastAsia="方正黑体_GBK" w:cs="方正黑体_GBK"/>
          <w:kern w:val="0"/>
          <w:sz w:val="32"/>
          <w:szCs w:val="32"/>
          <w:lang w:val="en-US" w:eastAsia="zh-CN" w:bidi="ar-SA"/>
        </w:rPr>
        <w:t>委托单位：</w:t>
      </w:r>
      <w:r>
        <w:rPr>
          <w:rFonts w:hint="eastAsia" w:ascii="方正黑体_GBK" w:hAnsi="方正黑体_GBK" w:eastAsia="方正黑体_GBK" w:cs="方正黑体_GBK"/>
          <w:kern w:val="0"/>
          <w:sz w:val="32"/>
          <w:szCs w:val="32"/>
          <w:lang w:val="en-US" w:eastAsia="zh-CN" w:bidi="ar-SA"/>
        </w:rPr>
        <w:t>沙湾市财政局</w:t>
      </w:r>
    </w:p>
    <w:p>
      <w:pPr>
        <w:pageBreakBefore w:val="0"/>
        <w:widowControl/>
        <w:kinsoku/>
        <w:wordWrap/>
        <w:overflowPunct/>
        <w:topLinePunct w:val="0"/>
        <w:autoSpaceDE/>
        <w:autoSpaceDN/>
        <w:bidi w:val="0"/>
        <w:adjustRightInd/>
        <w:snapToGrid/>
        <w:spacing w:before="120" w:beforeAutospacing="0" w:after="120" w:afterAutospacing="0" w:line="560" w:lineRule="exact"/>
        <w:ind w:firstLine="1280" w:firstLineChars="400"/>
        <w:jc w:val="left"/>
        <w:textAlignment w:val="baseline"/>
        <w:rPr>
          <w:rFonts w:hint="default" w:ascii="方正黑体_GBK" w:hAnsi="方正黑体_GBK" w:eastAsia="方正黑体_GBK" w:cs="方正黑体_GBK"/>
          <w:kern w:val="0"/>
          <w:sz w:val="32"/>
          <w:szCs w:val="32"/>
          <w:lang w:val="en-US" w:eastAsia="zh-CN" w:bidi="ar-SA"/>
        </w:rPr>
      </w:pPr>
      <w:r>
        <w:rPr>
          <w:rFonts w:hint="default" w:ascii="方正黑体_GBK" w:hAnsi="方正黑体_GBK" w:eastAsia="方正黑体_GBK" w:cs="方正黑体_GBK"/>
          <w:kern w:val="0"/>
          <w:sz w:val="32"/>
          <w:szCs w:val="32"/>
          <w:lang w:val="en-US" w:eastAsia="zh-CN" w:bidi="ar-SA"/>
        </w:rPr>
        <w:t>评价机构：</w:t>
      </w:r>
      <w:r>
        <w:rPr>
          <w:rFonts w:hint="eastAsia" w:ascii="方正黑体_GBK" w:hAnsi="方正黑体_GBK" w:eastAsia="方正黑体_GBK" w:cs="方正黑体_GBK"/>
          <w:kern w:val="0"/>
          <w:sz w:val="32"/>
          <w:szCs w:val="32"/>
          <w:lang w:val="en-US" w:eastAsia="zh-CN" w:bidi="ar-SA"/>
        </w:rPr>
        <w:t>新疆智汇铭宸科技咨询有限公司</w:t>
      </w:r>
    </w:p>
    <w:p>
      <w:pPr>
        <w:pageBreakBefore w:val="0"/>
        <w:widowControl/>
        <w:kinsoku/>
        <w:wordWrap/>
        <w:overflowPunct/>
        <w:topLinePunct w:val="0"/>
        <w:autoSpaceDE/>
        <w:autoSpaceDN/>
        <w:bidi w:val="0"/>
        <w:adjustRightInd/>
        <w:snapToGrid/>
        <w:spacing w:before="120" w:beforeAutospacing="0" w:after="120" w:afterAutospacing="0" w:line="560" w:lineRule="exact"/>
        <w:ind w:firstLine="2880" w:firstLineChars="900"/>
        <w:jc w:val="left"/>
        <w:textAlignment w:val="baseline"/>
        <w:rPr>
          <w:rFonts w:hint="default" w:ascii="方正黑体_GBK" w:hAnsi="方正黑体_GBK" w:eastAsia="方正黑体_GBK" w:cs="方正黑体_GBK"/>
          <w:kern w:val="0"/>
          <w:sz w:val="32"/>
          <w:szCs w:val="32"/>
          <w:lang w:val="en-US" w:eastAsia="zh-CN" w:bidi="ar-SA"/>
        </w:rPr>
        <w:sectPr>
          <w:headerReference r:id="rId3" w:type="default"/>
          <w:pgSz w:w="11906" w:h="16838"/>
          <w:pgMar w:top="1440" w:right="1800" w:bottom="1440" w:left="1800" w:header="851" w:footer="992" w:gutter="0"/>
          <w:pgNumType w:fmt="decimal"/>
          <w:cols w:space="720" w:num="1"/>
          <w:titlePg/>
          <w:docGrid w:type="lines" w:linePitch="312" w:charSpace="0"/>
        </w:sectPr>
      </w:pPr>
      <w:r>
        <w:rPr>
          <w:rFonts w:hint="eastAsia" w:ascii="方正黑体_GBK" w:hAnsi="方正黑体_GBK" w:eastAsia="方正黑体_GBK" w:cs="方正黑体_GBK"/>
          <w:kern w:val="0"/>
          <w:sz w:val="32"/>
          <w:szCs w:val="32"/>
          <w:lang w:val="en-US" w:eastAsia="zh-CN" w:bidi="ar-SA"/>
        </w:rPr>
        <w:t>2025年8</w:t>
      </w:r>
      <w:r>
        <w:rPr>
          <w:rFonts w:hint="default" w:ascii="方正黑体_GBK" w:hAnsi="方正黑体_GBK" w:eastAsia="方正黑体_GBK" w:cs="方正黑体_GBK"/>
          <w:kern w:val="0"/>
          <w:sz w:val="32"/>
          <w:szCs w:val="32"/>
          <w:lang w:val="en-US" w:eastAsia="zh-CN" w:bidi="ar-SA"/>
        </w:rPr>
        <w:t>月</w:t>
      </w:r>
    </w:p>
    <w:p>
      <w:pPr>
        <w:bidi w:val="0"/>
        <w:jc w:val="center"/>
        <w:rPr>
          <w:rFonts w:hint="default"/>
        </w:rPr>
      </w:pPr>
      <w:r>
        <w:rPr>
          <w:rFonts w:hint="eastAsia" w:ascii="方正小标宋_GBK" w:hAnsi="方正小标宋_GBK" w:eastAsia="方正小标宋_GBK" w:cs="方正小标宋_GBK"/>
          <w:sz w:val="36"/>
          <w:szCs w:val="36"/>
        </w:rPr>
        <w:t>项目关键信息表</w:t>
      </w:r>
    </w:p>
    <w:tbl>
      <w:tblPr>
        <w:tblStyle w:val="11"/>
        <w:tblW w:w="9087" w:type="dxa"/>
        <w:jc w:val="center"/>
        <w:tblLayout w:type="fixed"/>
        <w:tblCellMar>
          <w:top w:w="15" w:type="dxa"/>
          <w:left w:w="15" w:type="dxa"/>
          <w:bottom w:w="15" w:type="dxa"/>
          <w:right w:w="15" w:type="dxa"/>
        </w:tblCellMar>
      </w:tblPr>
      <w:tblGrid>
        <w:gridCol w:w="1291"/>
        <w:gridCol w:w="1387"/>
        <w:gridCol w:w="1368"/>
        <w:gridCol w:w="1008"/>
        <w:gridCol w:w="1716"/>
        <w:gridCol w:w="1320"/>
        <w:gridCol w:w="997"/>
      </w:tblGrid>
      <w:tr>
        <w:tblPrEx>
          <w:tblCellMar>
            <w:top w:w="15" w:type="dxa"/>
            <w:left w:w="15" w:type="dxa"/>
            <w:bottom w:w="15" w:type="dxa"/>
            <w:right w:w="15" w:type="dxa"/>
          </w:tblCellMar>
        </w:tblPrEx>
        <w:trPr>
          <w:trHeight w:val="471" w:hRule="atLeast"/>
          <w:jc w:val="center"/>
        </w:trPr>
        <w:tc>
          <w:tcPr>
            <w:tcW w:w="9087" w:type="dxa"/>
            <w:gridSpan w:val="7"/>
            <w:shd w:val="clear" w:color="auto" w:fill="auto"/>
            <w:noWrap w:val="0"/>
            <w:vAlign w:val="center"/>
          </w:tcPr>
          <w:p>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 xml:space="preserve">评价机构全称（盖章）： </w:t>
            </w:r>
            <w:r>
              <w:rPr>
                <w:rFonts w:hint="eastAsia" w:ascii="Times New Roman" w:hAnsi="Times New Roman" w:eastAsia="仿宋_GB2312" w:cs="Times New Roman"/>
                <w:color w:val="auto"/>
                <w:sz w:val="22"/>
                <w:szCs w:val="22"/>
                <w:lang w:val="en-US" w:eastAsia="zh-CN"/>
              </w:rPr>
              <w:t>新疆智汇铭宸科技咨询有限公司</w:t>
            </w:r>
            <w:r>
              <w:rPr>
                <w:rFonts w:hint="default" w:ascii="Times New Roman" w:hAnsi="Times New Roman" w:eastAsia="仿宋_GB2312" w:cs="Times New Roman"/>
                <w:color w:val="auto"/>
                <w:sz w:val="22"/>
                <w:szCs w:val="22"/>
                <w:lang w:val="en-US" w:eastAsia="zh-CN"/>
              </w:rPr>
              <w:t xml:space="preserve">    </w:t>
            </w:r>
          </w:p>
        </w:tc>
      </w:tr>
      <w:tr>
        <w:tblPrEx>
          <w:tblCellMar>
            <w:top w:w="15" w:type="dxa"/>
            <w:left w:w="15" w:type="dxa"/>
            <w:bottom w:w="15" w:type="dxa"/>
            <w:right w:w="15" w:type="dxa"/>
          </w:tblCellMar>
        </w:tblPrEx>
        <w:trPr>
          <w:trHeight w:val="809"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项目名称</w:t>
            </w:r>
          </w:p>
        </w:tc>
        <w:tc>
          <w:tcPr>
            <w:tcW w:w="547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2024年中央农业经营主体能力提升资金（农村实用人才）</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评价年度</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2024</w:t>
            </w:r>
          </w:p>
        </w:tc>
      </w:tr>
      <w:tr>
        <w:tblPrEx>
          <w:tblCellMar>
            <w:top w:w="15" w:type="dxa"/>
            <w:left w:w="15" w:type="dxa"/>
            <w:bottom w:w="15" w:type="dxa"/>
            <w:right w:w="15" w:type="dxa"/>
          </w:tblCellMar>
        </w:tblPrEx>
        <w:trPr>
          <w:trHeight w:val="809"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财政局分管</w:t>
            </w:r>
          </w:p>
          <w:p>
            <w:pPr>
              <w:widowControl/>
              <w:jc w:val="center"/>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科室</w:t>
            </w:r>
          </w:p>
        </w:tc>
        <w:tc>
          <w:tcPr>
            <w:tcW w:w="7796"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农财科</w:t>
            </w:r>
          </w:p>
        </w:tc>
      </w:tr>
      <w:tr>
        <w:tblPrEx>
          <w:tblCellMar>
            <w:top w:w="15" w:type="dxa"/>
            <w:left w:w="15" w:type="dxa"/>
            <w:bottom w:w="15" w:type="dxa"/>
            <w:right w:w="15" w:type="dxa"/>
          </w:tblCellMar>
        </w:tblPrEx>
        <w:trPr>
          <w:trHeight w:val="672"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项目主管部门</w:t>
            </w:r>
          </w:p>
        </w:tc>
        <w:tc>
          <w:tcPr>
            <w:tcW w:w="37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沙湾市农业农村局</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联系人及联系方式</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王国志</w:t>
            </w:r>
          </w:p>
        </w:tc>
      </w:tr>
      <w:tr>
        <w:tblPrEx>
          <w:tblCellMar>
            <w:top w:w="15" w:type="dxa"/>
            <w:left w:w="15" w:type="dxa"/>
            <w:bottom w:w="15" w:type="dxa"/>
            <w:right w:w="15" w:type="dxa"/>
          </w:tblCellMar>
        </w:tblPrEx>
        <w:trPr>
          <w:trHeight w:val="672"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项目实施单位</w:t>
            </w:r>
          </w:p>
        </w:tc>
        <w:tc>
          <w:tcPr>
            <w:tcW w:w="37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沙湾市农业广播电视学校</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联系人及联系方式</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姚军</w:t>
            </w:r>
          </w:p>
        </w:tc>
      </w:tr>
      <w:tr>
        <w:tblPrEx>
          <w:tblCellMar>
            <w:top w:w="15" w:type="dxa"/>
            <w:left w:w="15" w:type="dxa"/>
            <w:bottom w:w="15" w:type="dxa"/>
            <w:right w:w="15" w:type="dxa"/>
          </w:tblCellMar>
        </w:tblPrEx>
        <w:trPr>
          <w:trHeight w:val="798"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资金来源</w:t>
            </w:r>
          </w:p>
        </w:tc>
        <w:tc>
          <w:tcPr>
            <w:tcW w:w="7796"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财政拨款</w:t>
            </w:r>
          </w:p>
        </w:tc>
      </w:tr>
      <w:tr>
        <w:tblPrEx>
          <w:tblCellMar>
            <w:top w:w="15" w:type="dxa"/>
            <w:left w:w="15" w:type="dxa"/>
            <w:bottom w:w="15" w:type="dxa"/>
            <w:right w:w="15" w:type="dxa"/>
          </w:tblCellMar>
        </w:tblPrEx>
        <w:trPr>
          <w:trHeight w:val="82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2024年</w:t>
            </w:r>
            <w:r>
              <w:rPr>
                <w:rFonts w:hint="default" w:ascii="Times New Roman" w:hAnsi="Times New Roman" w:eastAsia="仿宋_GB2312" w:cs="Times New Roman"/>
                <w:color w:val="auto"/>
                <w:sz w:val="22"/>
                <w:szCs w:val="22"/>
                <w:lang w:val="en-US" w:eastAsia="zh-CN"/>
              </w:rPr>
              <w:t>投入总额</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90.87万元</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2024年执行数</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90.87万元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2024年</w:t>
            </w:r>
            <w:r>
              <w:rPr>
                <w:rFonts w:hint="default" w:ascii="Times New Roman" w:hAnsi="Times New Roman" w:eastAsia="仿宋_GB2312" w:cs="Times New Roman"/>
                <w:color w:val="auto"/>
                <w:sz w:val="22"/>
                <w:szCs w:val="22"/>
                <w:lang w:val="en-US" w:eastAsia="zh-CN"/>
              </w:rPr>
              <w:t>资金</w:t>
            </w:r>
            <w:r>
              <w:rPr>
                <w:rFonts w:hint="eastAsia" w:ascii="Times New Roman" w:hAnsi="Times New Roman" w:eastAsia="仿宋_GB2312" w:cs="Times New Roman"/>
                <w:color w:val="auto"/>
                <w:sz w:val="22"/>
                <w:szCs w:val="22"/>
                <w:lang w:val="en-US" w:eastAsia="zh-CN"/>
              </w:rPr>
              <w:t>执行率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100%</w:t>
            </w:r>
          </w:p>
        </w:tc>
      </w:tr>
      <w:tr>
        <w:tblPrEx>
          <w:tblCellMar>
            <w:top w:w="15" w:type="dxa"/>
            <w:left w:w="15" w:type="dxa"/>
            <w:bottom w:w="15" w:type="dxa"/>
            <w:right w:w="15" w:type="dxa"/>
          </w:tblCellMar>
        </w:tblPrEx>
        <w:trPr>
          <w:trHeight w:val="1009" w:hRule="atLeast"/>
          <w:jc w:val="center"/>
        </w:trPr>
        <w:tc>
          <w:tcPr>
            <w:tcW w:w="129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发放调查</w:t>
            </w:r>
          </w:p>
          <w:p>
            <w:pPr>
              <w:widowControl/>
              <w:jc w:val="center"/>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问卷</w:t>
            </w:r>
          </w:p>
        </w:tc>
        <w:tc>
          <w:tcPr>
            <w:tcW w:w="138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60</w:t>
            </w:r>
          </w:p>
        </w:tc>
        <w:tc>
          <w:tcPr>
            <w:tcW w:w="136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回收有效问卷</w:t>
            </w:r>
          </w:p>
        </w:tc>
        <w:tc>
          <w:tcPr>
            <w:tcW w:w="100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60</w:t>
            </w:r>
          </w:p>
        </w:tc>
        <w:tc>
          <w:tcPr>
            <w:tcW w:w="171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满意度情况</w:t>
            </w:r>
          </w:p>
        </w:tc>
        <w:tc>
          <w:tcPr>
            <w:tcW w:w="2317"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99%</w:t>
            </w:r>
          </w:p>
        </w:tc>
      </w:tr>
      <w:tr>
        <w:tblPrEx>
          <w:tblCellMar>
            <w:top w:w="15" w:type="dxa"/>
            <w:left w:w="15" w:type="dxa"/>
            <w:bottom w:w="15" w:type="dxa"/>
            <w:right w:w="15" w:type="dxa"/>
          </w:tblCellMar>
        </w:tblPrEx>
        <w:trPr>
          <w:trHeight w:val="1372" w:hRule="atLeast"/>
          <w:jc w:val="center"/>
        </w:trPr>
        <w:tc>
          <w:tcPr>
            <w:tcW w:w="129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采用的评价方法与评价标准</w:t>
            </w:r>
          </w:p>
        </w:tc>
        <w:tc>
          <w:tcPr>
            <w:tcW w:w="7796" w:type="dxa"/>
            <w:gridSpan w:val="6"/>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评价方法：因素分析法、比较法、公众评判法</w:t>
            </w:r>
          </w:p>
          <w:p>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评价标准：通用标准、计划标准</w:t>
            </w:r>
          </w:p>
        </w:tc>
      </w:tr>
      <w:tr>
        <w:tblPrEx>
          <w:tblCellMar>
            <w:top w:w="15" w:type="dxa"/>
            <w:left w:w="15" w:type="dxa"/>
            <w:bottom w:w="15" w:type="dxa"/>
            <w:right w:w="15" w:type="dxa"/>
          </w:tblCellMar>
        </w:tblPrEx>
        <w:trPr>
          <w:trHeight w:val="1543" w:hRule="atLeast"/>
          <w:jc w:val="center"/>
        </w:trPr>
        <w:tc>
          <w:tcPr>
            <w:tcW w:w="129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绩效评价结果</w:t>
            </w:r>
          </w:p>
        </w:tc>
        <w:tc>
          <w:tcPr>
            <w:tcW w:w="7796" w:type="dxa"/>
            <w:gridSpan w:val="6"/>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通过被评价单位提供的基础数据、问卷调查和访谈获取的信息资料，评价组对“2024年中央农业经营主体能力提升资金（农村实用人才）”进行了独立客观地评价，最终评分结果为98分，评价等级为“优”。</w:t>
            </w:r>
          </w:p>
        </w:tc>
      </w:tr>
      <w:tr>
        <w:tblPrEx>
          <w:tblCellMar>
            <w:top w:w="15" w:type="dxa"/>
            <w:left w:w="15" w:type="dxa"/>
            <w:bottom w:w="15" w:type="dxa"/>
            <w:right w:w="15" w:type="dxa"/>
          </w:tblCellMar>
        </w:tblPrEx>
        <w:trPr>
          <w:trHeight w:val="761"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项目主评人（签字）</w:t>
            </w:r>
          </w:p>
        </w:tc>
        <w:tc>
          <w:tcPr>
            <w:tcW w:w="7796"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default" w:ascii="Times New Roman" w:hAnsi="Times New Roman" w:eastAsia="仿宋_GB2312" w:cs="Times New Roman"/>
                <w:color w:val="auto"/>
                <w:sz w:val="22"/>
                <w:szCs w:val="22"/>
                <w:lang w:val="en-US" w:eastAsia="zh-CN"/>
              </w:rPr>
            </w:pPr>
          </w:p>
        </w:tc>
      </w:tr>
    </w:tbl>
    <w:p>
      <w:pPr>
        <w:pStyle w:val="2"/>
        <w:rPr>
          <w:rFonts w:hint="default" w:ascii="Times New Roman" w:hAnsi="Times New Roman" w:cs="Times New Roman"/>
          <w:color w:val="auto"/>
          <w:lang w:val="en-US" w:eastAsia="zh-CN"/>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157" w:beforeLines="50" w:line="240" w:lineRule="auto"/>
        <w:jc w:val="center"/>
        <w:textAlignment w:val="auto"/>
        <w:outlineLvl w:val="9"/>
        <w:rPr>
          <w:rFonts w:hint="default" w:ascii="Times New Roman" w:hAnsi="Times New Roman" w:eastAsia="黑体" w:cs="Times New Roman"/>
          <w:b w:val="0"/>
          <w:bCs w:val="0"/>
          <w:color w:val="auto"/>
          <w:sz w:val="44"/>
          <w:szCs w:val="44"/>
          <w:highlight w:val="none"/>
          <w:lang w:val="en-US" w:eastAsia="zh-CN"/>
        </w:rPr>
      </w:pPr>
      <w:bookmarkStart w:id="2" w:name="_Toc5178"/>
      <w:bookmarkStart w:id="3" w:name="_Toc11681"/>
      <w:r>
        <w:rPr>
          <w:rFonts w:hint="default" w:ascii="Times New Roman" w:hAnsi="Times New Roman" w:eastAsia="黑体" w:cs="Times New Roman"/>
          <w:b w:val="0"/>
          <w:bCs w:val="0"/>
          <w:color w:val="auto"/>
          <w:sz w:val="44"/>
          <w:szCs w:val="44"/>
          <w:highlight w:val="none"/>
          <w:lang w:val="en-US" w:eastAsia="zh-CN"/>
        </w:rPr>
        <w:t>摘</w:t>
      </w:r>
      <w:r>
        <w:rPr>
          <w:rFonts w:hint="eastAsia" w:ascii="Times New Roman" w:hAnsi="Times New Roman" w:eastAsia="黑体" w:cs="Times New Roman"/>
          <w:b w:val="0"/>
          <w:bCs w:val="0"/>
          <w:color w:val="auto"/>
          <w:sz w:val="44"/>
          <w:szCs w:val="44"/>
          <w:highlight w:val="none"/>
          <w:lang w:val="en-US" w:eastAsia="zh-CN"/>
        </w:rPr>
        <w:t xml:space="preserve">  </w:t>
      </w:r>
      <w:r>
        <w:rPr>
          <w:rFonts w:hint="default" w:ascii="Times New Roman" w:hAnsi="Times New Roman" w:eastAsia="黑体" w:cs="Times New Roman"/>
          <w:b w:val="0"/>
          <w:bCs w:val="0"/>
          <w:color w:val="auto"/>
          <w:sz w:val="44"/>
          <w:szCs w:val="44"/>
          <w:highlight w:val="none"/>
          <w:lang w:val="en-US" w:eastAsia="zh-CN"/>
        </w:rPr>
        <w:t>要</w:t>
      </w:r>
      <w:bookmarkEnd w:id="2"/>
      <w:bookmarkEnd w:id="3"/>
    </w:p>
    <w:p>
      <w:pPr>
        <w:keepNext w:val="0"/>
        <w:keepLines w:val="0"/>
        <w:pageBreakBefore w:val="0"/>
        <w:widowControl/>
        <w:kinsoku/>
        <w:wordWrap/>
        <w:overflowPunct/>
        <w:topLinePunct w:val="0"/>
        <w:autoSpaceDE/>
        <w:autoSpaceDN/>
        <w:bidi w:val="0"/>
        <w:adjustRightInd/>
        <w:snapToGrid/>
        <w:spacing w:before="0" w:beforeAutospacing="0" w:after="0" w:afterAutospacing="0" w:line="570" w:lineRule="atLeast"/>
        <w:ind w:firstLine="664" w:firstLineChars="200"/>
        <w:jc w:val="both"/>
        <w:textAlignment w:val="baseline"/>
        <w:rPr>
          <w:rFonts w:hint="default" w:ascii="方正黑体_GBK" w:hAnsi="方正黑体_GBK" w:eastAsia="方正黑体_GBK" w:cs="方正黑体_GBK"/>
          <w:b w:val="0"/>
          <w:bCs w:val="0"/>
          <w:i w:val="0"/>
          <w:caps w:val="0"/>
          <w:spacing w:val="6"/>
          <w:w w:val="100"/>
          <w:kern w:val="2"/>
          <w:sz w:val="32"/>
          <w:szCs w:val="32"/>
          <w:lang w:val="en-US" w:eastAsia="zh-CN" w:bidi="ar-SA"/>
        </w:rPr>
      </w:pPr>
      <w:bookmarkStart w:id="4" w:name="_Toc21206"/>
      <w:r>
        <w:rPr>
          <w:rFonts w:hint="eastAsia" w:ascii="方正黑体_GBK" w:hAnsi="方正黑体_GBK" w:eastAsia="方正黑体_GBK" w:cs="方正黑体_GBK"/>
          <w:b w:val="0"/>
          <w:bCs w:val="0"/>
          <w:i w:val="0"/>
          <w:caps w:val="0"/>
          <w:spacing w:val="6"/>
          <w:w w:val="100"/>
          <w:kern w:val="2"/>
          <w:sz w:val="32"/>
          <w:szCs w:val="32"/>
          <w:lang w:val="en-US" w:eastAsia="zh-CN" w:bidi="ar-SA"/>
        </w:rPr>
        <w:t>一、</w:t>
      </w:r>
      <w:r>
        <w:rPr>
          <w:rFonts w:hint="default" w:ascii="方正黑体_GBK" w:hAnsi="方正黑体_GBK" w:eastAsia="方正黑体_GBK" w:cs="方正黑体_GBK"/>
          <w:b w:val="0"/>
          <w:bCs w:val="0"/>
          <w:i w:val="0"/>
          <w:caps w:val="0"/>
          <w:spacing w:val="6"/>
          <w:w w:val="100"/>
          <w:kern w:val="2"/>
          <w:sz w:val="32"/>
          <w:szCs w:val="32"/>
          <w:lang w:val="en-US" w:eastAsia="zh-CN" w:bidi="ar-SA"/>
        </w:rPr>
        <w:t>项目概述</w:t>
      </w:r>
      <w:bookmarkEnd w:id="4"/>
    </w:p>
    <w:p>
      <w:pPr>
        <w:keepNext w:val="0"/>
        <w:keepLines w:val="0"/>
        <w:pageBreakBefore w:val="0"/>
        <w:widowControl/>
        <w:kinsoku/>
        <w:wordWrap/>
        <w:overflowPunct/>
        <w:topLinePunct w:val="0"/>
        <w:autoSpaceDE/>
        <w:autoSpaceDN/>
        <w:bidi w:val="0"/>
        <w:adjustRightInd/>
        <w:snapToGrid/>
        <w:spacing w:before="0" w:beforeAutospacing="0" w:after="0" w:afterAutospacing="0" w:line="570" w:lineRule="atLeast"/>
        <w:ind w:firstLine="667" w:firstLineChars="200"/>
        <w:jc w:val="both"/>
        <w:textAlignment w:val="baseline"/>
        <w:rPr>
          <w:rStyle w:val="14"/>
          <w:rFonts w:hint="default" w:ascii="方正楷体_GBK" w:hAnsi="方正楷体_GBK" w:eastAsia="方正楷体_GBK" w:cs="方正楷体_GBK"/>
          <w:b/>
          <w:bCs w:val="0"/>
          <w:i w:val="0"/>
          <w:caps w:val="0"/>
          <w:spacing w:val="6"/>
          <w:w w:val="100"/>
          <w:kern w:val="0"/>
          <w:sz w:val="32"/>
          <w:szCs w:val="32"/>
          <w:lang w:val="en-US" w:eastAsia="zh-CN" w:bidi="ar-SA"/>
        </w:rPr>
      </w:pPr>
      <w:r>
        <w:rPr>
          <w:rStyle w:val="14"/>
          <w:rFonts w:hint="eastAsia" w:ascii="方正楷体_GBK" w:hAnsi="方正楷体_GBK" w:eastAsia="方正楷体_GBK" w:cs="方正楷体_GBK"/>
          <w:b/>
          <w:bCs w:val="0"/>
          <w:i w:val="0"/>
          <w:caps w:val="0"/>
          <w:spacing w:val="6"/>
          <w:w w:val="100"/>
          <w:kern w:val="0"/>
          <w:sz w:val="32"/>
          <w:szCs w:val="32"/>
          <w:lang w:val="en-US" w:eastAsia="zh-CN" w:bidi="ar-SA"/>
        </w:rPr>
        <w:t>（一）</w:t>
      </w:r>
      <w:r>
        <w:rPr>
          <w:rStyle w:val="14"/>
          <w:rFonts w:hint="default" w:ascii="方正楷体_GBK" w:hAnsi="方正楷体_GBK" w:eastAsia="方正楷体_GBK" w:cs="方正楷体_GBK"/>
          <w:b/>
          <w:bCs w:val="0"/>
          <w:i w:val="0"/>
          <w:caps w:val="0"/>
          <w:spacing w:val="6"/>
          <w:w w:val="100"/>
          <w:kern w:val="0"/>
          <w:sz w:val="32"/>
          <w:szCs w:val="32"/>
          <w:lang w:val="en-US" w:eastAsia="zh-CN" w:bidi="ar-SA"/>
        </w:rPr>
        <w:t>项目概述</w:t>
      </w:r>
    </w:p>
    <w:p>
      <w:pPr>
        <w:keepNext w:val="0"/>
        <w:keepLines w:val="0"/>
        <w:pageBreakBefore w:val="0"/>
        <w:widowControl/>
        <w:kinsoku/>
        <w:wordWrap/>
        <w:overflowPunct/>
        <w:topLinePunct w:val="0"/>
        <w:autoSpaceDE/>
        <w:autoSpaceDN/>
        <w:bidi w:val="0"/>
        <w:adjustRightInd/>
        <w:snapToGrid/>
        <w:spacing w:line="240" w:lineRule="auto"/>
        <w:ind w:left="0" w:right="0" w:firstLine="664" w:firstLineChars="200"/>
        <w:textAlignment w:val="auto"/>
        <w:outlineLvl w:val="9"/>
        <w:rPr>
          <w:rFonts w:hint="eastAsia" w:ascii="Times New Roman" w:hAnsi="Times New Roman" w:eastAsia="仿宋_GB2312" w:cs="Times New Roman"/>
          <w:b w:val="0"/>
          <w:color w:val="000000"/>
          <w:spacing w:val="6"/>
          <w:kern w:val="2"/>
          <w:sz w:val="32"/>
          <w:szCs w:val="32"/>
          <w:lang w:val="en-US" w:eastAsia="zh-CN" w:bidi="ar"/>
        </w:rPr>
      </w:pPr>
      <w:r>
        <w:rPr>
          <w:rFonts w:hint="eastAsia" w:ascii="Times New Roman" w:hAnsi="Times New Roman" w:eastAsia="仿宋_GB2312" w:cs="Times New Roman"/>
          <w:b w:val="0"/>
          <w:color w:val="000000"/>
          <w:spacing w:val="6"/>
          <w:kern w:val="2"/>
          <w:sz w:val="32"/>
          <w:szCs w:val="32"/>
          <w:lang w:val="en-US" w:eastAsia="zh-CN" w:bidi="ar"/>
        </w:rPr>
        <w:t>有力落实有效推进乡村全面振兴的工作部署，以守护国家粮食安全为核心，全面推进高素质农民队伍建设。全年高素质农民培育工作年度绩效任务的比重不低于60%。一是培优提升产业发展能力，服务构建现代农业经营体系，围绕经营管理、绿色发展、品牌创建、市场营销、风险防控等内容开展系统化培训，提升产业发展水平和带动能力。</w:t>
      </w:r>
      <w:r>
        <w:rPr>
          <w:rFonts w:hint="eastAsia" w:ascii="Times New Roman" w:hAnsi="Times New Roman" w:eastAsia="仿宋_GB2312" w:cs="Times New Roman"/>
          <w:b/>
          <w:bCs/>
          <w:color w:val="000000"/>
          <w:spacing w:val="6"/>
          <w:kern w:val="2"/>
          <w:sz w:val="32"/>
          <w:szCs w:val="32"/>
          <w:lang w:val="en-US" w:eastAsia="zh-CN" w:bidi="ar"/>
        </w:rPr>
        <w:t>二</w:t>
      </w:r>
      <w:r>
        <w:rPr>
          <w:rFonts w:hint="eastAsia" w:ascii="Times New Roman" w:hAnsi="Times New Roman" w:eastAsia="仿宋_GB2312" w:cs="Times New Roman"/>
          <w:b w:val="0"/>
          <w:color w:val="000000"/>
          <w:spacing w:val="6"/>
          <w:kern w:val="2"/>
          <w:sz w:val="32"/>
          <w:szCs w:val="32"/>
          <w:lang w:val="en-US" w:eastAsia="zh-CN" w:bidi="ar"/>
        </w:rPr>
        <w:t>是全面提升综合素质素养，面向高素质农民培育对象全面开设综合素质素养课程，持续推进习近平新时代中国特色社会主义思想相关课程覆盖所有培育对象，弘扬社会主义核心价值观，普及“三农”相关政策、涉农法律法规、农业绿色发展、农业标准化、农产品质量安全、农机安全、农村消防、耕地保护建设、农业金融保险、乡村治理、农耕文化、农村移风易俗等领域知识、理念和倡导性要求，全面提升农民综合素质。</w:t>
      </w:r>
    </w:p>
    <w:p>
      <w:pPr>
        <w:keepNext w:val="0"/>
        <w:keepLines w:val="0"/>
        <w:pageBreakBefore w:val="0"/>
        <w:widowControl/>
        <w:kinsoku/>
        <w:wordWrap/>
        <w:overflowPunct/>
        <w:topLinePunct w:val="0"/>
        <w:autoSpaceDE/>
        <w:autoSpaceDN/>
        <w:bidi w:val="0"/>
        <w:adjustRightInd/>
        <w:snapToGrid/>
        <w:spacing w:before="0" w:beforeAutospacing="0" w:after="0" w:afterAutospacing="0" w:line="570" w:lineRule="atLeast"/>
        <w:ind w:firstLine="667" w:firstLineChars="200"/>
        <w:jc w:val="both"/>
        <w:textAlignment w:val="baseline"/>
        <w:rPr>
          <w:rStyle w:val="14"/>
          <w:rFonts w:hint="default" w:ascii="方正楷体_GBK" w:hAnsi="方正楷体_GBK" w:eastAsia="方正楷体_GBK" w:cs="方正楷体_GBK"/>
          <w:b/>
          <w:bCs w:val="0"/>
          <w:i w:val="0"/>
          <w:caps w:val="0"/>
          <w:spacing w:val="6"/>
          <w:w w:val="100"/>
          <w:kern w:val="0"/>
          <w:sz w:val="32"/>
          <w:szCs w:val="32"/>
          <w:lang w:val="en-US" w:eastAsia="zh-CN" w:bidi="ar-SA"/>
        </w:rPr>
      </w:pPr>
      <w:r>
        <w:rPr>
          <w:rStyle w:val="14"/>
          <w:rFonts w:hint="eastAsia" w:ascii="方正楷体_GBK" w:hAnsi="方正楷体_GBK" w:eastAsia="方正楷体_GBK" w:cs="方正楷体_GBK"/>
          <w:b/>
          <w:bCs w:val="0"/>
          <w:i w:val="0"/>
          <w:caps w:val="0"/>
          <w:spacing w:val="6"/>
          <w:w w:val="100"/>
          <w:kern w:val="0"/>
          <w:sz w:val="32"/>
          <w:szCs w:val="32"/>
          <w:lang w:val="en-US" w:eastAsia="zh-CN" w:bidi="ar-SA"/>
        </w:rPr>
        <w:t>（二）</w:t>
      </w:r>
      <w:r>
        <w:rPr>
          <w:rStyle w:val="14"/>
          <w:rFonts w:hint="default" w:ascii="方正楷体_GBK" w:hAnsi="方正楷体_GBK" w:eastAsia="方正楷体_GBK" w:cs="方正楷体_GBK"/>
          <w:b/>
          <w:bCs w:val="0"/>
          <w:i w:val="0"/>
          <w:caps w:val="0"/>
          <w:spacing w:val="6"/>
          <w:w w:val="100"/>
          <w:kern w:val="0"/>
          <w:sz w:val="32"/>
          <w:szCs w:val="32"/>
          <w:lang w:val="en-US" w:eastAsia="zh-CN" w:bidi="ar-SA"/>
        </w:rPr>
        <w:t>项目实施情况</w:t>
      </w:r>
    </w:p>
    <w:p>
      <w:pPr>
        <w:keepNext w:val="0"/>
        <w:keepLines w:val="0"/>
        <w:pageBreakBefore w:val="0"/>
        <w:widowControl/>
        <w:kinsoku/>
        <w:wordWrap/>
        <w:overflowPunct/>
        <w:topLinePunct w:val="0"/>
        <w:autoSpaceDE/>
        <w:autoSpaceDN/>
        <w:bidi w:val="0"/>
        <w:adjustRightInd/>
        <w:snapToGrid/>
        <w:spacing w:line="240" w:lineRule="auto"/>
        <w:ind w:left="0" w:right="0" w:firstLine="664" w:firstLineChars="200"/>
        <w:textAlignment w:val="auto"/>
        <w:outlineLvl w:val="9"/>
        <w:rPr>
          <w:rFonts w:hint="default" w:ascii="Times New Roman" w:hAnsi="Times New Roman" w:cs="Times New Roman"/>
          <w:color w:val="auto"/>
          <w:lang w:val="en-US" w:eastAsia="zh-CN"/>
        </w:rPr>
      </w:pPr>
      <w:r>
        <w:rPr>
          <w:rFonts w:hint="eastAsia" w:ascii="Times New Roman" w:hAnsi="Times New Roman" w:eastAsia="仿宋_GB2312" w:cs="Times New Roman"/>
          <w:b w:val="0"/>
          <w:color w:val="000000"/>
          <w:spacing w:val="6"/>
          <w:kern w:val="2"/>
          <w:sz w:val="32"/>
          <w:szCs w:val="32"/>
          <w:lang w:val="en-US" w:eastAsia="zh-CN" w:bidi="ar"/>
        </w:rPr>
        <w:t>沙湾市实用人才分两个主题班举办，农村实用人才带头人示范培训数量200人，共计52.14万元。高素质农民培训数量 135人，共计38.73万元。</w:t>
      </w:r>
    </w:p>
    <w:p>
      <w:pPr>
        <w:keepNext w:val="0"/>
        <w:keepLines w:val="0"/>
        <w:pageBreakBefore w:val="0"/>
        <w:widowControl/>
        <w:kinsoku/>
        <w:wordWrap/>
        <w:overflowPunct/>
        <w:topLinePunct w:val="0"/>
        <w:autoSpaceDE/>
        <w:autoSpaceDN/>
        <w:bidi w:val="0"/>
        <w:adjustRightInd/>
        <w:snapToGrid/>
        <w:spacing w:before="0" w:beforeAutospacing="0" w:after="0" w:afterAutospacing="0" w:line="570" w:lineRule="atLeast"/>
        <w:ind w:firstLine="667" w:firstLineChars="200"/>
        <w:jc w:val="both"/>
        <w:textAlignment w:val="baseline"/>
        <w:rPr>
          <w:rStyle w:val="14"/>
          <w:rFonts w:hint="default" w:ascii="方正楷体_GBK" w:hAnsi="方正楷体_GBK" w:eastAsia="方正楷体_GBK" w:cs="方正楷体_GBK"/>
          <w:b/>
          <w:bCs w:val="0"/>
          <w:i w:val="0"/>
          <w:caps w:val="0"/>
          <w:spacing w:val="6"/>
          <w:w w:val="100"/>
          <w:kern w:val="0"/>
          <w:sz w:val="32"/>
          <w:szCs w:val="32"/>
          <w:lang w:val="en-US" w:eastAsia="zh-CN" w:bidi="ar-SA"/>
        </w:rPr>
      </w:pPr>
      <w:r>
        <w:rPr>
          <w:rStyle w:val="14"/>
          <w:rFonts w:hint="default" w:ascii="方正楷体_GBK" w:hAnsi="方正楷体_GBK" w:eastAsia="方正楷体_GBK" w:cs="方正楷体_GBK"/>
          <w:b/>
          <w:bCs w:val="0"/>
          <w:i w:val="0"/>
          <w:caps w:val="0"/>
          <w:spacing w:val="6"/>
          <w:w w:val="100"/>
          <w:kern w:val="0"/>
          <w:sz w:val="32"/>
          <w:szCs w:val="32"/>
          <w:lang w:val="en-US" w:eastAsia="zh-CN" w:bidi="ar-SA"/>
        </w:rPr>
        <w:t>（三）绩效目标</w:t>
      </w:r>
    </w:p>
    <w:p>
      <w:pPr>
        <w:keepNext w:val="0"/>
        <w:keepLines w:val="0"/>
        <w:pageBreakBefore w:val="0"/>
        <w:widowControl/>
        <w:kinsoku/>
        <w:wordWrap/>
        <w:overflowPunct w:val="0"/>
        <w:topLinePunct w:val="0"/>
        <w:autoSpaceDE w:val="0"/>
        <w:autoSpaceDN w:val="0"/>
        <w:bidi w:val="0"/>
        <w:adjustRightInd w:val="0"/>
        <w:snapToGrid/>
        <w:spacing w:beforeAutospacing="0" w:afterAutospacing="0" w:line="240" w:lineRule="auto"/>
        <w:ind w:firstLine="643" w:firstLineChars="200"/>
        <w:textAlignment w:val="baseline"/>
        <w:outlineLvl w:val="9"/>
        <w:rPr>
          <w:rFonts w:hint="default" w:ascii="Times New Roman" w:hAnsi="Times New Roman" w:eastAsia="仿宋_GB2312" w:cs="Times New Roman"/>
          <w:b/>
          <w:bCs w:val="0"/>
          <w:color w:val="auto"/>
          <w:kern w:val="0"/>
          <w:sz w:val="32"/>
          <w:szCs w:val="32"/>
          <w:highlight w:val="none"/>
          <w:lang w:bidi="ar"/>
        </w:rPr>
      </w:pPr>
      <w:r>
        <w:rPr>
          <w:rFonts w:hint="default" w:ascii="Times New Roman" w:hAnsi="Times New Roman" w:eastAsia="仿宋_GB2312" w:cs="Times New Roman"/>
          <w:b/>
          <w:bCs w:val="0"/>
          <w:color w:val="auto"/>
          <w:kern w:val="0"/>
          <w:sz w:val="32"/>
          <w:szCs w:val="32"/>
          <w:highlight w:val="none"/>
          <w:lang w:bidi="ar"/>
        </w:rPr>
        <w:t>1.总目标</w:t>
      </w:r>
    </w:p>
    <w:p>
      <w:pPr>
        <w:keepNext w:val="0"/>
        <w:keepLines w:val="0"/>
        <w:pageBreakBefore w:val="0"/>
        <w:widowControl/>
        <w:kinsoku/>
        <w:wordWrap/>
        <w:overflowPunct/>
        <w:topLinePunct w:val="0"/>
        <w:autoSpaceDE/>
        <w:autoSpaceDN/>
        <w:bidi w:val="0"/>
        <w:adjustRightInd/>
        <w:snapToGrid/>
        <w:spacing w:line="240" w:lineRule="auto"/>
        <w:ind w:left="0" w:right="0" w:firstLine="664" w:firstLineChars="200"/>
        <w:textAlignment w:val="auto"/>
        <w:outlineLvl w:val="9"/>
        <w:rPr>
          <w:rFonts w:hint="default"/>
          <w:lang w:val="en-US" w:eastAsia="zh-CN"/>
        </w:rPr>
      </w:pPr>
      <w:r>
        <w:rPr>
          <w:rFonts w:hint="eastAsia" w:ascii="Times New Roman" w:hAnsi="Times New Roman" w:eastAsia="仿宋_GB2312" w:cs="Times New Roman"/>
          <w:b w:val="0"/>
          <w:color w:val="000000"/>
          <w:spacing w:val="6"/>
          <w:kern w:val="2"/>
          <w:sz w:val="32"/>
          <w:szCs w:val="32"/>
          <w:lang w:val="en-US" w:eastAsia="zh-CN" w:bidi="ar"/>
        </w:rPr>
        <w:t>根据塔地财农〔2023〕26号、沙财农〔2023〕18号文件，下达2024年中央农业经营主体能力提升资金（农村实用人才）90.87万元，项目完成高素质农民培训数量135人，农村实用人才带头人示范培训数量200人。高素质农民培训投入资金38.73万元，农村实用人才培训投入资金52.14万元。培训学员成绩合格率达到100%，通过项目的实施达到高素质农民生产经营能力和带动能力明显增强效果。</w:t>
      </w:r>
    </w:p>
    <w:p>
      <w:pPr>
        <w:keepNext w:val="0"/>
        <w:keepLines/>
        <w:pageBreakBefore w:val="0"/>
        <w:widowControl w:val="0"/>
        <w:kinsoku/>
        <w:wordWrap/>
        <w:overflowPunct w:val="0"/>
        <w:topLinePunct w:val="0"/>
        <w:autoSpaceDE w:val="0"/>
        <w:autoSpaceDN w:val="0"/>
        <w:bidi w:val="0"/>
        <w:adjustRightInd w:val="0"/>
        <w:snapToGrid/>
        <w:spacing w:beforeAutospacing="0" w:afterAutospacing="0" w:line="560" w:lineRule="exact"/>
        <w:ind w:firstLine="643" w:firstLineChars="200"/>
        <w:textAlignment w:val="baseline"/>
        <w:outlineLvl w:val="9"/>
        <w:rPr>
          <w:rFonts w:hint="default" w:ascii="Times New Roman" w:hAnsi="Times New Roman" w:eastAsia="仿宋_GB2312" w:cs="Times New Roman"/>
          <w:b/>
          <w:bCs w:val="0"/>
          <w:color w:val="auto"/>
          <w:kern w:val="0"/>
          <w:sz w:val="32"/>
          <w:szCs w:val="32"/>
          <w:highlight w:val="none"/>
          <w:lang w:val="en-US" w:eastAsia="zh-CN" w:bidi="ar"/>
        </w:rPr>
      </w:pPr>
      <w:r>
        <w:rPr>
          <w:rFonts w:hint="default" w:ascii="Times New Roman" w:hAnsi="Times New Roman" w:eastAsia="仿宋_GB2312" w:cs="Times New Roman"/>
          <w:b/>
          <w:bCs w:val="0"/>
          <w:color w:val="auto"/>
          <w:kern w:val="0"/>
          <w:sz w:val="32"/>
          <w:szCs w:val="32"/>
          <w:highlight w:val="none"/>
          <w:lang w:val="en-US" w:eastAsia="zh-CN" w:bidi="ar"/>
        </w:rPr>
        <w:t>2.年度绩效目标</w:t>
      </w:r>
    </w:p>
    <w:tbl>
      <w:tblPr>
        <w:tblStyle w:val="11"/>
        <w:tblpPr w:leftFromText="180" w:rightFromText="180" w:vertAnchor="text" w:horzAnchor="page" w:tblpX="1747" w:tblpY="-7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8"/>
        <w:gridCol w:w="539"/>
        <w:gridCol w:w="1634"/>
        <w:gridCol w:w="1262"/>
        <w:gridCol w:w="914"/>
        <w:gridCol w:w="1031"/>
        <w:gridCol w:w="874"/>
        <w:gridCol w:w="755"/>
        <w:gridCol w:w="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0" w:type="auto"/>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项目支出绩效目标表</w:t>
            </w:r>
            <w:r>
              <w:rPr>
                <w:rFonts w:hint="eastAsia" w:ascii="宋体" w:hAnsi="宋体" w:cs="宋体"/>
                <w:b/>
                <w:bCs/>
                <w:i w:val="0"/>
                <w:iCs w:val="0"/>
                <w:color w:val="000000"/>
                <w:kern w:val="0"/>
                <w:sz w:val="32"/>
                <w:szCs w:val="3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预算单位</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沙湾市农业广播电视学校沙湾市分校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2024年中央农业经营主体能力提升资金（农村实用人才）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项目负责人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项目资金（万元）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年度预算总额：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90.87</w:t>
            </w:r>
          </w:p>
        </w:tc>
        <w:tc>
          <w:tcPr>
            <w:tcW w:w="0" w:type="auto"/>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90.87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项目总体目标</w:t>
            </w:r>
          </w:p>
        </w:tc>
        <w:tc>
          <w:tcPr>
            <w:tcW w:w="0" w:type="auto"/>
            <w:gridSpan w:val="7"/>
            <w:tcBorders>
              <w:top w:val="single" w:color="000000" w:sz="4" w:space="0"/>
              <w:left w:val="nil"/>
              <w:bottom w:val="single" w:color="000000" w:sz="4" w:space="0"/>
              <w:right w:val="single" w:color="000000" w:sz="4" w:space="0"/>
            </w:tcBorders>
            <w:shd w:val="clear" w:color="auto" w:fill="auto"/>
            <w:vAlign w:val="top"/>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塔地财农〔2023〕26号、沙财农〔2023〕18号文件，下达2024年中央农业经营主体能力提升资金（农村实用人才）90.87万元，项目完成高素质农民培训数量135人；农村实用人才带头人示范培训数量200人。高素质农民培训投入资金38.73万元；农村实用人才培训投入资金52.14万元。培训学员满意度达到100%，培训实行信息化管理和服务达到70%以上。通过项目的实施达到高素质农民生产经营能力和带动能力明显增强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一级指标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二级指标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三级指标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指标值</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指标值设置依据</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上年完成值</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指标分值权重</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指标赋分规则</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佐证资料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高素质农民培训补助人数（人）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&gt;=135人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计划标准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135人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按照完成比例赋分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农村实用人才带头人示范培训补助人数（人）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&gt;=200人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计划标准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200人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按照完成比例赋分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培训学员成绩合格率（%）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计划标准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按照完成比例赋分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培训任务完成时限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=2024年10月30日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计划标准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2023年10月30日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按照完成比例赋分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高素质农民培训投入资金（万元）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&lt;=38.73万元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预算支出标准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44.5万元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按照完成比例赋分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原始凭证，工作资料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农村实用人才培训投入资金（万元）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&lt;=52.14万元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预算支出标准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60万元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按照完成比例赋分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原始凭证，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高素质农民生产经营能力和带动能力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明显增强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计划标准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达成预期指标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按评判等级赋分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工作资料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培训学员满意度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&gt;=95%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计划标准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满意度赋分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工作资料</w:t>
            </w:r>
          </w:p>
        </w:tc>
      </w:tr>
    </w:tbl>
    <w:p>
      <w:pPr>
        <w:widowControl/>
        <w:jc w:val="left"/>
        <w:textAlignment w:val="center"/>
        <w:rPr>
          <w:rFonts w:hint="default" w:ascii="Times New Roman" w:hAnsi="Times New Roman" w:eastAsia="仿宋_GB2312" w:cs="Times New Roman"/>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70" w:lineRule="atLeast"/>
        <w:ind w:firstLine="664" w:firstLineChars="200"/>
        <w:jc w:val="both"/>
        <w:textAlignment w:val="baseline"/>
        <w:rPr>
          <w:rFonts w:hint="default" w:ascii="方正黑体_GBK" w:hAnsi="方正黑体_GBK" w:eastAsia="方正黑体_GBK" w:cs="方正黑体_GBK"/>
          <w:b w:val="0"/>
          <w:bCs w:val="0"/>
          <w:i w:val="0"/>
          <w:caps w:val="0"/>
          <w:spacing w:val="6"/>
          <w:w w:val="100"/>
          <w:kern w:val="2"/>
          <w:sz w:val="32"/>
          <w:szCs w:val="32"/>
          <w:lang w:val="en-US" w:eastAsia="zh-CN" w:bidi="ar-SA"/>
        </w:rPr>
      </w:pPr>
      <w:r>
        <w:rPr>
          <w:rFonts w:hint="eastAsia" w:ascii="方正黑体_GBK" w:hAnsi="方正黑体_GBK" w:eastAsia="方正黑体_GBK" w:cs="方正黑体_GBK"/>
          <w:b w:val="0"/>
          <w:bCs w:val="0"/>
          <w:i w:val="0"/>
          <w:caps w:val="0"/>
          <w:spacing w:val="6"/>
          <w:w w:val="100"/>
          <w:kern w:val="2"/>
          <w:sz w:val="32"/>
          <w:szCs w:val="32"/>
          <w:lang w:val="en-US" w:eastAsia="zh-CN" w:bidi="ar-SA"/>
        </w:rPr>
        <w:t>二、</w:t>
      </w:r>
      <w:r>
        <w:rPr>
          <w:rFonts w:hint="default" w:ascii="方正黑体_GBK" w:hAnsi="方正黑体_GBK" w:eastAsia="方正黑体_GBK" w:cs="方正黑体_GBK"/>
          <w:b w:val="0"/>
          <w:bCs w:val="0"/>
          <w:i w:val="0"/>
          <w:caps w:val="0"/>
          <w:spacing w:val="6"/>
          <w:w w:val="100"/>
          <w:kern w:val="2"/>
          <w:sz w:val="32"/>
          <w:szCs w:val="32"/>
          <w:lang w:val="en-US" w:eastAsia="zh-CN" w:bidi="ar-SA"/>
        </w:rPr>
        <w:t>绩效评价情况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570" w:lineRule="atLeast"/>
        <w:ind w:firstLine="667" w:firstLineChars="200"/>
        <w:jc w:val="both"/>
        <w:textAlignment w:val="baseline"/>
        <w:rPr>
          <w:rStyle w:val="14"/>
          <w:rFonts w:hint="default" w:ascii="方正楷体_GBK" w:hAnsi="方正楷体_GBK" w:eastAsia="方正楷体_GBK" w:cs="方正楷体_GBK"/>
          <w:b/>
          <w:bCs w:val="0"/>
          <w:i w:val="0"/>
          <w:caps w:val="0"/>
          <w:spacing w:val="6"/>
          <w:w w:val="100"/>
          <w:kern w:val="0"/>
          <w:sz w:val="32"/>
          <w:szCs w:val="32"/>
          <w:lang w:val="en-US" w:eastAsia="zh-CN" w:bidi="ar-SA"/>
        </w:rPr>
      </w:pPr>
      <w:r>
        <w:rPr>
          <w:rStyle w:val="14"/>
          <w:rFonts w:hint="default" w:ascii="方正楷体_GBK" w:hAnsi="方正楷体_GBK" w:eastAsia="方正楷体_GBK" w:cs="方正楷体_GBK"/>
          <w:b/>
          <w:bCs w:val="0"/>
          <w:i w:val="0"/>
          <w:caps w:val="0"/>
          <w:spacing w:val="6"/>
          <w:w w:val="100"/>
          <w:kern w:val="0"/>
          <w:sz w:val="32"/>
          <w:szCs w:val="32"/>
          <w:lang w:val="en-US" w:eastAsia="zh-CN" w:bidi="ar-SA"/>
        </w:rPr>
        <w:t>（一）评价结论</w:t>
      </w:r>
    </w:p>
    <w:p>
      <w:pPr>
        <w:keepNext w:val="0"/>
        <w:keepLines w:val="0"/>
        <w:pageBreakBefore w:val="0"/>
        <w:widowControl/>
        <w:kinsoku/>
        <w:wordWrap/>
        <w:overflowPunct/>
        <w:topLinePunct w:val="0"/>
        <w:autoSpaceDE/>
        <w:autoSpaceDN/>
        <w:bidi w:val="0"/>
        <w:adjustRightInd/>
        <w:snapToGrid/>
        <w:spacing w:line="240" w:lineRule="auto"/>
        <w:ind w:left="0" w:right="0" w:firstLine="664" w:firstLineChars="200"/>
        <w:textAlignment w:val="auto"/>
        <w:outlineLvl w:val="9"/>
        <w:rPr>
          <w:rFonts w:hint="eastAsia" w:ascii="Times New Roman" w:hAnsi="Times New Roman" w:eastAsia="仿宋_GB2312" w:cs="Times New Roman"/>
          <w:b w:val="0"/>
          <w:color w:val="000000"/>
          <w:spacing w:val="6"/>
          <w:kern w:val="2"/>
          <w:sz w:val="32"/>
          <w:szCs w:val="32"/>
          <w:lang w:val="en-US" w:eastAsia="zh-CN" w:bidi="ar"/>
        </w:rPr>
      </w:pPr>
      <w:r>
        <w:rPr>
          <w:rFonts w:hint="default" w:ascii="Times New Roman" w:hAnsi="Times New Roman" w:eastAsia="仿宋_GB2312" w:cs="Times New Roman"/>
          <w:b w:val="0"/>
          <w:color w:val="000000"/>
          <w:spacing w:val="6"/>
          <w:kern w:val="2"/>
          <w:sz w:val="32"/>
          <w:szCs w:val="32"/>
          <w:lang w:val="en-US" w:eastAsia="zh-CN" w:bidi="ar"/>
        </w:rPr>
        <w:t>运用由评价组研发并通过预算单位确认的评价指标体系及评分标准，通过项目实施单位提供的基础数据、问卷调查和访谈获取的信息资料，评价组对</w:t>
      </w:r>
      <w:r>
        <w:rPr>
          <w:rFonts w:hint="eastAsia" w:ascii="Times New Roman" w:hAnsi="Times New Roman" w:eastAsia="仿宋_GB2312" w:cs="Times New Roman"/>
          <w:b w:val="0"/>
          <w:color w:val="000000"/>
          <w:spacing w:val="6"/>
          <w:kern w:val="2"/>
          <w:sz w:val="32"/>
          <w:szCs w:val="32"/>
          <w:lang w:val="en-US" w:eastAsia="zh-CN" w:bidi="ar"/>
        </w:rPr>
        <w:t>2024</w:t>
      </w:r>
      <w:r>
        <w:rPr>
          <w:rFonts w:hint="default" w:ascii="Times New Roman" w:hAnsi="Times New Roman" w:eastAsia="仿宋_GB2312" w:cs="Times New Roman"/>
          <w:b w:val="0"/>
          <w:color w:val="000000"/>
          <w:spacing w:val="6"/>
          <w:kern w:val="2"/>
          <w:sz w:val="32"/>
          <w:szCs w:val="32"/>
          <w:lang w:val="en-US" w:eastAsia="zh-CN" w:bidi="ar"/>
        </w:rPr>
        <w:t>年</w:t>
      </w:r>
      <w:r>
        <w:rPr>
          <w:rFonts w:hint="eastAsia" w:ascii="Times New Roman" w:hAnsi="Times New Roman" w:eastAsia="仿宋_GB2312" w:cs="Times New Roman"/>
          <w:b w:val="0"/>
          <w:color w:val="000000"/>
          <w:spacing w:val="6"/>
          <w:kern w:val="2"/>
          <w:sz w:val="32"/>
          <w:szCs w:val="32"/>
          <w:lang w:val="en-US" w:eastAsia="zh-CN" w:bidi="ar"/>
        </w:rPr>
        <w:t>中央农业经营主体能力提升资金（农村实用人才）项目</w:t>
      </w:r>
      <w:r>
        <w:rPr>
          <w:rFonts w:hint="default" w:ascii="Times New Roman" w:hAnsi="Times New Roman" w:eastAsia="仿宋_GB2312" w:cs="Times New Roman"/>
          <w:b w:val="0"/>
          <w:color w:val="000000"/>
          <w:spacing w:val="6"/>
          <w:kern w:val="2"/>
          <w:sz w:val="32"/>
          <w:szCs w:val="32"/>
          <w:lang w:val="en-US" w:eastAsia="zh-CN" w:bidi="ar"/>
        </w:rPr>
        <w:t>进行了</w:t>
      </w:r>
      <w:r>
        <w:rPr>
          <w:rFonts w:hint="eastAsia" w:ascii="Times New Roman" w:hAnsi="Times New Roman" w:eastAsia="仿宋_GB2312" w:cs="Times New Roman"/>
          <w:b w:val="0"/>
          <w:color w:val="000000"/>
          <w:spacing w:val="6"/>
          <w:kern w:val="2"/>
          <w:sz w:val="32"/>
          <w:szCs w:val="32"/>
          <w:lang w:val="en-US" w:eastAsia="zh-CN" w:bidi="ar"/>
        </w:rPr>
        <w:t>独立客观的评价</w:t>
      </w:r>
      <w:r>
        <w:rPr>
          <w:rFonts w:hint="default" w:ascii="Times New Roman" w:hAnsi="Times New Roman" w:eastAsia="仿宋_GB2312" w:cs="Times New Roman"/>
          <w:b w:val="0"/>
          <w:color w:val="000000"/>
          <w:spacing w:val="6"/>
          <w:kern w:val="2"/>
          <w:sz w:val="32"/>
          <w:szCs w:val="32"/>
          <w:lang w:val="en-US" w:eastAsia="zh-CN" w:bidi="ar"/>
        </w:rPr>
        <w:t>，最终评分结果为</w:t>
      </w:r>
      <w:r>
        <w:rPr>
          <w:rFonts w:hint="eastAsia" w:ascii="Times New Roman" w:hAnsi="Times New Roman" w:eastAsia="仿宋_GB2312" w:cs="Times New Roman"/>
          <w:b w:val="0"/>
          <w:color w:val="000000"/>
          <w:spacing w:val="6"/>
          <w:kern w:val="2"/>
          <w:sz w:val="32"/>
          <w:szCs w:val="32"/>
          <w:lang w:val="en-US" w:eastAsia="zh-CN" w:bidi="ar"/>
        </w:rPr>
        <w:t>98</w:t>
      </w:r>
      <w:r>
        <w:rPr>
          <w:rFonts w:hint="default" w:ascii="Times New Roman" w:hAnsi="Times New Roman" w:eastAsia="仿宋_GB2312" w:cs="Times New Roman"/>
          <w:b w:val="0"/>
          <w:color w:val="000000"/>
          <w:spacing w:val="6"/>
          <w:kern w:val="2"/>
          <w:sz w:val="32"/>
          <w:szCs w:val="32"/>
          <w:lang w:val="en-US" w:eastAsia="zh-CN" w:bidi="ar"/>
        </w:rPr>
        <w:t>分</w:t>
      </w:r>
      <w:r>
        <w:rPr>
          <w:rFonts w:hint="eastAsia" w:ascii="Times New Roman" w:hAnsi="Times New Roman" w:eastAsia="仿宋_GB2312" w:cs="Times New Roman"/>
          <w:b w:val="0"/>
          <w:color w:val="000000"/>
          <w:spacing w:val="6"/>
          <w:kern w:val="2"/>
          <w:sz w:val="32"/>
          <w:szCs w:val="32"/>
          <w:lang w:val="en-US" w:eastAsia="zh-CN" w:bidi="ar"/>
        </w:rPr>
        <w:t>，评价等级为“优”</w:t>
      </w:r>
    </w:p>
    <w:p>
      <w:pPr>
        <w:keepNext w:val="0"/>
        <w:keepLines w:val="0"/>
        <w:pageBreakBefore w:val="0"/>
        <w:widowControl/>
        <w:kinsoku/>
        <w:wordWrap/>
        <w:overflowPunct/>
        <w:topLinePunct w:val="0"/>
        <w:autoSpaceDE/>
        <w:autoSpaceDN/>
        <w:bidi w:val="0"/>
        <w:adjustRightInd/>
        <w:snapToGrid/>
        <w:spacing w:before="0" w:beforeAutospacing="0" w:after="0" w:afterAutospacing="0" w:line="570" w:lineRule="atLeast"/>
        <w:ind w:firstLine="667" w:firstLineChars="200"/>
        <w:jc w:val="both"/>
        <w:textAlignment w:val="baseline"/>
        <w:rPr>
          <w:rStyle w:val="14"/>
          <w:rFonts w:hint="default" w:ascii="方正楷体_GBK" w:hAnsi="方正楷体_GBK" w:eastAsia="方正楷体_GBK" w:cs="方正楷体_GBK"/>
          <w:b/>
          <w:bCs w:val="0"/>
          <w:i w:val="0"/>
          <w:caps w:val="0"/>
          <w:spacing w:val="6"/>
          <w:w w:val="100"/>
          <w:kern w:val="0"/>
          <w:sz w:val="32"/>
          <w:szCs w:val="32"/>
          <w:lang w:val="en-US" w:eastAsia="zh-CN" w:bidi="ar-SA"/>
        </w:rPr>
      </w:pPr>
      <w:r>
        <w:rPr>
          <w:rStyle w:val="14"/>
          <w:rFonts w:hint="default" w:ascii="方正楷体_GBK" w:hAnsi="方正楷体_GBK" w:eastAsia="方正楷体_GBK" w:cs="方正楷体_GBK"/>
          <w:b/>
          <w:bCs w:val="0"/>
          <w:i w:val="0"/>
          <w:caps w:val="0"/>
          <w:spacing w:val="6"/>
          <w:w w:val="100"/>
          <w:kern w:val="0"/>
          <w:sz w:val="32"/>
          <w:szCs w:val="32"/>
          <w:lang w:val="en-US" w:eastAsia="zh-CN" w:bidi="ar-SA"/>
        </w:rPr>
        <w:t>（二）预算执行情况</w:t>
      </w:r>
    </w:p>
    <w:p>
      <w:pPr>
        <w:keepNext w:val="0"/>
        <w:keepLines w:val="0"/>
        <w:pageBreakBefore w:val="0"/>
        <w:widowControl/>
        <w:kinsoku/>
        <w:wordWrap/>
        <w:overflowPunct/>
        <w:topLinePunct w:val="0"/>
        <w:autoSpaceDE/>
        <w:autoSpaceDN/>
        <w:bidi w:val="0"/>
        <w:adjustRightInd/>
        <w:snapToGrid/>
        <w:spacing w:beforeLines="0" w:line="570" w:lineRule="exact"/>
        <w:ind w:firstLine="640"/>
        <w:jc w:val="both"/>
        <w:textAlignment w:val="auto"/>
        <w:rPr>
          <w:rFonts w:hint="eastAsia" w:ascii="Times New Roman" w:hAnsi="Times New Roman" w:eastAsia="仿宋_GB2312" w:cs="Times New Roman"/>
          <w:b w:val="0"/>
          <w:color w:val="000000"/>
          <w:spacing w:val="6"/>
          <w:kern w:val="2"/>
          <w:sz w:val="32"/>
          <w:szCs w:val="32"/>
          <w:lang w:val="en-US" w:eastAsia="zh-CN" w:bidi="ar"/>
        </w:rPr>
      </w:pPr>
      <w:r>
        <w:rPr>
          <w:rFonts w:hint="eastAsia" w:ascii="Times New Roman" w:hAnsi="Times New Roman" w:eastAsia="仿宋_GB2312" w:cs="Times New Roman"/>
          <w:b w:val="0"/>
          <w:color w:val="000000"/>
          <w:spacing w:val="6"/>
          <w:kern w:val="2"/>
          <w:sz w:val="32"/>
          <w:szCs w:val="32"/>
          <w:lang w:val="en-US" w:eastAsia="zh-CN" w:bidi="ar"/>
        </w:rPr>
        <w:t>2024年中央农业经营主体能力提升资金（农村实用人才）项目实际到位资金90.87万元，全部来源于财政拨款，实际支付资金90.87万元，已于2024年12月31日前全部执行完成，资金执行率100%。</w:t>
      </w:r>
    </w:p>
    <w:p>
      <w:pPr>
        <w:keepNext w:val="0"/>
        <w:keepLines w:val="0"/>
        <w:pageBreakBefore w:val="0"/>
        <w:widowControl/>
        <w:kinsoku/>
        <w:wordWrap/>
        <w:overflowPunct/>
        <w:topLinePunct w:val="0"/>
        <w:autoSpaceDE/>
        <w:autoSpaceDN/>
        <w:bidi w:val="0"/>
        <w:adjustRightInd/>
        <w:snapToGrid/>
        <w:spacing w:before="0" w:beforeAutospacing="0" w:after="0" w:afterAutospacing="0" w:line="570" w:lineRule="atLeast"/>
        <w:ind w:firstLine="667" w:firstLineChars="200"/>
        <w:jc w:val="both"/>
        <w:textAlignment w:val="baseline"/>
        <w:rPr>
          <w:rStyle w:val="14"/>
          <w:rFonts w:hint="default" w:ascii="方正楷体_GBK" w:hAnsi="方正楷体_GBK" w:eastAsia="方正楷体_GBK" w:cs="方正楷体_GBK"/>
          <w:b/>
          <w:bCs w:val="0"/>
          <w:i w:val="0"/>
          <w:caps w:val="0"/>
          <w:spacing w:val="6"/>
          <w:w w:val="100"/>
          <w:kern w:val="0"/>
          <w:sz w:val="32"/>
          <w:szCs w:val="32"/>
          <w:lang w:val="en-US" w:eastAsia="zh-CN" w:bidi="ar-SA"/>
        </w:rPr>
      </w:pPr>
      <w:r>
        <w:rPr>
          <w:rStyle w:val="14"/>
          <w:rFonts w:hint="default" w:ascii="方正楷体_GBK" w:hAnsi="方正楷体_GBK" w:eastAsia="方正楷体_GBK" w:cs="方正楷体_GBK"/>
          <w:b/>
          <w:bCs w:val="0"/>
          <w:i w:val="0"/>
          <w:caps w:val="0"/>
          <w:spacing w:val="6"/>
          <w:w w:val="100"/>
          <w:kern w:val="0"/>
          <w:sz w:val="32"/>
          <w:szCs w:val="32"/>
          <w:lang w:val="en-US" w:eastAsia="zh-CN" w:bidi="ar-SA"/>
        </w:rPr>
        <w:t>（三）项目绩效情况</w:t>
      </w:r>
    </w:p>
    <w:p>
      <w:pPr>
        <w:keepNext w:val="0"/>
        <w:keepLines w:val="0"/>
        <w:pageBreakBefore w:val="0"/>
        <w:widowControl/>
        <w:kinsoku/>
        <w:wordWrap/>
        <w:overflowPunct/>
        <w:topLinePunct w:val="0"/>
        <w:autoSpaceDE/>
        <w:autoSpaceDN/>
        <w:bidi w:val="0"/>
        <w:adjustRightInd/>
        <w:snapToGrid/>
        <w:spacing w:beforeLines="0" w:line="570" w:lineRule="exact"/>
        <w:ind w:firstLine="640"/>
        <w:jc w:val="both"/>
        <w:textAlignment w:val="auto"/>
        <w:rPr>
          <w:rFonts w:hint="default" w:ascii="Times New Roman" w:hAnsi="Times New Roman" w:eastAsia="仿宋_GB2312" w:cs="Times New Roman"/>
          <w:b w:val="0"/>
          <w:color w:val="000000"/>
          <w:spacing w:val="6"/>
          <w:kern w:val="2"/>
          <w:sz w:val="32"/>
          <w:szCs w:val="32"/>
          <w:lang w:val="en-US" w:eastAsia="zh-CN" w:bidi="ar"/>
        </w:rPr>
      </w:pPr>
      <w:r>
        <w:rPr>
          <w:rFonts w:hint="eastAsia" w:ascii="Times New Roman" w:hAnsi="Times New Roman" w:eastAsia="仿宋_GB2312" w:cs="Times New Roman"/>
          <w:b w:val="0"/>
          <w:color w:val="000000"/>
          <w:spacing w:val="6"/>
          <w:kern w:val="2"/>
          <w:sz w:val="32"/>
          <w:szCs w:val="32"/>
          <w:lang w:val="en-US" w:eastAsia="zh-CN" w:bidi="ar"/>
        </w:rPr>
        <w:t>根据评价情况，2024年中央农业经营主体能力提升资金（农村实用人才）项目制定了合理的年度工作计划，绩效管理和预算编制符合规范，管理制度健全且执行有效。资金使用合规，培训课程规范合理，资产管理基本规范。在沙湾市农村实用人才及高素质农民培训方面取得了良好成绩。</w:t>
      </w:r>
    </w:p>
    <w:p>
      <w:pPr>
        <w:keepNext w:val="0"/>
        <w:keepLines w:val="0"/>
        <w:pageBreakBefore w:val="0"/>
        <w:widowControl/>
        <w:kinsoku/>
        <w:wordWrap/>
        <w:overflowPunct/>
        <w:topLinePunct w:val="0"/>
        <w:autoSpaceDE/>
        <w:autoSpaceDN/>
        <w:bidi w:val="0"/>
        <w:adjustRightInd/>
        <w:snapToGrid/>
        <w:spacing w:before="0" w:beforeAutospacing="0" w:after="0" w:afterAutospacing="0" w:line="570" w:lineRule="atLeast"/>
        <w:ind w:firstLine="664" w:firstLineChars="200"/>
        <w:jc w:val="both"/>
        <w:textAlignment w:val="baseline"/>
        <w:rPr>
          <w:rFonts w:hint="default" w:ascii="方正黑体_GBK" w:hAnsi="方正黑体_GBK" w:eastAsia="方正黑体_GBK" w:cs="方正黑体_GBK"/>
          <w:b w:val="0"/>
          <w:bCs w:val="0"/>
          <w:i w:val="0"/>
          <w:caps w:val="0"/>
          <w:spacing w:val="6"/>
          <w:w w:val="100"/>
          <w:kern w:val="2"/>
          <w:sz w:val="32"/>
          <w:szCs w:val="32"/>
          <w:lang w:val="en-US" w:eastAsia="zh-CN" w:bidi="ar-SA"/>
        </w:rPr>
      </w:pPr>
      <w:r>
        <w:rPr>
          <w:rFonts w:hint="default" w:ascii="方正黑体_GBK" w:hAnsi="方正黑体_GBK" w:eastAsia="方正黑体_GBK" w:cs="方正黑体_GBK"/>
          <w:b w:val="0"/>
          <w:bCs w:val="0"/>
          <w:i w:val="0"/>
          <w:caps w:val="0"/>
          <w:spacing w:val="6"/>
          <w:w w:val="100"/>
          <w:kern w:val="2"/>
          <w:sz w:val="32"/>
          <w:szCs w:val="32"/>
          <w:lang w:val="en-US" w:eastAsia="zh-CN" w:bidi="ar-SA"/>
        </w:rPr>
        <w:t>三、经验、问题和建议</w:t>
      </w:r>
    </w:p>
    <w:p>
      <w:pPr>
        <w:keepNext w:val="0"/>
        <w:keepLines w:val="0"/>
        <w:pageBreakBefore w:val="0"/>
        <w:widowControl/>
        <w:kinsoku/>
        <w:wordWrap/>
        <w:overflowPunct/>
        <w:topLinePunct w:val="0"/>
        <w:autoSpaceDE/>
        <w:autoSpaceDN/>
        <w:bidi w:val="0"/>
        <w:adjustRightInd/>
        <w:snapToGrid/>
        <w:spacing w:before="0" w:beforeAutospacing="0" w:after="0" w:afterAutospacing="0" w:line="570" w:lineRule="atLeast"/>
        <w:ind w:firstLine="667" w:firstLineChars="200"/>
        <w:jc w:val="both"/>
        <w:textAlignment w:val="baseline"/>
        <w:rPr>
          <w:rStyle w:val="14"/>
          <w:rFonts w:hint="default" w:ascii="方正楷体_GBK" w:hAnsi="方正楷体_GBK" w:eastAsia="方正楷体_GBK" w:cs="方正楷体_GBK"/>
          <w:b/>
          <w:bCs w:val="0"/>
          <w:i w:val="0"/>
          <w:caps w:val="0"/>
          <w:spacing w:val="6"/>
          <w:w w:val="100"/>
          <w:kern w:val="0"/>
          <w:sz w:val="32"/>
          <w:szCs w:val="32"/>
          <w:lang w:val="en-US" w:eastAsia="zh-CN" w:bidi="ar-SA"/>
        </w:rPr>
      </w:pPr>
      <w:r>
        <w:rPr>
          <w:rStyle w:val="14"/>
          <w:rFonts w:hint="default" w:ascii="方正楷体_GBK" w:hAnsi="方正楷体_GBK" w:eastAsia="方正楷体_GBK" w:cs="方正楷体_GBK"/>
          <w:b/>
          <w:bCs w:val="0"/>
          <w:i w:val="0"/>
          <w:caps w:val="0"/>
          <w:spacing w:val="6"/>
          <w:w w:val="100"/>
          <w:kern w:val="0"/>
          <w:sz w:val="32"/>
          <w:szCs w:val="32"/>
          <w:lang w:val="en-US" w:eastAsia="zh-CN" w:bidi="ar-SA"/>
        </w:rPr>
        <w:t>（一）主要经验及做法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i w:val="0"/>
          <w:iCs w:val="0"/>
          <w:caps w:val="0"/>
          <w:color w:val="000000"/>
          <w:spacing w:val="0"/>
          <w:sz w:val="32"/>
          <w:szCs w:val="32"/>
          <w:highlight w:val="none"/>
          <w:lang w:val="en-US" w:eastAsia="zh-CN"/>
        </w:rPr>
      </w:pPr>
      <w:r>
        <w:rPr>
          <w:rFonts w:hint="eastAsia" w:ascii="Times New Roman" w:hAnsi="Times New Roman" w:eastAsia="仿宋_GB2312" w:cs="Times New Roman"/>
          <w:i w:val="0"/>
          <w:iCs w:val="0"/>
          <w:caps w:val="0"/>
          <w:color w:val="000000"/>
          <w:spacing w:val="0"/>
          <w:sz w:val="32"/>
          <w:szCs w:val="32"/>
          <w:highlight w:val="none"/>
          <w:lang w:val="en-US" w:eastAsia="zh-CN"/>
        </w:rPr>
        <w:t>1.</w:t>
      </w:r>
      <w:r>
        <w:rPr>
          <w:rFonts w:hint="default" w:ascii="Times New Roman" w:hAnsi="Times New Roman" w:eastAsia="仿宋_GB2312" w:cs="Times New Roman"/>
          <w:i w:val="0"/>
          <w:iCs w:val="0"/>
          <w:caps w:val="0"/>
          <w:color w:val="000000"/>
          <w:spacing w:val="0"/>
          <w:sz w:val="32"/>
          <w:szCs w:val="32"/>
          <w:highlight w:val="none"/>
          <w:lang w:val="en-US" w:eastAsia="zh-CN"/>
        </w:rPr>
        <w:t>坚持统筹规划，实现两类培训协同推进</w:t>
      </w:r>
      <w:r>
        <w:rPr>
          <w:rFonts w:hint="eastAsia" w:ascii="Times New Roman" w:hAnsi="Times New Roman" w:eastAsia="仿宋_GB2312" w:cs="Times New Roman"/>
          <w:i w:val="0"/>
          <w:iCs w:val="0"/>
          <w:caps w:val="0"/>
          <w:color w:val="000000"/>
          <w:spacing w:val="0"/>
          <w:sz w:val="32"/>
          <w:szCs w:val="32"/>
          <w:highlight w:val="none"/>
          <w:lang w:val="en-US" w:eastAsia="zh-CN"/>
        </w:rPr>
        <w:t>，</w:t>
      </w:r>
      <w:r>
        <w:rPr>
          <w:rFonts w:hint="default" w:ascii="Times New Roman" w:hAnsi="Times New Roman" w:eastAsia="仿宋_GB2312" w:cs="Times New Roman"/>
          <w:i w:val="0"/>
          <w:iCs w:val="0"/>
          <w:caps w:val="0"/>
          <w:color w:val="000000"/>
          <w:spacing w:val="0"/>
          <w:sz w:val="32"/>
          <w:szCs w:val="32"/>
          <w:highlight w:val="none"/>
          <w:lang w:val="en-US" w:eastAsia="zh-CN"/>
        </w:rPr>
        <w:t>项目实施之初，便明确农村实用人才带头人示范培训与高素质农民培训的内在联系，将两者作为农村人才队伍建设的有机整体进行统筹规划。</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i w:val="0"/>
          <w:iCs w:val="0"/>
          <w:caps w:val="0"/>
          <w:color w:val="000000"/>
          <w:spacing w:val="0"/>
          <w:sz w:val="32"/>
          <w:szCs w:val="32"/>
          <w:highlight w:val="none"/>
          <w:lang w:val="en-US" w:eastAsia="zh-CN"/>
        </w:rPr>
      </w:pPr>
      <w:r>
        <w:rPr>
          <w:rFonts w:hint="eastAsia" w:ascii="Times New Roman" w:hAnsi="Times New Roman" w:eastAsia="仿宋_GB2312" w:cs="Times New Roman"/>
          <w:i w:val="0"/>
          <w:iCs w:val="0"/>
          <w:caps w:val="0"/>
          <w:color w:val="000000"/>
          <w:spacing w:val="0"/>
          <w:sz w:val="32"/>
          <w:szCs w:val="32"/>
          <w:highlight w:val="none"/>
          <w:lang w:val="en-US" w:eastAsia="zh-CN"/>
        </w:rPr>
        <w:t>2.</w:t>
      </w:r>
      <w:r>
        <w:rPr>
          <w:rFonts w:hint="default" w:ascii="Times New Roman" w:hAnsi="Times New Roman" w:eastAsia="仿宋_GB2312" w:cs="Times New Roman"/>
          <w:i w:val="0"/>
          <w:iCs w:val="0"/>
          <w:caps w:val="0"/>
          <w:color w:val="000000"/>
          <w:spacing w:val="0"/>
          <w:sz w:val="32"/>
          <w:szCs w:val="32"/>
          <w:highlight w:val="none"/>
          <w:lang w:val="en-US" w:eastAsia="zh-CN"/>
        </w:rPr>
        <w:t>以需求为导向，增强培训的针对性和实用性</w:t>
      </w:r>
      <w:r>
        <w:rPr>
          <w:rFonts w:hint="eastAsia" w:ascii="Times New Roman" w:hAnsi="Times New Roman" w:eastAsia="仿宋_GB2312" w:cs="Times New Roman"/>
          <w:i w:val="0"/>
          <w:iCs w:val="0"/>
          <w:caps w:val="0"/>
          <w:color w:val="000000"/>
          <w:spacing w:val="0"/>
          <w:sz w:val="32"/>
          <w:szCs w:val="32"/>
          <w:highlight w:val="none"/>
          <w:lang w:val="en-US" w:eastAsia="zh-CN"/>
        </w:rPr>
        <w:t>，</w:t>
      </w:r>
      <w:r>
        <w:rPr>
          <w:rFonts w:hint="default" w:ascii="Times New Roman" w:hAnsi="Times New Roman" w:eastAsia="仿宋_GB2312" w:cs="Times New Roman"/>
          <w:i w:val="0"/>
          <w:iCs w:val="0"/>
          <w:caps w:val="0"/>
          <w:color w:val="000000"/>
          <w:spacing w:val="0"/>
          <w:sz w:val="32"/>
          <w:szCs w:val="32"/>
          <w:highlight w:val="none"/>
          <w:lang w:val="en-US" w:eastAsia="zh-CN"/>
        </w:rPr>
        <w:t>始终围绕农村发展实际和培训对象的需求开展培训工作。在培训内容设计上，针对高素质农民，重点聚焦生产技能、市场信息、经营管理等与生产经营直接相关的知识和技能；对于农村实用人才带头人，则突出组织协调、产业规划、政策解读等方面的内容。</w:t>
      </w:r>
    </w:p>
    <w:p>
      <w:pPr>
        <w:pStyle w:val="4"/>
        <w:ind w:firstLine="640" w:firstLineChars="200"/>
        <w:rPr>
          <w:rFonts w:hint="default" w:ascii="Times New Roman" w:hAnsi="Times New Roman" w:eastAsia="仿宋_GB2312" w:cs="Times New Roman"/>
          <w:i w:val="0"/>
          <w:iCs w:val="0"/>
          <w:caps w:val="0"/>
          <w:color w:val="000000"/>
          <w:spacing w:val="0"/>
          <w:kern w:val="0"/>
          <w:sz w:val="32"/>
          <w:szCs w:val="32"/>
          <w:highlight w:val="none"/>
          <w:lang w:val="en-US" w:eastAsia="zh-CN" w:bidi="ar"/>
        </w:rPr>
      </w:pPr>
      <w:r>
        <w:rPr>
          <w:rFonts w:hint="eastAsia" w:ascii="Times New Roman" w:hAnsi="Times New Roman" w:cs="Times New Roman"/>
          <w:i w:val="0"/>
          <w:iCs w:val="0"/>
          <w:caps w:val="0"/>
          <w:color w:val="000000"/>
          <w:spacing w:val="0"/>
          <w:sz w:val="32"/>
          <w:szCs w:val="32"/>
          <w:highlight w:val="none"/>
          <w:lang w:val="en-US" w:eastAsia="zh-CN"/>
        </w:rPr>
        <w:t>3.</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强化跟踪反馈，持续优化培训工作</w:t>
      </w:r>
      <w:r>
        <w:rPr>
          <w:rFonts w:hint="eastAsia" w:ascii="Times New Roman" w:hAnsi="Times New Roman" w:cs="Times New Roman"/>
          <w:i w:val="0"/>
          <w:iCs w:val="0"/>
          <w:caps w:val="0"/>
          <w:color w:val="000000"/>
          <w:spacing w:val="0"/>
          <w:kern w:val="0"/>
          <w:sz w:val="32"/>
          <w:szCs w:val="32"/>
          <w:highlight w:val="none"/>
          <w:lang w:val="en-US" w:eastAsia="zh-CN" w:bidi="ar"/>
        </w:rPr>
        <w:t>，</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建立了完善的培训跟踪反馈机制，在培训结束后，对培训对象的能力提升情况、生产经营状况等进行跟踪调查。</w:t>
      </w:r>
    </w:p>
    <w:p>
      <w:pPr>
        <w:keepNext w:val="0"/>
        <w:keepLines w:val="0"/>
        <w:pageBreakBefore w:val="0"/>
        <w:widowControl/>
        <w:kinsoku/>
        <w:wordWrap/>
        <w:overflowPunct/>
        <w:topLinePunct w:val="0"/>
        <w:autoSpaceDE/>
        <w:autoSpaceDN/>
        <w:bidi w:val="0"/>
        <w:adjustRightInd/>
        <w:snapToGrid/>
        <w:spacing w:before="0" w:beforeAutospacing="0" w:after="0" w:afterAutospacing="0" w:line="570" w:lineRule="atLeast"/>
        <w:ind w:firstLine="667" w:firstLineChars="200"/>
        <w:jc w:val="both"/>
        <w:textAlignment w:val="baseline"/>
        <w:rPr>
          <w:rStyle w:val="14"/>
          <w:rFonts w:hint="default" w:ascii="方正楷体_GBK" w:hAnsi="方正楷体_GBK" w:eastAsia="方正楷体_GBK" w:cs="方正楷体_GBK"/>
          <w:b/>
          <w:bCs w:val="0"/>
          <w:i w:val="0"/>
          <w:caps w:val="0"/>
          <w:spacing w:val="6"/>
          <w:w w:val="100"/>
          <w:kern w:val="0"/>
          <w:sz w:val="32"/>
          <w:szCs w:val="32"/>
          <w:lang w:val="en-US" w:eastAsia="zh-CN" w:bidi="ar-SA"/>
        </w:rPr>
      </w:pPr>
      <w:r>
        <w:rPr>
          <w:rStyle w:val="14"/>
          <w:rFonts w:hint="default" w:ascii="方正楷体_GBK" w:hAnsi="方正楷体_GBK" w:eastAsia="方正楷体_GBK" w:cs="方正楷体_GBK"/>
          <w:b/>
          <w:bCs w:val="0"/>
          <w:i w:val="0"/>
          <w:caps w:val="0"/>
          <w:spacing w:val="6"/>
          <w:w w:val="100"/>
          <w:kern w:val="0"/>
          <w:sz w:val="32"/>
          <w:szCs w:val="32"/>
          <w:lang w:val="en-US" w:eastAsia="zh-CN" w:bidi="ar-SA"/>
        </w:rPr>
        <w:t>（二）存在问题与不足</w:t>
      </w:r>
    </w:p>
    <w:p>
      <w:pPr>
        <w:pStyle w:val="16"/>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textAlignment w:val="auto"/>
        <w:outlineLvl w:val="9"/>
        <w:rPr>
          <w:rFonts w:hint="default"/>
          <w:lang w:val="en-US" w:eastAsia="zh-CN"/>
        </w:rPr>
      </w:pP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1.评估片面，无法全面反映项目成效</w:t>
      </w:r>
      <w:r>
        <w:rPr>
          <w:rFonts w:hint="eastAsia" w:ascii="Times New Roman" w:hAnsi="Times New Roman" w:eastAsia="仿宋_GB2312" w:cs="Times New Roman"/>
          <w:i w:val="0"/>
          <w:iCs w:val="0"/>
          <w:caps w:val="0"/>
          <w:color w:val="000000"/>
          <w:spacing w:val="0"/>
          <w:kern w:val="0"/>
          <w:sz w:val="32"/>
          <w:szCs w:val="32"/>
          <w:highlight w:val="none"/>
          <w:lang w:val="en-US" w:eastAsia="zh-CN" w:bidi="ar"/>
        </w:rPr>
        <w:t>，</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项目同时开展农村实用人才带头人示范培训与高素质农民培训，二者都是农村人才培养的重要组成部分，相辅相成。但绩效目标效益指标仅针对高素质农民，忽略了农村实用人才带头人，导致无法全面评估整个项目的实施效果。</w:t>
      </w:r>
    </w:p>
    <w:p>
      <w:pPr>
        <w:pStyle w:val="16"/>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_GB2312" w:cs="Times New Roman"/>
          <w:i w:val="0"/>
          <w:iCs w:val="0"/>
          <w:caps w:val="0"/>
          <w:color w:val="000000"/>
          <w:spacing w:val="0"/>
          <w:kern w:val="0"/>
          <w:sz w:val="32"/>
          <w:szCs w:val="32"/>
          <w:highlight w:val="none"/>
          <w:lang w:val="en-US" w:eastAsia="zh-CN" w:bidi="ar"/>
        </w:rPr>
      </w:pP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2.不利于后续培训计划的制定</w:t>
      </w:r>
      <w:r>
        <w:rPr>
          <w:rFonts w:hint="eastAsia" w:ascii="Times New Roman" w:cs="Times New Roman"/>
          <w:i w:val="0"/>
          <w:iCs w:val="0"/>
          <w:caps w:val="0"/>
          <w:color w:val="000000"/>
          <w:spacing w:val="0"/>
          <w:kern w:val="0"/>
          <w:sz w:val="32"/>
          <w:szCs w:val="32"/>
          <w:highlight w:val="none"/>
          <w:lang w:val="en-US" w:eastAsia="zh-CN" w:bidi="ar"/>
        </w:rPr>
        <w:t>，</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绩效评估结果是制定后续培训计划的重要依据。由于缺少对农村实用人才带头人培训的效益指标评估，无法总结该部分培训的经验教训，后续在制定农村实用人才带头人培训计划时，可能会重复过去的错误，难以实现培训质量的提升。</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rPr>
          <w:rFonts w:hint="default" w:ascii="Times New Roman" w:hAnsi="Times New Roman" w:eastAsia="楷体" w:cs="Times New Roman"/>
          <w:b/>
          <w:bCs/>
          <w:color w:val="auto"/>
          <w:kern w:val="0"/>
          <w:sz w:val="32"/>
          <w:szCs w:val="32"/>
          <w:highlight w:val="none"/>
          <w:lang w:val="en-US" w:eastAsia="zh-CN" w:bidi="en-US"/>
        </w:rPr>
      </w:pPr>
      <w:r>
        <w:rPr>
          <w:rFonts w:hint="default" w:ascii="Times New Roman" w:hAnsi="Times New Roman" w:eastAsia="楷体" w:cs="Times New Roman"/>
          <w:b/>
          <w:bCs/>
          <w:color w:val="auto"/>
          <w:kern w:val="0"/>
          <w:sz w:val="32"/>
          <w:szCs w:val="32"/>
          <w:highlight w:val="none"/>
          <w:lang w:val="en-US" w:eastAsia="zh-CN" w:bidi="en-US"/>
        </w:rPr>
        <w:t>（三）建议和改进措施</w:t>
      </w:r>
    </w:p>
    <w:p>
      <w:pPr>
        <w:pStyle w:val="8"/>
        <w:keepNext w:val="0"/>
        <w:keepLines w:val="0"/>
        <w:pageBreakBefore w:val="0"/>
        <w:kinsoku/>
        <w:wordWrap/>
        <w:topLinePunct w:val="0"/>
        <w:bidi w:val="0"/>
        <w:spacing w:line="560" w:lineRule="exact"/>
        <w:ind w:left="0" w:firstLine="640" w:firstLineChars="200"/>
        <w:outlineLvl w:val="9"/>
        <w:rPr>
          <w:rStyle w:val="13"/>
          <w:rFonts w:hint="eastAsia" w:ascii="Times New Roman" w:hAnsi="Times New Roman" w:eastAsia="仿宋_GB2312" w:cs="Times New Roman"/>
          <w:b w:val="0"/>
          <w:color w:val="auto"/>
          <w:spacing w:val="-4"/>
          <w:sz w:val="32"/>
          <w:szCs w:val="32"/>
          <w:highlight w:val="none"/>
          <w:lang w:val="en-US" w:eastAsia="zh-CN"/>
        </w:rPr>
      </w:pPr>
      <w:r>
        <w:rPr>
          <w:rFonts w:hint="eastAsia" w:ascii="Times New Roman" w:hAnsi="Times New Roman" w:eastAsia="仿宋_GB2312" w:cs="Times New Roman"/>
          <w:b w:val="0"/>
          <w:bCs/>
          <w:color w:val="auto"/>
          <w:kern w:val="0"/>
          <w:sz w:val="32"/>
          <w:szCs w:val="32"/>
          <w:highlight w:val="none"/>
          <w:lang w:val="en-US" w:eastAsia="zh-CN"/>
        </w:rPr>
        <w:t>1.</w:t>
      </w:r>
      <w:r>
        <w:rPr>
          <w:rStyle w:val="13"/>
          <w:rFonts w:hint="eastAsia" w:ascii="Times New Roman" w:hAnsi="Times New Roman" w:eastAsia="仿宋_GB2312" w:cs="Times New Roman"/>
          <w:b w:val="0"/>
          <w:color w:val="auto"/>
          <w:spacing w:val="-4"/>
          <w:sz w:val="32"/>
          <w:szCs w:val="32"/>
          <w:highlight w:val="none"/>
          <w:lang w:val="en-US" w:eastAsia="zh-CN"/>
        </w:rPr>
        <w:t>采取部门初审、资金管理科室复审、绩效科终审等多级审核方式，对绩效目标的完整性、相关性、适当性和可行性进行审核，对指标设置不清晰、指标值不合理的一律退回修改。同时，建立绩效目标反馈机制，及时与相关部门和人员沟通，根据反馈意见调整指标值。通过组织集中培训、上门辅导等方式，提高相关人员对绩效目标指标值设置的认识和理解，使其掌握科学的设置方法。</w:t>
      </w:r>
    </w:p>
    <w:p>
      <w:pPr>
        <w:ind w:firstLine="624" w:firstLineChars="200"/>
        <w:rPr>
          <w:rStyle w:val="13"/>
          <w:rFonts w:hint="eastAsia" w:ascii="Times New Roman" w:hAnsi="Times New Roman" w:eastAsia="仿宋_GB2312" w:cs="Times New Roman"/>
          <w:b w:val="0"/>
          <w:color w:val="auto"/>
          <w:spacing w:val="-4"/>
          <w:kern w:val="0"/>
          <w:sz w:val="32"/>
          <w:szCs w:val="32"/>
          <w:highlight w:val="none"/>
          <w:lang w:val="en-US" w:eastAsia="zh-CN" w:bidi="ar"/>
        </w:rPr>
      </w:pPr>
      <w:r>
        <w:rPr>
          <w:rStyle w:val="13"/>
          <w:rFonts w:hint="eastAsia" w:ascii="Times New Roman" w:hAnsi="Times New Roman" w:eastAsia="仿宋_GB2312" w:cs="Times New Roman"/>
          <w:b w:val="0"/>
          <w:color w:val="auto"/>
          <w:spacing w:val="-4"/>
          <w:sz w:val="32"/>
          <w:szCs w:val="32"/>
          <w:highlight w:val="none"/>
          <w:lang w:val="en-US" w:eastAsia="zh-CN"/>
        </w:rPr>
        <w:t>2.</w:t>
      </w:r>
      <w:r>
        <w:rPr>
          <w:rStyle w:val="13"/>
          <w:rFonts w:hint="eastAsia" w:ascii="Times New Roman" w:hAnsi="Times New Roman" w:eastAsia="仿宋_GB2312" w:cs="Times New Roman"/>
          <w:b w:val="0"/>
          <w:color w:val="auto"/>
          <w:spacing w:val="-4"/>
          <w:kern w:val="0"/>
          <w:sz w:val="32"/>
          <w:szCs w:val="32"/>
          <w:highlight w:val="none"/>
          <w:lang w:val="en-US" w:eastAsia="zh-CN" w:bidi="ar"/>
        </w:rPr>
        <w:t>建立完善的培训过程监控机制，实时跟踪农村实用人才带头人和高素质农民的培训情况。通过收集培训过程中的各种数据，如出勤情况、课堂表现、实践操作成果等，为效益指标的评估提供更准确、全面的数据支持。</w:t>
      </w:r>
    </w:p>
    <w:p>
      <w:pPr>
        <w:pStyle w:val="4"/>
        <w:ind w:firstLine="624" w:firstLineChars="200"/>
        <w:rPr>
          <w:rStyle w:val="13"/>
          <w:rFonts w:hint="eastAsia" w:ascii="Times New Roman" w:hAnsi="Times New Roman" w:cs="Times New Roman"/>
          <w:b w:val="0"/>
          <w:color w:val="auto"/>
          <w:spacing w:val="-4"/>
          <w:kern w:val="0"/>
          <w:sz w:val="32"/>
          <w:szCs w:val="32"/>
          <w:highlight w:val="none"/>
          <w:lang w:val="en-US" w:eastAsia="zh-CN" w:bidi="ar"/>
        </w:rPr>
      </w:pPr>
      <w:r>
        <w:rPr>
          <w:rStyle w:val="13"/>
          <w:rFonts w:hint="eastAsia" w:ascii="Times New Roman" w:hAnsi="Times New Roman" w:cs="Times New Roman"/>
          <w:b w:val="0"/>
          <w:color w:val="auto"/>
          <w:spacing w:val="-4"/>
          <w:kern w:val="0"/>
          <w:sz w:val="32"/>
          <w:szCs w:val="32"/>
          <w:highlight w:val="none"/>
          <w:lang w:val="en-US" w:eastAsia="zh-CN" w:bidi="ar"/>
        </w:rPr>
        <w:t>3.</w:t>
      </w:r>
      <w:r>
        <w:rPr>
          <w:rStyle w:val="13"/>
          <w:rFonts w:hint="eastAsia" w:ascii="Times New Roman" w:hAnsi="Times New Roman" w:eastAsia="仿宋_GB2312" w:cs="Times New Roman"/>
          <w:b w:val="0"/>
          <w:color w:val="auto"/>
          <w:spacing w:val="-4"/>
          <w:kern w:val="0"/>
          <w:sz w:val="32"/>
          <w:szCs w:val="32"/>
          <w:highlight w:val="none"/>
          <w:lang w:val="en-US" w:eastAsia="zh-CN" w:bidi="ar"/>
        </w:rPr>
        <w:t>设置带头人组织协调农村生产经营活动的成功率</w:t>
      </w:r>
      <w:r>
        <w:rPr>
          <w:rStyle w:val="13"/>
          <w:rFonts w:hint="eastAsia" w:ascii="Times New Roman" w:hAnsi="Times New Roman" w:cs="Times New Roman"/>
          <w:b w:val="0"/>
          <w:color w:val="auto"/>
          <w:spacing w:val="-4"/>
          <w:kern w:val="0"/>
          <w:sz w:val="32"/>
          <w:szCs w:val="32"/>
          <w:highlight w:val="none"/>
          <w:lang w:val="en-US" w:eastAsia="zh-CN" w:bidi="ar"/>
        </w:rPr>
        <w:t>指标</w:t>
      </w:r>
      <w:r>
        <w:rPr>
          <w:rStyle w:val="13"/>
          <w:rFonts w:hint="eastAsia" w:ascii="Times New Roman" w:hAnsi="Times New Roman" w:eastAsia="仿宋_GB2312" w:cs="Times New Roman"/>
          <w:b w:val="0"/>
          <w:color w:val="auto"/>
          <w:spacing w:val="-4"/>
          <w:kern w:val="0"/>
          <w:sz w:val="32"/>
          <w:szCs w:val="32"/>
          <w:highlight w:val="none"/>
          <w:lang w:val="en-US" w:eastAsia="zh-CN" w:bidi="ar"/>
        </w:rPr>
        <w:t>，如组织农民开展合作生产、协调各方资源解决生产经营难题的成功案例数量占比等。该指标能直观反映带头人在整合资源、推动集体行动方面的能力提升情况，为评估其组织协调能力提供依据。根据这一指标，若成功率较低，可在后续培训中增加组织管理、沟通协调等方面的课程内容</w:t>
      </w:r>
      <w:bookmarkStart w:id="5" w:name="_Toc9723"/>
      <w:bookmarkStart w:id="6" w:name="_Toc17295"/>
      <w:bookmarkStart w:id="7" w:name="_Toc28067"/>
      <w:bookmarkStart w:id="8" w:name="_Toc14656"/>
      <w:bookmarkStart w:id="9" w:name="_Toc3194"/>
      <w:bookmarkStart w:id="10" w:name="_Toc29211"/>
      <w:bookmarkStart w:id="11" w:name="_Toc31778"/>
      <w:bookmarkStart w:id="12" w:name="_Toc4233"/>
      <w:r>
        <w:rPr>
          <w:rStyle w:val="13"/>
          <w:rFonts w:hint="eastAsia" w:ascii="Times New Roman" w:hAnsi="Times New Roman" w:cs="Times New Roman"/>
          <w:b w:val="0"/>
          <w:color w:val="auto"/>
          <w:spacing w:val="-4"/>
          <w:kern w:val="0"/>
          <w:sz w:val="32"/>
          <w:szCs w:val="32"/>
          <w:highlight w:val="none"/>
          <w:lang w:val="en-US" w:eastAsia="zh-CN" w:bidi="ar"/>
        </w:rPr>
        <w:t>。</w:t>
      </w:r>
    </w:p>
    <w:p>
      <w:pPr>
        <w:pStyle w:val="2"/>
        <w:rPr>
          <w:rFonts w:hint="default"/>
        </w:rPr>
        <w:sectPr>
          <w:footerReference r:id="rId4" w:type="default"/>
          <w:pgSz w:w="11906" w:h="16838"/>
          <w:pgMar w:top="1440" w:right="1800" w:bottom="1440" w:left="1800" w:header="851" w:footer="992" w:gutter="0"/>
          <w:pgNumType w:fmt="decimal"/>
          <w:cols w:space="425" w:num="1"/>
          <w:docGrid w:type="lines" w:linePitch="312" w:charSpace="0"/>
        </w:sectPr>
      </w:pP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黑体" w:cs="Times New Roman"/>
          <w:b/>
          <w:sz w:val="32"/>
          <w:szCs w:val="32"/>
          <w:highlight w:val="none"/>
        </w:rPr>
        <w:t>附件1</w:t>
      </w:r>
      <w:r>
        <w:rPr>
          <w:rFonts w:hint="default" w:ascii="Times New Roman" w:hAnsi="Times New Roman" w:eastAsia="黑体" w:cs="Times New Roman"/>
          <w:b/>
          <w:sz w:val="32"/>
          <w:szCs w:val="32"/>
          <w:highlight w:val="none"/>
          <w:lang w:val="en-US" w:eastAsia="zh-CN"/>
        </w:rPr>
        <w:t xml:space="preserve"> </w:t>
      </w:r>
      <w:bookmarkEnd w:id="5"/>
      <w:bookmarkEnd w:id="6"/>
      <w:bookmarkEnd w:id="7"/>
      <w:bookmarkEnd w:id="8"/>
      <w:bookmarkEnd w:id="9"/>
      <w:bookmarkEnd w:id="10"/>
      <w:bookmarkEnd w:id="11"/>
      <w:r>
        <w:rPr>
          <w:rFonts w:hint="eastAsia" w:ascii="Times New Roman" w:hAnsi="Times New Roman" w:eastAsia="黑体" w:cs="Times New Roman"/>
          <w:b/>
          <w:sz w:val="32"/>
          <w:szCs w:val="32"/>
          <w:highlight w:val="none"/>
          <w:lang w:val="en-US" w:eastAsia="zh-CN"/>
        </w:rPr>
        <w:t>评价指标体系</w:t>
      </w:r>
      <w:bookmarkEnd w:id="12"/>
    </w:p>
    <w:tbl>
      <w:tblPr>
        <w:tblStyle w:val="11"/>
        <w:tblW w:w="0" w:type="auto"/>
        <w:jc w:val="center"/>
        <w:tblLayout w:type="fixed"/>
        <w:tblCellMar>
          <w:top w:w="0" w:type="dxa"/>
          <w:left w:w="0" w:type="dxa"/>
          <w:bottom w:w="0" w:type="dxa"/>
          <w:right w:w="0" w:type="dxa"/>
        </w:tblCellMar>
      </w:tblPr>
      <w:tblGrid>
        <w:gridCol w:w="1198"/>
        <w:gridCol w:w="1366"/>
        <w:gridCol w:w="1224"/>
        <w:gridCol w:w="672"/>
        <w:gridCol w:w="1256"/>
        <w:gridCol w:w="933"/>
        <w:gridCol w:w="1172"/>
        <w:gridCol w:w="2305"/>
        <w:gridCol w:w="2020"/>
        <w:gridCol w:w="766"/>
        <w:gridCol w:w="1076"/>
      </w:tblGrid>
      <w:tr>
        <w:tblPrEx>
          <w:tblCellMar>
            <w:top w:w="0" w:type="dxa"/>
            <w:left w:w="0" w:type="dxa"/>
            <w:bottom w:w="0" w:type="dxa"/>
            <w:right w:w="0" w:type="dxa"/>
          </w:tblCellMar>
        </w:tblPrEx>
        <w:trPr>
          <w:trHeight w:val="340" w:hRule="atLeast"/>
          <w:tblHeader/>
          <w:jc w:val="center"/>
        </w:trPr>
        <w:tc>
          <w:tcPr>
            <w:tcW w:w="1198" w:type="dxa"/>
            <w:tcBorders>
              <w:top w:val="single" w:color="000000" w:sz="4" w:space="0"/>
              <w:left w:val="single" w:color="000000" w:sz="4" w:space="0"/>
              <w:bottom w:val="single" w:color="auto" w:sz="4" w:space="0"/>
              <w:right w:val="single" w:color="000000" w:sz="4" w:space="0"/>
            </w:tcBorders>
            <w:shd w:val="clear" w:color="auto" w:fill="BEBEBE"/>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_GB2312" w:cs="Times New Roman"/>
                <w:b/>
                <w:color w:val="auto"/>
                <w:sz w:val="22"/>
                <w:szCs w:val="22"/>
                <w:highlight w:val="none"/>
              </w:rPr>
            </w:pPr>
            <w:r>
              <w:rPr>
                <w:rFonts w:hint="default" w:ascii="Times New Roman" w:hAnsi="Times New Roman" w:eastAsia="仿宋_GB2312" w:cs="Times New Roman"/>
                <w:b/>
                <w:color w:val="auto"/>
                <w:sz w:val="22"/>
                <w:szCs w:val="22"/>
                <w:highlight w:val="none"/>
              </w:rPr>
              <w:t>一级指标</w:t>
            </w:r>
          </w:p>
        </w:tc>
        <w:tc>
          <w:tcPr>
            <w:tcW w:w="1366" w:type="dxa"/>
            <w:tcBorders>
              <w:top w:val="single" w:color="000000" w:sz="4" w:space="0"/>
              <w:left w:val="nil"/>
              <w:bottom w:val="single" w:color="auto" w:sz="4" w:space="0"/>
              <w:right w:val="single" w:color="000000" w:sz="4" w:space="0"/>
            </w:tcBorders>
            <w:shd w:val="clear" w:color="auto" w:fill="BEBEBE"/>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_GB2312" w:cs="Times New Roman"/>
                <w:b/>
                <w:color w:val="auto"/>
                <w:sz w:val="22"/>
                <w:szCs w:val="22"/>
                <w:highlight w:val="none"/>
              </w:rPr>
            </w:pPr>
            <w:r>
              <w:rPr>
                <w:rFonts w:hint="default" w:ascii="Times New Roman" w:hAnsi="Times New Roman" w:eastAsia="仿宋_GB2312" w:cs="Times New Roman"/>
                <w:b/>
                <w:color w:val="auto"/>
                <w:sz w:val="22"/>
                <w:szCs w:val="22"/>
                <w:highlight w:val="none"/>
              </w:rPr>
              <w:t>二级指标</w:t>
            </w:r>
          </w:p>
        </w:tc>
        <w:tc>
          <w:tcPr>
            <w:tcW w:w="1224" w:type="dxa"/>
            <w:tcBorders>
              <w:top w:val="single" w:color="000000" w:sz="4" w:space="0"/>
              <w:left w:val="nil"/>
              <w:bottom w:val="single" w:color="auto" w:sz="4" w:space="0"/>
              <w:right w:val="single" w:color="000000" w:sz="4" w:space="0"/>
            </w:tcBorders>
            <w:shd w:val="clear" w:color="auto" w:fill="BEBEBE"/>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_GB2312" w:cs="Times New Roman"/>
                <w:b/>
                <w:color w:val="auto"/>
                <w:sz w:val="22"/>
                <w:szCs w:val="22"/>
                <w:highlight w:val="none"/>
              </w:rPr>
            </w:pPr>
            <w:r>
              <w:rPr>
                <w:rFonts w:hint="default" w:ascii="Times New Roman" w:hAnsi="Times New Roman" w:eastAsia="仿宋_GB2312" w:cs="Times New Roman"/>
                <w:b/>
                <w:color w:val="auto"/>
                <w:sz w:val="22"/>
                <w:szCs w:val="22"/>
                <w:highlight w:val="none"/>
              </w:rPr>
              <w:t>三级指标</w:t>
            </w:r>
          </w:p>
        </w:tc>
        <w:tc>
          <w:tcPr>
            <w:tcW w:w="672" w:type="dxa"/>
            <w:tcBorders>
              <w:top w:val="single" w:color="000000" w:sz="4" w:space="0"/>
              <w:left w:val="nil"/>
              <w:bottom w:val="single" w:color="auto" w:sz="4" w:space="0"/>
              <w:right w:val="single" w:color="000000" w:sz="4" w:space="0"/>
            </w:tcBorders>
            <w:shd w:val="clear" w:color="auto" w:fill="BEBEBE"/>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_GB2312" w:cs="Times New Roman"/>
                <w:b/>
                <w:color w:val="auto"/>
                <w:sz w:val="22"/>
                <w:szCs w:val="22"/>
                <w:highlight w:val="none"/>
              </w:rPr>
            </w:pPr>
            <w:r>
              <w:rPr>
                <w:rFonts w:hint="default" w:ascii="Times New Roman" w:hAnsi="Times New Roman" w:eastAsia="仿宋_GB2312" w:cs="Times New Roman"/>
                <w:b/>
                <w:color w:val="auto"/>
                <w:sz w:val="22"/>
                <w:szCs w:val="22"/>
                <w:highlight w:val="none"/>
              </w:rPr>
              <w:t>权重</w:t>
            </w:r>
          </w:p>
        </w:tc>
        <w:tc>
          <w:tcPr>
            <w:tcW w:w="1256" w:type="dxa"/>
            <w:tcBorders>
              <w:top w:val="single" w:color="000000" w:sz="4" w:space="0"/>
              <w:left w:val="nil"/>
              <w:bottom w:val="single" w:color="auto" w:sz="4" w:space="0"/>
              <w:right w:val="single" w:color="000000" w:sz="4" w:space="0"/>
            </w:tcBorders>
            <w:shd w:val="clear" w:color="auto" w:fill="BEBEBE"/>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_GB2312" w:cs="Times New Roman"/>
                <w:b/>
                <w:color w:val="auto"/>
                <w:sz w:val="22"/>
                <w:szCs w:val="22"/>
                <w:highlight w:val="none"/>
              </w:rPr>
            </w:pPr>
            <w:r>
              <w:rPr>
                <w:rFonts w:hint="default" w:ascii="Times New Roman" w:hAnsi="Times New Roman" w:eastAsia="仿宋_GB2312" w:cs="Times New Roman"/>
                <w:b/>
                <w:color w:val="auto"/>
                <w:sz w:val="22"/>
                <w:szCs w:val="22"/>
                <w:highlight w:val="none"/>
              </w:rPr>
              <w:t>指标解释</w:t>
            </w:r>
          </w:p>
        </w:tc>
        <w:tc>
          <w:tcPr>
            <w:tcW w:w="933" w:type="dxa"/>
            <w:tcBorders>
              <w:top w:val="single" w:color="000000" w:sz="4" w:space="0"/>
              <w:left w:val="nil"/>
              <w:bottom w:val="single" w:color="auto" w:sz="4" w:space="0"/>
              <w:right w:val="single" w:color="000000" w:sz="4" w:space="0"/>
            </w:tcBorders>
            <w:shd w:val="clear" w:color="auto" w:fill="BEBEBE"/>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_GB2312" w:cs="Times New Roman"/>
                <w:b/>
                <w:color w:val="auto"/>
                <w:sz w:val="22"/>
                <w:szCs w:val="22"/>
                <w:highlight w:val="none"/>
              </w:rPr>
            </w:pPr>
            <w:r>
              <w:rPr>
                <w:rFonts w:hint="default" w:ascii="Times New Roman" w:hAnsi="Times New Roman" w:eastAsia="仿宋_GB2312" w:cs="Times New Roman"/>
                <w:b/>
                <w:color w:val="auto"/>
                <w:sz w:val="22"/>
                <w:szCs w:val="22"/>
                <w:highlight w:val="none"/>
              </w:rPr>
              <w:t>标杆值</w:t>
            </w:r>
          </w:p>
        </w:tc>
        <w:tc>
          <w:tcPr>
            <w:tcW w:w="1172" w:type="dxa"/>
            <w:tcBorders>
              <w:top w:val="single" w:color="000000" w:sz="4" w:space="0"/>
              <w:left w:val="nil"/>
              <w:bottom w:val="single" w:color="auto" w:sz="4" w:space="0"/>
              <w:right w:val="single" w:color="000000" w:sz="4" w:space="0"/>
            </w:tcBorders>
            <w:shd w:val="clear" w:color="auto" w:fill="BEBEBE"/>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_GB2312" w:cs="Times New Roman"/>
                <w:b/>
                <w:color w:val="auto"/>
                <w:sz w:val="22"/>
                <w:szCs w:val="22"/>
                <w:highlight w:val="none"/>
              </w:rPr>
            </w:pPr>
            <w:r>
              <w:rPr>
                <w:rFonts w:hint="default" w:ascii="Times New Roman" w:hAnsi="Times New Roman" w:eastAsia="仿宋_GB2312" w:cs="Times New Roman"/>
                <w:b/>
                <w:color w:val="auto"/>
                <w:sz w:val="22"/>
                <w:szCs w:val="22"/>
                <w:highlight w:val="none"/>
              </w:rPr>
              <w:t>评分依据</w:t>
            </w:r>
          </w:p>
        </w:tc>
        <w:tc>
          <w:tcPr>
            <w:tcW w:w="2305" w:type="dxa"/>
            <w:tcBorders>
              <w:top w:val="single" w:color="000000" w:sz="4" w:space="0"/>
              <w:left w:val="nil"/>
              <w:bottom w:val="single" w:color="auto" w:sz="4" w:space="0"/>
              <w:right w:val="single" w:color="000000" w:sz="4" w:space="0"/>
            </w:tcBorders>
            <w:shd w:val="clear" w:color="auto" w:fill="BEBEBE"/>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_GB2312" w:cs="Times New Roman"/>
                <w:b/>
                <w:color w:val="auto"/>
                <w:sz w:val="22"/>
                <w:szCs w:val="22"/>
                <w:highlight w:val="none"/>
              </w:rPr>
            </w:pPr>
            <w:r>
              <w:rPr>
                <w:rFonts w:hint="default" w:ascii="Times New Roman" w:hAnsi="Times New Roman" w:eastAsia="仿宋_GB2312" w:cs="Times New Roman"/>
                <w:b/>
                <w:color w:val="auto"/>
                <w:sz w:val="22"/>
                <w:szCs w:val="22"/>
                <w:highlight w:val="none"/>
              </w:rPr>
              <w:t>评价标准</w:t>
            </w:r>
          </w:p>
        </w:tc>
        <w:tc>
          <w:tcPr>
            <w:tcW w:w="2020" w:type="dxa"/>
            <w:tcBorders>
              <w:top w:val="single" w:color="000000" w:sz="4" w:space="0"/>
              <w:left w:val="nil"/>
              <w:bottom w:val="single" w:color="auto" w:sz="4" w:space="0"/>
              <w:right w:val="single" w:color="000000" w:sz="4" w:space="0"/>
            </w:tcBorders>
            <w:shd w:val="clear" w:color="auto" w:fill="BEBEBE"/>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_GB2312" w:cs="Times New Roman"/>
                <w:b/>
                <w:color w:val="auto"/>
                <w:sz w:val="22"/>
                <w:szCs w:val="22"/>
                <w:highlight w:val="none"/>
              </w:rPr>
            </w:pPr>
            <w:r>
              <w:rPr>
                <w:rFonts w:hint="default" w:ascii="Times New Roman" w:hAnsi="Times New Roman" w:eastAsia="仿宋_GB2312" w:cs="Times New Roman"/>
                <w:b/>
                <w:color w:val="auto"/>
                <w:sz w:val="22"/>
                <w:szCs w:val="22"/>
                <w:highlight w:val="none"/>
              </w:rPr>
              <w:t>评分过程</w:t>
            </w:r>
          </w:p>
        </w:tc>
        <w:tc>
          <w:tcPr>
            <w:tcW w:w="766" w:type="dxa"/>
            <w:tcBorders>
              <w:top w:val="single" w:color="000000" w:sz="4" w:space="0"/>
              <w:left w:val="nil"/>
              <w:bottom w:val="single" w:color="auto" w:sz="4" w:space="0"/>
              <w:right w:val="single" w:color="000000" w:sz="4" w:space="0"/>
            </w:tcBorders>
            <w:shd w:val="clear" w:color="auto" w:fill="BEBEBE"/>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_GB2312" w:cs="Times New Roman"/>
                <w:b/>
                <w:color w:val="000000"/>
                <w:kern w:val="2"/>
                <w:sz w:val="22"/>
                <w:szCs w:val="22"/>
                <w:highlight w:val="none"/>
                <w:lang w:val="en-US" w:eastAsia="zh-CN" w:bidi="ar-SA"/>
              </w:rPr>
            </w:pPr>
            <w:r>
              <w:rPr>
                <w:rFonts w:hint="default" w:ascii="Times New Roman" w:hAnsi="Times New Roman" w:eastAsia="仿宋_GB2312" w:cs="Times New Roman"/>
                <w:b/>
                <w:color w:val="000000"/>
                <w:sz w:val="22"/>
                <w:szCs w:val="22"/>
                <w:highlight w:val="none"/>
              </w:rPr>
              <w:t>得分</w:t>
            </w:r>
          </w:p>
        </w:tc>
        <w:tc>
          <w:tcPr>
            <w:tcW w:w="1076" w:type="dxa"/>
            <w:tcBorders>
              <w:top w:val="single" w:color="000000" w:sz="4" w:space="0"/>
              <w:left w:val="nil"/>
              <w:bottom w:val="single" w:color="auto" w:sz="4" w:space="0"/>
              <w:right w:val="single" w:color="000000" w:sz="4" w:space="0"/>
            </w:tcBorders>
            <w:shd w:val="clear" w:color="auto" w:fill="BEBEBE"/>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_GB2312" w:cs="Times New Roman"/>
                <w:b/>
                <w:color w:val="000000"/>
                <w:kern w:val="2"/>
                <w:sz w:val="22"/>
                <w:szCs w:val="22"/>
                <w:highlight w:val="none"/>
                <w:lang w:val="en-US" w:eastAsia="zh-CN" w:bidi="ar-SA"/>
              </w:rPr>
            </w:pPr>
            <w:r>
              <w:rPr>
                <w:rFonts w:hint="default" w:ascii="Times New Roman" w:hAnsi="Times New Roman" w:eastAsia="仿宋_GB2312" w:cs="Times New Roman"/>
                <w:b/>
                <w:color w:val="000000"/>
                <w:sz w:val="22"/>
                <w:szCs w:val="22"/>
                <w:highlight w:val="none"/>
              </w:rPr>
              <w:t>得分率</w:t>
            </w:r>
          </w:p>
        </w:tc>
      </w:tr>
      <w:tr>
        <w:tblPrEx>
          <w:tblCellMar>
            <w:top w:w="0" w:type="dxa"/>
            <w:left w:w="0" w:type="dxa"/>
            <w:bottom w:w="0" w:type="dxa"/>
            <w:right w:w="0" w:type="dxa"/>
          </w:tblCellMar>
        </w:tblPrEx>
        <w:trPr>
          <w:trHeight w:val="90" w:hRule="atLeast"/>
          <w:jc w:val="center"/>
        </w:trPr>
        <w:tc>
          <w:tcPr>
            <w:tcW w:w="1198" w:type="dxa"/>
            <w:vMerge w:val="restart"/>
            <w:tcBorders>
              <w:top w:val="single" w:color="auto" w:sz="4" w:space="0"/>
              <w:left w:val="single" w:color="auto"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A项目决策（</w:t>
            </w:r>
            <w:r>
              <w:rPr>
                <w:rFonts w:hint="eastAsia" w:ascii="Times New Roman" w:hAnsi="Times New Roman" w:eastAsia="仿宋" w:cs="Times New Roman"/>
                <w:color w:val="auto"/>
                <w:kern w:val="0"/>
                <w:sz w:val="22"/>
                <w:szCs w:val="22"/>
                <w:highlight w:val="none"/>
                <w:lang w:val="en-US" w:eastAsia="zh-CN" w:bidi="ar"/>
              </w:rPr>
              <w:t>20</w:t>
            </w:r>
            <w:r>
              <w:rPr>
                <w:rFonts w:hint="default" w:ascii="Times New Roman" w:hAnsi="Times New Roman" w:eastAsia="仿宋" w:cs="Times New Roman"/>
                <w:color w:val="auto"/>
                <w:kern w:val="0"/>
                <w:sz w:val="22"/>
                <w:szCs w:val="22"/>
                <w:highlight w:val="none"/>
                <w:lang w:bidi="ar"/>
              </w:rPr>
              <w:t>）</w:t>
            </w:r>
          </w:p>
        </w:tc>
        <w:tc>
          <w:tcPr>
            <w:tcW w:w="1366" w:type="dxa"/>
            <w:vMerge w:val="restart"/>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A1项目立项（</w:t>
            </w:r>
            <w:r>
              <w:rPr>
                <w:rFonts w:hint="eastAsia" w:ascii="Times New Roman" w:hAnsi="Times New Roman" w:eastAsia="仿宋" w:cs="Times New Roman"/>
                <w:color w:val="auto"/>
                <w:kern w:val="0"/>
                <w:sz w:val="22"/>
                <w:szCs w:val="22"/>
                <w:highlight w:val="none"/>
                <w:lang w:val="en-US" w:eastAsia="zh-CN" w:bidi="ar"/>
              </w:rPr>
              <w:t>7</w:t>
            </w:r>
            <w:r>
              <w:rPr>
                <w:rFonts w:hint="default" w:ascii="Times New Roman" w:hAnsi="Times New Roman" w:eastAsia="仿宋" w:cs="Times New Roman"/>
                <w:color w:val="auto"/>
                <w:kern w:val="0"/>
                <w:sz w:val="22"/>
                <w:szCs w:val="22"/>
                <w:highlight w:val="none"/>
                <w:lang w:bidi="ar"/>
              </w:rPr>
              <w:t>）</w:t>
            </w:r>
          </w:p>
        </w:tc>
        <w:tc>
          <w:tcPr>
            <w:tcW w:w="1224"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A101 立项依据充分性</w:t>
            </w:r>
          </w:p>
        </w:tc>
        <w:tc>
          <w:tcPr>
            <w:tcW w:w="672"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eastAsia" w:ascii="Times New Roman" w:hAnsi="Times New Roman" w:eastAsia="仿宋" w:cs="Times New Roman"/>
                <w:color w:val="auto"/>
                <w:sz w:val="22"/>
                <w:szCs w:val="22"/>
                <w:highlight w:val="none"/>
                <w:lang w:eastAsia="zh-CN"/>
              </w:rPr>
            </w:pPr>
            <w:r>
              <w:rPr>
                <w:rFonts w:hint="eastAsia" w:ascii="Times New Roman" w:hAnsi="Times New Roman" w:eastAsia="仿宋" w:cs="Times New Roman"/>
                <w:color w:val="auto"/>
                <w:kern w:val="0"/>
                <w:sz w:val="22"/>
                <w:szCs w:val="22"/>
                <w:highlight w:val="none"/>
                <w:lang w:val="en-US" w:eastAsia="zh-CN" w:bidi="ar"/>
              </w:rPr>
              <w:t>4</w:t>
            </w:r>
          </w:p>
        </w:tc>
        <w:tc>
          <w:tcPr>
            <w:tcW w:w="1256"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考察项目立项的依据文件是否充分，是否与国家和地区的战略目标、发展计划以及部门的基本职能和工作计划相适应。</w:t>
            </w:r>
          </w:p>
        </w:tc>
        <w:tc>
          <w:tcPr>
            <w:tcW w:w="933"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充分</w:t>
            </w:r>
          </w:p>
        </w:tc>
        <w:tc>
          <w:tcPr>
            <w:tcW w:w="1172"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通用标准</w:t>
            </w:r>
          </w:p>
        </w:tc>
        <w:tc>
          <w:tcPr>
            <w:tcW w:w="2305" w:type="dxa"/>
            <w:tcBorders>
              <w:top w:val="single" w:color="auto"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考察①</w:t>
            </w:r>
            <w:r>
              <w:rPr>
                <w:rFonts w:hint="eastAsia" w:ascii="Times New Roman" w:hAnsi="Times New Roman" w:eastAsia="仿宋" w:cs="Times New Roman"/>
                <w:color w:val="auto"/>
                <w:kern w:val="0"/>
                <w:sz w:val="22"/>
                <w:szCs w:val="22"/>
                <w:highlight w:val="none"/>
                <w:lang w:val="en-US" w:eastAsia="zh-CN" w:bidi="ar"/>
              </w:rPr>
              <w:t>是否</w:t>
            </w:r>
            <w:r>
              <w:rPr>
                <w:rFonts w:hint="default" w:ascii="Times New Roman" w:hAnsi="Times New Roman" w:eastAsia="仿宋" w:cs="Times New Roman"/>
                <w:color w:val="auto"/>
                <w:kern w:val="0"/>
                <w:sz w:val="22"/>
                <w:szCs w:val="22"/>
                <w:highlight w:val="none"/>
                <w:lang w:bidi="ar"/>
              </w:rPr>
              <w:t>有相关政策依据（国家、省部级或市级政策依据）；②项目与国家和地区的战略目标、发展规划、工作计划</w:t>
            </w:r>
            <w:r>
              <w:rPr>
                <w:rFonts w:hint="eastAsia" w:ascii="Times New Roman" w:hAnsi="Times New Roman" w:eastAsia="仿宋" w:cs="Times New Roman"/>
                <w:color w:val="auto"/>
                <w:kern w:val="0"/>
                <w:sz w:val="22"/>
                <w:szCs w:val="22"/>
                <w:highlight w:val="none"/>
                <w:lang w:val="en-US" w:eastAsia="zh-CN" w:bidi="ar"/>
              </w:rPr>
              <w:t>是否</w:t>
            </w:r>
            <w:r>
              <w:rPr>
                <w:rFonts w:hint="default" w:ascii="Times New Roman" w:hAnsi="Times New Roman" w:eastAsia="仿宋" w:cs="Times New Roman"/>
                <w:color w:val="auto"/>
                <w:kern w:val="0"/>
                <w:sz w:val="22"/>
                <w:szCs w:val="22"/>
                <w:highlight w:val="none"/>
                <w:lang w:bidi="ar"/>
              </w:rPr>
              <w:t>相匹配；③项目与项目单位职责</w:t>
            </w:r>
            <w:r>
              <w:rPr>
                <w:rFonts w:hint="eastAsia" w:ascii="Times New Roman" w:hAnsi="Times New Roman" w:eastAsia="仿宋" w:cs="Times New Roman"/>
                <w:color w:val="auto"/>
                <w:kern w:val="0"/>
                <w:sz w:val="22"/>
                <w:szCs w:val="22"/>
                <w:highlight w:val="none"/>
                <w:lang w:val="en-US" w:eastAsia="zh-CN" w:bidi="ar"/>
              </w:rPr>
              <w:t>是否</w:t>
            </w:r>
            <w:r>
              <w:rPr>
                <w:rFonts w:hint="default" w:ascii="Times New Roman" w:hAnsi="Times New Roman" w:eastAsia="仿宋" w:cs="Times New Roman"/>
                <w:color w:val="auto"/>
                <w:kern w:val="0"/>
                <w:sz w:val="22"/>
                <w:szCs w:val="22"/>
                <w:highlight w:val="none"/>
                <w:lang w:bidi="ar"/>
              </w:rPr>
              <w:t>密切相关。以上三项各占1/3权重分，符合得该项权重分，不符合不得分。</w:t>
            </w:r>
          </w:p>
        </w:tc>
        <w:tc>
          <w:tcPr>
            <w:tcW w:w="2020" w:type="dxa"/>
            <w:tcBorders>
              <w:top w:val="single" w:color="auto"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eastAsia"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该项目立项符合国家相关法律法规及发展政策，符合行业规划要求，围绕本年度工作重点和工作计划制定经费预算，属于公共财政支持范围。</w:t>
            </w:r>
          </w:p>
          <w:p>
            <w:pPr>
              <w:widowControl/>
              <w:autoSpaceDE w:val="0"/>
              <w:jc w:val="both"/>
              <w:textAlignment w:val="center"/>
              <w:rPr>
                <w:rFonts w:hint="default" w:ascii="Times New Roman" w:hAnsi="Times New Roman" w:eastAsia="仿宋" w:cs="Times New Roman"/>
                <w:color w:val="auto"/>
                <w:kern w:val="0"/>
                <w:sz w:val="22"/>
                <w:szCs w:val="22"/>
                <w:highlight w:val="none"/>
                <w:lang w:bidi="ar"/>
              </w:rPr>
            </w:pPr>
            <w:r>
              <w:rPr>
                <w:rFonts w:hint="eastAsia" w:ascii="Times New Roman" w:hAnsi="Times New Roman" w:eastAsia="仿宋" w:cs="Times New Roman"/>
                <w:color w:val="auto"/>
                <w:kern w:val="0"/>
                <w:sz w:val="22"/>
                <w:szCs w:val="22"/>
                <w:highlight w:val="none"/>
                <w:lang w:val="en-US" w:eastAsia="zh-CN" w:bidi="ar"/>
              </w:rPr>
              <w:t>该指标分值3分，得3分。</w:t>
            </w:r>
          </w:p>
        </w:tc>
        <w:tc>
          <w:tcPr>
            <w:tcW w:w="766"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4</w:t>
            </w:r>
          </w:p>
        </w:tc>
        <w:tc>
          <w:tcPr>
            <w:tcW w:w="1076" w:type="dxa"/>
            <w:tcBorders>
              <w:top w:val="single" w:color="auto" w:sz="4" w:space="0"/>
              <w:left w:val="nil"/>
              <w:bottom w:val="single" w:color="000000"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r>
              <w:rPr>
                <w:rFonts w:hint="default" w:ascii="Times New Roman" w:hAnsi="Times New Roman" w:eastAsia="仿宋" w:cs="Times New Roman"/>
                <w:color w:val="auto"/>
                <w:sz w:val="22"/>
                <w:szCs w:val="22"/>
                <w:highlight w:val="none"/>
                <w:lang w:val="en-US" w:eastAsia="zh-CN"/>
              </w:rPr>
              <w:t xml:space="preserve">        </w:t>
            </w:r>
          </w:p>
        </w:tc>
      </w:tr>
      <w:tr>
        <w:tblPrEx>
          <w:tblCellMar>
            <w:top w:w="0" w:type="dxa"/>
            <w:left w:w="0" w:type="dxa"/>
            <w:bottom w:w="0" w:type="dxa"/>
            <w:right w:w="0" w:type="dxa"/>
          </w:tblCellMar>
        </w:tblPrEx>
        <w:trPr>
          <w:trHeight w:val="340" w:hRule="atLeast"/>
          <w:jc w:val="center"/>
        </w:trPr>
        <w:tc>
          <w:tcPr>
            <w:tcW w:w="1198" w:type="dxa"/>
            <w:vMerge w:val="continue"/>
            <w:tcBorders>
              <w:left w:val="single" w:color="auto" w:sz="4" w:space="0"/>
              <w:right w:val="single" w:color="000000" w:sz="4" w:space="0"/>
            </w:tcBorders>
            <w:noWrap w:val="0"/>
            <w:tcMar>
              <w:top w:w="15" w:type="dxa"/>
              <w:left w:w="15" w:type="dxa"/>
              <w:right w:w="15" w:type="dxa"/>
            </w:tcMar>
            <w:vAlign w:val="center"/>
          </w:tcPr>
          <w:p>
            <w:pPr>
              <w:rPr>
                <w:rFonts w:hint="default" w:ascii="Times New Roman" w:hAnsi="Times New Roman" w:eastAsia="仿宋" w:cs="Times New Roman"/>
                <w:color w:val="auto"/>
                <w:sz w:val="22"/>
                <w:szCs w:val="22"/>
                <w:highlight w:val="none"/>
              </w:rPr>
            </w:pPr>
          </w:p>
        </w:tc>
        <w:tc>
          <w:tcPr>
            <w:tcW w:w="136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bidi="ar"/>
              </w:rPr>
            </w:pPr>
          </w:p>
        </w:tc>
        <w:tc>
          <w:tcPr>
            <w:tcW w:w="122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A102 立项</w:t>
            </w:r>
            <w:r>
              <w:rPr>
                <w:rFonts w:hint="eastAsia" w:ascii="Times New Roman" w:hAnsi="Times New Roman" w:eastAsia="仿宋" w:cs="Times New Roman"/>
                <w:color w:val="auto"/>
                <w:kern w:val="0"/>
                <w:sz w:val="22"/>
                <w:szCs w:val="22"/>
                <w:highlight w:val="none"/>
                <w:lang w:val="en-US" w:eastAsia="zh-CN" w:bidi="ar"/>
              </w:rPr>
              <w:t>程序</w:t>
            </w:r>
            <w:r>
              <w:rPr>
                <w:rFonts w:hint="default" w:ascii="Times New Roman" w:hAnsi="Times New Roman" w:eastAsia="仿宋" w:cs="Times New Roman"/>
                <w:color w:val="auto"/>
                <w:kern w:val="0"/>
                <w:sz w:val="22"/>
                <w:szCs w:val="22"/>
                <w:highlight w:val="none"/>
                <w:lang w:bidi="ar"/>
              </w:rPr>
              <w:t>规范性</w:t>
            </w:r>
          </w:p>
        </w:tc>
        <w:tc>
          <w:tcPr>
            <w:tcW w:w="67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eastAsia" w:ascii="Times New Roman" w:hAnsi="Times New Roman" w:eastAsia="仿宋" w:cs="Times New Roman"/>
                <w:color w:val="auto"/>
                <w:sz w:val="22"/>
                <w:szCs w:val="22"/>
                <w:highlight w:val="none"/>
                <w:lang w:eastAsia="zh-CN"/>
              </w:rPr>
            </w:pPr>
            <w:r>
              <w:rPr>
                <w:rFonts w:hint="eastAsia" w:ascii="Times New Roman" w:hAnsi="Times New Roman" w:eastAsia="仿宋" w:cs="Times New Roman"/>
                <w:color w:val="auto"/>
                <w:kern w:val="0"/>
                <w:sz w:val="22"/>
                <w:szCs w:val="22"/>
                <w:highlight w:val="none"/>
                <w:lang w:val="en-US" w:eastAsia="zh-CN" w:bidi="ar"/>
              </w:rPr>
              <w:t>3</w:t>
            </w:r>
          </w:p>
        </w:tc>
        <w:tc>
          <w:tcPr>
            <w:tcW w:w="125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项目的申请、设立过程是否符合相关要求，用以反映和考核项目立项的规范情况。</w:t>
            </w:r>
          </w:p>
        </w:tc>
        <w:tc>
          <w:tcPr>
            <w:tcW w:w="93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规范</w:t>
            </w:r>
          </w:p>
        </w:tc>
        <w:tc>
          <w:tcPr>
            <w:tcW w:w="117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通用标准</w:t>
            </w:r>
          </w:p>
        </w:tc>
        <w:tc>
          <w:tcPr>
            <w:tcW w:w="2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考察三点：①立项前是否已经过必要的可行性研究、专家论证、风险评估、集体决策等；②项目立项是否符合规定程序；③审批文件和材料是否合规完整。①②③齐全得权重分的100%，缺①扣权重分的40%，缺②扣权重分的30%，缺③扣权重分的30%。</w:t>
            </w:r>
          </w:p>
        </w:tc>
        <w:tc>
          <w:tcPr>
            <w:tcW w:w="2020"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项目申请、设立过程符合相关要求，严格按照审批流程准备符合要求的文件、材料；项目的审批文件、材料符合相关要求。</w:t>
            </w:r>
            <w:r>
              <w:rPr>
                <w:rFonts w:hint="default" w:ascii="Times New Roman" w:hAnsi="Times New Roman" w:eastAsia="仿宋" w:cs="Times New Roman"/>
                <w:color w:val="auto"/>
                <w:kern w:val="0"/>
                <w:sz w:val="22"/>
                <w:szCs w:val="22"/>
                <w:highlight w:val="none"/>
                <w:lang w:val="en-US" w:eastAsia="zh-CN" w:bidi="ar"/>
              </w:rPr>
              <w:t>该指标分值</w:t>
            </w:r>
            <w:r>
              <w:rPr>
                <w:rFonts w:hint="eastAsia" w:ascii="Times New Roman" w:hAnsi="Times New Roman" w:eastAsia="仿宋" w:cs="Times New Roman"/>
                <w:color w:val="auto"/>
                <w:kern w:val="0"/>
                <w:sz w:val="22"/>
                <w:szCs w:val="22"/>
                <w:highlight w:val="none"/>
                <w:lang w:val="en-US" w:eastAsia="zh-CN" w:bidi="ar"/>
              </w:rPr>
              <w:t>3</w:t>
            </w:r>
            <w:r>
              <w:rPr>
                <w:rFonts w:hint="default" w:ascii="Times New Roman" w:hAnsi="Times New Roman" w:eastAsia="仿宋" w:cs="Times New Roman"/>
                <w:color w:val="auto"/>
                <w:kern w:val="0"/>
                <w:sz w:val="22"/>
                <w:szCs w:val="22"/>
                <w:highlight w:val="none"/>
                <w:lang w:val="en-US" w:eastAsia="zh-CN" w:bidi="ar"/>
              </w:rPr>
              <w:t>分，得</w:t>
            </w:r>
            <w:r>
              <w:rPr>
                <w:rFonts w:hint="eastAsia" w:ascii="Times New Roman" w:hAnsi="Times New Roman" w:eastAsia="仿宋" w:cs="Times New Roman"/>
                <w:color w:val="auto"/>
                <w:kern w:val="0"/>
                <w:sz w:val="22"/>
                <w:szCs w:val="22"/>
                <w:highlight w:val="none"/>
                <w:lang w:val="en-US" w:eastAsia="zh-CN" w:bidi="ar"/>
              </w:rPr>
              <w:t>3</w:t>
            </w:r>
            <w:r>
              <w:rPr>
                <w:rFonts w:hint="default" w:ascii="Times New Roman" w:hAnsi="Times New Roman" w:eastAsia="仿宋" w:cs="Times New Roman"/>
                <w:color w:val="auto"/>
                <w:kern w:val="0"/>
                <w:sz w:val="22"/>
                <w:szCs w:val="22"/>
                <w:highlight w:val="none"/>
                <w:lang w:val="en-US" w:eastAsia="zh-CN" w:bidi="ar"/>
              </w:rPr>
              <w:t>分</w:t>
            </w:r>
            <w:r>
              <w:rPr>
                <w:rFonts w:hint="eastAsia" w:ascii="Times New Roman" w:hAnsi="Times New Roman" w:eastAsia="仿宋" w:cs="Times New Roman"/>
                <w:color w:val="auto"/>
                <w:kern w:val="0"/>
                <w:sz w:val="22"/>
                <w:szCs w:val="22"/>
                <w:highlight w:val="none"/>
                <w:lang w:val="en-US" w:eastAsia="zh-CN" w:bidi="ar"/>
              </w:rPr>
              <w:t>。</w:t>
            </w:r>
          </w:p>
          <w:p>
            <w:pPr>
              <w:widowControl/>
              <w:autoSpaceDE w:val="0"/>
              <w:jc w:val="both"/>
              <w:textAlignment w:val="center"/>
              <w:rPr>
                <w:rFonts w:hint="default" w:ascii="Times New Roman" w:hAnsi="Times New Roman" w:eastAsia="仿宋" w:cs="Times New Roman"/>
                <w:color w:val="auto"/>
                <w:kern w:val="0"/>
                <w:sz w:val="22"/>
                <w:szCs w:val="22"/>
                <w:highlight w:val="none"/>
                <w:lang w:val="en-US" w:eastAsia="zh-CN" w:bidi="ar"/>
              </w:rPr>
            </w:pPr>
          </w:p>
        </w:tc>
        <w:tc>
          <w:tcPr>
            <w:tcW w:w="7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3</w:t>
            </w:r>
          </w:p>
        </w:tc>
        <w:tc>
          <w:tcPr>
            <w:tcW w:w="1076" w:type="dxa"/>
            <w:tcBorders>
              <w:top w:val="single" w:color="000000" w:sz="4" w:space="0"/>
              <w:left w:val="nil"/>
              <w:bottom w:val="single" w:color="000000"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r>
              <w:rPr>
                <w:rFonts w:hint="default" w:ascii="Times New Roman" w:hAnsi="Times New Roman" w:eastAsia="仿宋" w:cs="Times New Roman"/>
                <w:color w:val="auto"/>
                <w:sz w:val="22"/>
                <w:szCs w:val="22"/>
                <w:highlight w:val="none"/>
                <w:lang w:val="en-US" w:eastAsia="zh-CN"/>
              </w:rPr>
              <w:t xml:space="preserve">        </w:t>
            </w:r>
          </w:p>
        </w:tc>
      </w:tr>
      <w:tr>
        <w:tblPrEx>
          <w:tblCellMar>
            <w:top w:w="0" w:type="dxa"/>
            <w:left w:w="0" w:type="dxa"/>
            <w:bottom w:w="0" w:type="dxa"/>
            <w:right w:w="0" w:type="dxa"/>
          </w:tblCellMar>
        </w:tblPrEx>
        <w:trPr>
          <w:trHeight w:val="4549" w:hRule="atLeast"/>
          <w:jc w:val="center"/>
        </w:trPr>
        <w:tc>
          <w:tcPr>
            <w:tcW w:w="1198" w:type="dxa"/>
            <w:vMerge w:val="continue"/>
            <w:tcBorders>
              <w:left w:val="single" w:color="auto" w:sz="4" w:space="0"/>
              <w:right w:val="single" w:color="000000" w:sz="4" w:space="0"/>
            </w:tcBorders>
            <w:noWrap w:val="0"/>
            <w:tcMar>
              <w:top w:w="15" w:type="dxa"/>
              <w:left w:w="15" w:type="dxa"/>
              <w:right w:w="15" w:type="dxa"/>
            </w:tcMar>
            <w:vAlign w:val="center"/>
          </w:tcPr>
          <w:p>
            <w:pPr>
              <w:rPr>
                <w:rFonts w:hint="default" w:ascii="Times New Roman" w:hAnsi="Times New Roman" w:eastAsia="仿宋" w:cs="Times New Roman"/>
                <w:color w:val="auto"/>
                <w:sz w:val="22"/>
                <w:szCs w:val="22"/>
                <w:highlight w:val="none"/>
              </w:rPr>
            </w:pPr>
          </w:p>
        </w:tc>
        <w:tc>
          <w:tcPr>
            <w:tcW w:w="1366" w:type="dxa"/>
            <w:vMerge w:val="restart"/>
            <w:tcBorders>
              <w:top w:val="single" w:color="000000" w:sz="4" w:space="0"/>
              <w:left w:val="nil"/>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 xml:space="preserve">A2 </w:t>
            </w:r>
            <w:r>
              <w:rPr>
                <w:rFonts w:hint="eastAsia" w:ascii="Times New Roman" w:hAnsi="Times New Roman" w:eastAsia="仿宋" w:cs="Times New Roman"/>
                <w:color w:val="auto"/>
                <w:kern w:val="0"/>
                <w:sz w:val="22"/>
                <w:szCs w:val="22"/>
                <w:highlight w:val="none"/>
                <w:lang w:bidi="ar"/>
              </w:rPr>
              <w:t>绩效目标</w:t>
            </w:r>
            <w:r>
              <w:rPr>
                <w:rFonts w:hint="default" w:ascii="Times New Roman" w:hAnsi="Times New Roman" w:eastAsia="仿宋" w:cs="Times New Roman"/>
                <w:color w:val="auto"/>
                <w:kern w:val="0"/>
                <w:sz w:val="22"/>
                <w:szCs w:val="22"/>
                <w:highlight w:val="none"/>
                <w:lang w:bidi="ar"/>
              </w:rPr>
              <w:t>（</w:t>
            </w:r>
            <w:r>
              <w:rPr>
                <w:rFonts w:hint="eastAsia" w:ascii="Times New Roman" w:hAnsi="Times New Roman" w:eastAsia="仿宋" w:cs="Times New Roman"/>
                <w:color w:val="auto"/>
                <w:kern w:val="0"/>
                <w:sz w:val="22"/>
                <w:szCs w:val="22"/>
                <w:highlight w:val="none"/>
                <w:lang w:val="en-US" w:eastAsia="zh-CN" w:bidi="ar"/>
              </w:rPr>
              <w:t>6</w:t>
            </w:r>
            <w:r>
              <w:rPr>
                <w:rFonts w:hint="default" w:ascii="Times New Roman" w:hAnsi="Times New Roman" w:eastAsia="仿宋" w:cs="Times New Roman"/>
                <w:color w:val="auto"/>
                <w:kern w:val="0"/>
                <w:sz w:val="22"/>
                <w:szCs w:val="22"/>
                <w:highlight w:val="none"/>
                <w:lang w:bidi="ar"/>
              </w:rPr>
              <w:t>）</w:t>
            </w:r>
          </w:p>
        </w:tc>
        <w:tc>
          <w:tcPr>
            <w:tcW w:w="122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 xml:space="preserve">A201 </w:t>
            </w:r>
            <w:r>
              <w:rPr>
                <w:rFonts w:hint="eastAsia" w:ascii="Times New Roman" w:hAnsi="Times New Roman" w:eastAsia="仿宋" w:cs="Times New Roman"/>
                <w:color w:val="auto"/>
                <w:kern w:val="0"/>
                <w:sz w:val="22"/>
                <w:szCs w:val="22"/>
                <w:highlight w:val="none"/>
                <w:lang w:bidi="ar"/>
              </w:rPr>
              <w:t>绩效目标合理性</w:t>
            </w:r>
          </w:p>
        </w:tc>
        <w:tc>
          <w:tcPr>
            <w:tcW w:w="67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kern w:val="0"/>
                <w:sz w:val="22"/>
                <w:szCs w:val="22"/>
                <w:highlight w:val="none"/>
                <w:lang w:val="en-US" w:eastAsia="zh-CN" w:bidi="ar"/>
              </w:rPr>
              <w:t>3</w:t>
            </w:r>
          </w:p>
        </w:tc>
        <w:tc>
          <w:tcPr>
            <w:tcW w:w="125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考察是否设立了项目总目标及年度目标，以及项目年度目标的完整性、明确性、可衡量性、可实现性、相关性和时限性。</w:t>
            </w:r>
          </w:p>
        </w:tc>
        <w:tc>
          <w:tcPr>
            <w:tcW w:w="93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rPr>
            </w:pPr>
            <w:r>
              <w:rPr>
                <w:rFonts w:hint="eastAsia" w:ascii="Times New Roman" w:hAnsi="Times New Roman" w:eastAsia="仿宋" w:cs="Times New Roman"/>
                <w:color w:val="auto"/>
                <w:kern w:val="0"/>
                <w:sz w:val="22"/>
                <w:szCs w:val="22"/>
                <w:highlight w:val="none"/>
                <w:lang w:val="en-US" w:eastAsia="zh-CN" w:bidi="ar"/>
              </w:rPr>
              <w:t>不完全</w:t>
            </w:r>
            <w:r>
              <w:rPr>
                <w:rFonts w:hint="default" w:ascii="Times New Roman" w:hAnsi="Times New Roman" w:eastAsia="仿宋" w:cs="Times New Roman"/>
                <w:color w:val="auto"/>
                <w:kern w:val="0"/>
                <w:sz w:val="22"/>
                <w:szCs w:val="22"/>
                <w:highlight w:val="none"/>
                <w:lang w:bidi="ar"/>
              </w:rPr>
              <w:t>合理</w:t>
            </w:r>
          </w:p>
        </w:tc>
        <w:tc>
          <w:tcPr>
            <w:tcW w:w="117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通用标准</w:t>
            </w:r>
          </w:p>
        </w:tc>
        <w:tc>
          <w:tcPr>
            <w:tcW w:w="2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①设立了总目标和年度目标先得20%的权重分（两项各占10%的权重分）；②再根据项目年度目标是否完整、明确、</w:t>
            </w:r>
            <w:r>
              <w:rPr>
                <w:rFonts w:hint="default" w:ascii="Times New Roman" w:hAnsi="Times New Roman" w:eastAsia="仿宋" w:cs="Times New Roman"/>
                <w:color w:val="auto"/>
                <w:kern w:val="0"/>
                <w:sz w:val="22"/>
                <w:szCs w:val="22"/>
                <w:highlight w:val="none"/>
                <w:lang w:val="en-US" w:eastAsia="zh-CN" w:bidi="ar"/>
              </w:rPr>
              <w:t>合理、</w:t>
            </w:r>
            <w:r>
              <w:rPr>
                <w:rFonts w:hint="default" w:ascii="Times New Roman" w:hAnsi="Times New Roman" w:eastAsia="仿宋" w:cs="Times New Roman"/>
                <w:color w:val="auto"/>
                <w:kern w:val="0"/>
                <w:sz w:val="22"/>
                <w:szCs w:val="22"/>
                <w:highlight w:val="none"/>
                <w:lang w:bidi="ar"/>
              </w:rPr>
              <w:t>可衡量、可实现和总目标相关、是否有时间限制，每符合一项，再得1/6的剩余权重分。</w:t>
            </w:r>
          </w:p>
        </w:tc>
        <w:tc>
          <w:tcPr>
            <w:tcW w:w="2020"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绩效目标表经过审核，绩效目标与实际工作内容具有相关性，预算与确定的项目投资额相匹配，对项目任务进行了详细分解。项目预期产出效益及效果符合正常的业绩水平。但是，效益指标设置不完善，未体现实用人才带头人项目带来的效益。</w:t>
            </w:r>
            <w:r>
              <w:rPr>
                <w:rFonts w:hint="default" w:ascii="Times New Roman" w:hAnsi="Times New Roman" w:eastAsia="仿宋" w:cs="Times New Roman"/>
                <w:color w:val="auto"/>
                <w:kern w:val="0"/>
                <w:sz w:val="22"/>
                <w:szCs w:val="22"/>
                <w:highlight w:val="none"/>
                <w:lang w:val="en-US" w:eastAsia="zh-CN" w:bidi="ar"/>
              </w:rPr>
              <w:t>该指标分值</w:t>
            </w:r>
            <w:r>
              <w:rPr>
                <w:rFonts w:hint="eastAsia" w:ascii="Times New Roman" w:hAnsi="Times New Roman" w:eastAsia="仿宋" w:cs="Times New Roman"/>
                <w:color w:val="auto"/>
                <w:kern w:val="0"/>
                <w:sz w:val="22"/>
                <w:szCs w:val="22"/>
                <w:highlight w:val="none"/>
                <w:lang w:val="en-US" w:eastAsia="zh-CN" w:bidi="ar"/>
              </w:rPr>
              <w:t>3</w:t>
            </w:r>
            <w:r>
              <w:rPr>
                <w:rFonts w:hint="default" w:ascii="Times New Roman" w:hAnsi="Times New Roman" w:eastAsia="仿宋" w:cs="Times New Roman"/>
                <w:color w:val="auto"/>
                <w:kern w:val="0"/>
                <w:sz w:val="22"/>
                <w:szCs w:val="22"/>
                <w:highlight w:val="none"/>
                <w:lang w:val="en-US" w:eastAsia="zh-CN" w:bidi="ar"/>
              </w:rPr>
              <w:t>分，得</w:t>
            </w:r>
            <w:r>
              <w:rPr>
                <w:rFonts w:hint="eastAsia" w:ascii="Times New Roman" w:hAnsi="Times New Roman" w:eastAsia="仿宋" w:cs="Times New Roman"/>
                <w:color w:val="auto"/>
                <w:kern w:val="0"/>
                <w:sz w:val="22"/>
                <w:szCs w:val="22"/>
                <w:highlight w:val="none"/>
                <w:lang w:val="en-US" w:eastAsia="zh-CN" w:bidi="ar"/>
              </w:rPr>
              <w:t>1</w:t>
            </w:r>
            <w:r>
              <w:rPr>
                <w:rFonts w:hint="default" w:ascii="Times New Roman" w:hAnsi="Times New Roman" w:eastAsia="仿宋" w:cs="Times New Roman"/>
                <w:color w:val="auto"/>
                <w:kern w:val="0"/>
                <w:sz w:val="22"/>
                <w:szCs w:val="22"/>
                <w:highlight w:val="none"/>
                <w:lang w:val="en-US" w:eastAsia="zh-CN" w:bidi="ar"/>
              </w:rPr>
              <w:t>分</w:t>
            </w:r>
            <w:r>
              <w:rPr>
                <w:rFonts w:hint="eastAsia" w:ascii="Times New Roman" w:hAnsi="Times New Roman" w:eastAsia="仿宋" w:cs="Times New Roman"/>
                <w:color w:val="auto"/>
                <w:kern w:val="0"/>
                <w:sz w:val="22"/>
                <w:szCs w:val="22"/>
                <w:highlight w:val="none"/>
                <w:lang w:val="en-US" w:eastAsia="zh-CN" w:bidi="ar"/>
              </w:rPr>
              <w:t>。</w:t>
            </w:r>
          </w:p>
        </w:tc>
        <w:tc>
          <w:tcPr>
            <w:tcW w:w="7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w:t>
            </w:r>
          </w:p>
        </w:tc>
        <w:tc>
          <w:tcPr>
            <w:tcW w:w="1076" w:type="dxa"/>
            <w:tcBorders>
              <w:top w:val="single" w:color="000000" w:sz="4" w:space="0"/>
              <w:left w:val="nil"/>
              <w:bottom w:val="single" w:color="000000"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33.33%</w:t>
            </w:r>
          </w:p>
        </w:tc>
      </w:tr>
      <w:tr>
        <w:tblPrEx>
          <w:tblCellMar>
            <w:top w:w="0" w:type="dxa"/>
            <w:left w:w="0" w:type="dxa"/>
            <w:bottom w:w="0" w:type="dxa"/>
            <w:right w:w="0" w:type="dxa"/>
          </w:tblCellMar>
        </w:tblPrEx>
        <w:trPr>
          <w:trHeight w:val="340" w:hRule="atLeast"/>
          <w:jc w:val="center"/>
        </w:trPr>
        <w:tc>
          <w:tcPr>
            <w:tcW w:w="1198" w:type="dxa"/>
            <w:vMerge w:val="continue"/>
            <w:tcBorders>
              <w:left w:val="single" w:color="auto" w:sz="4" w:space="0"/>
              <w:right w:val="single" w:color="000000" w:sz="4" w:space="0"/>
            </w:tcBorders>
            <w:noWrap w:val="0"/>
            <w:tcMar>
              <w:top w:w="15" w:type="dxa"/>
              <w:left w:w="15" w:type="dxa"/>
              <w:right w:w="15" w:type="dxa"/>
            </w:tcMar>
            <w:vAlign w:val="center"/>
          </w:tcPr>
          <w:p>
            <w:pPr>
              <w:rPr>
                <w:rFonts w:hint="default" w:ascii="Times New Roman" w:hAnsi="Times New Roman" w:eastAsia="仿宋" w:cs="Times New Roman"/>
                <w:color w:val="auto"/>
                <w:sz w:val="22"/>
                <w:szCs w:val="22"/>
                <w:highlight w:val="none"/>
              </w:rPr>
            </w:pPr>
          </w:p>
        </w:tc>
        <w:tc>
          <w:tcPr>
            <w:tcW w:w="1366" w:type="dxa"/>
            <w:vMerge w:val="continue"/>
            <w:tcBorders>
              <w:left w:val="nil"/>
              <w:bottom w:val="single" w:color="auto"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bidi="ar"/>
              </w:rPr>
            </w:pPr>
          </w:p>
        </w:tc>
        <w:tc>
          <w:tcPr>
            <w:tcW w:w="1224" w:type="dxa"/>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pPr>
              <w:widowControl/>
              <w:autoSpaceDE w:val="0"/>
              <w:jc w:val="left"/>
              <w:textAlignment w:val="center"/>
              <w:rPr>
                <w:rFonts w:hint="eastAsia" w:ascii="Times New Roman" w:hAnsi="Times New Roman" w:eastAsia="仿宋" w:cs="Times New Roman"/>
                <w:color w:val="auto"/>
                <w:kern w:val="0"/>
                <w:sz w:val="22"/>
                <w:szCs w:val="22"/>
                <w:highlight w:val="none"/>
                <w:lang w:bidi="ar"/>
              </w:rPr>
            </w:pPr>
            <w:r>
              <w:rPr>
                <w:rFonts w:hint="eastAsia" w:ascii="Times New Roman" w:hAnsi="Times New Roman" w:eastAsia="仿宋" w:cs="Times New Roman"/>
                <w:color w:val="auto"/>
                <w:kern w:val="0"/>
                <w:sz w:val="22"/>
                <w:szCs w:val="22"/>
                <w:highlight w:val="none"/>
                <w:lang w:val="en-US" w:eastAsia="zh-CN" w:bidi="ar"/>
              </w:rPr>
              <w:t>A202</w:t>
            </w:r>
            <w:r>
              <w:rPr>
                <w:rFonts w:hint="eastAsia" w:ascii="Times New Roman" w:hAnsi="Times New Roman" w:eastAsia="仿宋" w:cs="Times New Roman"/>
                <w:color w:val="auto"/>
                <w:kern w:val="0"/>
                <w:sz w:val="22"/>
                <w:szCs w:val="22"/>
                <w:highlight w:val="none"/>
                <w:lang w:bidi="ar"/>
              </w:rPr>
              <w:t>绩效指标明确性</w:t>
            </w:r>
          </w:p>
        </w:tc>
        <w:tc>
          <w:tcPr>
            <w:tcW w:w="67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eastAsia" w:ascii="Times New Roman" w:hAnsi="Times New Roman" w:eastAsia="仿宋" w:cs="Times New Roman"/>
                <w:color w:val="auto"/>
                <w:kern w:val="0"/>
                <w:sz w:val="22"/>
                <w:szCs w:val="22"/>
                <w:highlight w:val="none"/>
                <w:lang w:eastAsia="zh-CN" w:bidi="ar"/>
              </w:rPr>
            </w:pPr>
            <w:r>
              <w:rPr>
                <w:rFonts w:hint="eastAsia" w:ascii="Times New Roman" w:hAnsi="Times New Roman" w:eastAsia="仿宋" w:cs="Times New Roman"/>
                <w:color w:val="auto"/>
                <w:kern w:val="0"/>
                <w:sz w:val="22"/>
                <w:szCs w:val="22"/>
                <w:highlight w:val="none"/>
                <w:lang w:val="en-US" w:eastAsia="zh-CN" w:bidi="ar"/>
              </w:rPr>
              <w:t>3</w:t>
            </w:r>
          </w:p>
        </w:tc>
        <w:tc>
          <w:tcPr>
            <w:tcW w:w="125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kern w:val="0"/>
                <w:sz w:val="22"/>
                <w:szCs w:val="22"/>
                <w:highlight w:val="none"/>
                <w:lang w:bidi="ar"/>
              </w:rPr>
            </w:pPr>
            <w:r>
              <w:rPr>
                <w:rFonts w:hint="eastAsia" w:ascii="Times New Roman" w:hAnsi="Times New Roman" w:eastAsia="仿宋" w:cs="Times New Roman"/>
                <w:color w:val="auto"/>
                <w:kern w:val="0"/>
                <w:sz w:val="22"/>
                <w:szCs w:val="22"/>
                <w:highlight w:val="none"/>
                <w:lang w:bidi="ar"/>
              </w:rPr>
              <w:t>依据绩效目标设定的绩效指标是否清晰、细化、可衡量等，用以反映和考核项目绩效目标的</w:t>
            </w:r>
            <w:r>
              <w:rPr>
                <w:rFonts w:hint="eastAsia" w:ascii="Times New Roman" w:hAnsi="Times New Roman" w:eastAsia="仿宋" w:cs="Times New Roman"/>
                <w:color w:val="auto"/>
                <w:kern w:val="0"/>
                <w:sz w:val="22"/>
                <w:szCs w:val="22"/>
                <w:highlight w:val="none"/>
                <w:lang w:val="en-US" w:eastAsia="zh-CN" w:bidi="ar"/>
              </w:rPr>
              <w:t>明确</w:t>
            </w:r>
            <w:r>
              <w:rPr>
                <w:rFonts w:hint="eastAsia" w:ascii="Times New Roman" w:hAnsi="Times New Roman" w:eastAsia="仿宋" w:cs="Times New Roman"/>
                <w:color w:val="auto"/>
                <w:kern w:val="0"/>
                <w:sz w:val="22"/>
                <w:szCs w:val="22"/>
                <w:highlight w:val="none"/>
                <w:lang w:bidi="ar"/>
              </w:rPr>
              <w:t>细化情况。</w:t>
            </w:r>
          </w:p>
        </w:tc>
        <w:tc>
          <w:tcPr>
            <w:tcW w:w="93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明确</w:t>
            </w:r>
          </w:p>
        </w:tc>
        <w:tc>
          <w:tcPr>
            <w:tcW w:w="117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通用标准</w:t>
            </w:r>
          </w:p>
        </w:tc>
        <w:tc>
          <w:tcPr>
            <w:tcW w:w="2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①是否将项目绩效目标细化分解为具体的绩效指标，满足得30%权重分，否则不得分；②是否通过清晰、可衡量的指标值予以体现，满足得40%权重分，否则不得分；③是否与项目目标任务数或计划数相对应，满足得30%权重分，否则不得分。</w:t>
            </w:r>
          </w:p>
        </w:tc>
        <w:tc>
          <w:tcPr>
            <w:tcW w:w="2020"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项目设置了明确的预期产出效益和效果，将绩效目标细化分解为具体的绩效指标，绩效目标设定的绩效指标清晰、细化、可衡量。</w:t>
            </w:r>
            <w:r>
              <w:rPr>
                <w:rFonts w:hint="default" w:ascii="Times New Roman" w:hAnsi="Times New Roman" w:eastAsia="仿宋" w:cs="Times New Roman"/>
                <w:color w:val="auto"/>
                <w:sz w:val="22"/>
                <w:szCs w:val="22"/>
                <w:highlight w:val="none"/>
                <w:lang w:val="en-US" w:eastAsia="zh-CN"/>
              </w:rPr>
              <w:t>该指标分值</w:t>
            </w:r>
            <w:r>
              <w:rPr>
                <w:rFonts w:hint="eastAsia" w:ascii="Times New Roman" w:hAnsi="Times New Roman" w:eastAsia="仿宋" w:cs="Times New Roman"/>
                <w:color w:val="auto"/>
                <w:sz w:val="22"/>
                <w:szCs w:val="22"/>
                <w:highlight w:val="none"/>
                <w:lang w:val="en-US" w:eastAsia="zh-CN"/>
              </w:rPr>
              <w:t>3</w:t>
            </w:r>
            <w:r>
              <w:rPr>
                <w:rFonts w:hint="default" w:ascii="Times New Roman" w:hAnsi="Times New Roman" w:eastAsia="仿宋" w:cs="Times New Roman"/>
                <w:color w:val="auto"/>
                <w:sz w:val="22"/>
                <w:szCs w:val="22"/>
                <w:highlight w:val="none"/>
                <w:lang w:val="en-US" w:eastAsia="zh-CN"/>
              </w:rPr>
              <w:t>分，得</w:t>
            </w:r>
            <w:r>
              <w:rPr>
                <w:rFonts w:hint="eastAsia" w:ascii="Times New Roman" w:hAnsi="Times New Roman" w:eastAsia="仿宋" w:cs="Times New Roman"/>
                <w:color w:val="auto"/>
                <w:sz w:val="22"/>
                <w:szCs w:val="22"/>
                <w:highlight w:val="none"/>
                <w:lang w:val="en-US" w:eastAsia="zh-CN"/>
              </w:rPr>
              <w:t>3</w:t>
            </w:r>
            <w:r>
              <w:rPr>
                <w:rFonts w:hint="default" w:ascii="Times New Roman" w:hAnsi="Times New Roman" w:eastAsia="仿宋" w:cs="Times New Roman"/>
                <w:color w:val="auto"/>
                <w:sz w:val="22"/>
                <w:szCs w:val="22"/>
                <w:highlight w:val="none"/>
                <w:lang w:val="en-US" w:eastAsia="zh-CN"/>
              </w:rPr>
              <w:t>分</w:t>
            </w:r>
            <w:r>
              <w:rPr>
                <w:rFonts w:hint="eastAsia" w:ascii="Times New Roman" w:hAnsi="Times New Roman" w:eastAsia="仿宋" w:cs="Times New Roman"/>
                <w:color w:val="auto"/>
                <w:sz w:val="22"/>
                <w:szCs w:val="22"/>
                <w:highlight w:val="none"/>
                <w:lang w:val="en-US" w:eastAsia="zh-CN"/>
              </w:rPr>
              <w:t>。</w:t>
            </w:r>
          </w:p>
        </w:tc>
        <w:tc>
          <w:tcPr>
            <w:tcW w:w="7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3</w:t>
            </w:r>
          </w:p>
        </w:tc>
        <w:tc>
          <w:tcPr>
            <w:tcW w:w="1076" w:type="dxa"/>
            <w:tcBorders>
              <w:top w:val="single" w:color="000000" w:sz="4" w:space="0"/>
              <w:left w:val="nil"/>
              <w:bottom w:val="single" w:color="000000"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p>
        </w:tc>
      </w:tr>
      <w:tr>
        <w:tblPrEx>
          <w:tblCellMar>
            <w:top w:w="0" w:type="dxa"/>
            <w:left w:w="0" w:type="dxa"/>
            <w:bottom w:w="0" w:type="dxa"/>
            <w:right w:w="0" w:type="dxa"/>
          </w:tblCellMar>
        </w:tblPrEx>
        <w:trPr>
          <w:trHeight w:val="1875" w:hRule="atLeast"/>
          <w:jc w:val="center"/>
        </w:trPr>
        <w:tc>
          <w:tcPr>
            <w:tcW w:w="1198" w:type="dxa"/>
            <w:vMerge w:val="continue"/>
            <w:tcBorders>
              <w:left w:val="single" w:color="auto"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rPr>
            </w:pPr>
          </w:p>
        </w:tc>
        <w:tc>
          <w:tcPr>
            <w:tcW w:w="1366" w:type="dxa"/>
            <w:vMerge w:val="restart"/>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rPr>
            </w:pPr>
            <w:r>
              <w:rPr>
                <w:rFonts w:hint="eastAsia" w:ascii="Times New Roman" w:hAnsi="Times New Roman" w:eastAsia="仿宋" w:cs="Times New Roman"/>
                <w:color w:val="auto"/>
                <w:kern w:val="0"/>
                <w:sz w:val="22"/>
                <w:szCs w:val="22"/>
                <w:highlight w:val="none"/>
                <w:lang w:val="en-US" w:eastAsia="zh-CN" w:bidi="ar"/>
              </w:rPr>
              <w:t>A3资金</w:t>
            </w:r>
            <w:r>
              <w:rPr>
                <w:rFonts w:hint="default" w:ascii="Times New Roman" w:hAnsi="Times New Roman" w:eastAsia="仿宋" w:cs="Times New Roman"/>
                <w:color w:val="auto"/>
                <w:kern w:val="0"/>
                <w:sz w:val="22"/>
                <w:szCs w:val="22"/>
                <w:highlight w:val="none"/>
                <w:lang w:bidi="ar"/>
              </w:rPr>
              <w:t>投入（</w:t>
            </w:r>
            <w:r>
              <w:rPr>
                <w:rFonts w:hint="eastAsia" w:ascii="Times New Roman" w:hAnsi="Times New Roman" w:eastAsia="仿宋" w:cs="Times New Roman"/>
                <w:color w:val="auto"/>
                <w:kern w:val="0"/>
                <w:sz w:val="22"/>
                <w:szCs w:val="22"/>
                <w:highlight w:val="none"/>
                <w:lang w:val="en-US" w:eastAsia="zh-CN" w:bidi="ar"/>
              </w:rPr>
              <w:t>7</w:t>
            </w:r>
            <w:r>
              <w:rPr>
                <w:rFonts w:hint="default" w:ascii="Times New Roman" w:hAnsi="Times New Roman" w:eastAsia="仿宋" w:cs="Times New Roman"/>
                <w:color w:val="auto"/>
                <w:kern w:val="0"/>
                <w:sz w:val="22"/>
                <w:szCs w:val="22"/>
                <w:highlight w:val="none"/>
                <w:lang w:bidi="ar"/>
              </w:rPr>
              <w:t>）</w:t>
            </w:r>
          </w:p>
        </w:tc>
        <w:tc>
          <w:tcPr>
            <w:tcW w:w="1224" w:type="dxa"/>
            <w:tcBorders>
              <w:top w:val="single" w:color="auto" w:sz="4" w:space="0"/>
              <w:left w:val="nil"/>
              <w:bottom w:val="single" w:color="000000" w:sz="4" w:space="0"/>
              <w:right w:val="single" w:color="auto"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sz w:val="22"/>
                <w:szCs w:val="22"/>
                <w:highlight w:val="none"/>
              </w:rPr>
            </w:pPr>
            <w:r>
              <w:rPr>
                <w:rFonts w:hint="eastAsia" w:ascii="Times New Roman" w:hAnsi="Times New Roman" w:eastAsia="仿宋" w:cs="Times New Roman"/>
                <w:color w:val="auto"/>
                <w:kern w:val="0"/>
                <w:sz w:val="22"/>
                <w:szCs w:val="22"/>
                <w:highlight w:val="none"/>
                <w:lang w:val="en-US" w:eastAsia="zh-CN" w:bidi="ar"/>
              </w:rPr>
              <w:t>A3</w:t>
            </w:r>
            <w:r>
              <w:rPr>
                <w:rFonts w:hint="default" w:ascii="Times New Roman" w:hAnsi="Times New Roman" w:eastAsia="仿宋" w:cs="Times New Roman"/>
                <w:color w:val="auto"/>
                <w:kern w:val="0"/>
                <w:sz w:val="22"/>
                <w:szCs w:val="22"/>
                <w:highlight w:val="none"/>
                <w:lang w:bidi="ar"/>
              </w:rPr>
              <w:t>01 预算编制</w:t>
            </w:r>
            <w:r>
              <w:rPr>
                <w:rFonts w:hint="eastAsia" w:ascii="Times New Roman" w:hAnsi="Times New Roman" w:eastAsia="仿宋" w:cs="Times New Roman"/>
                <w:color w:val="auto"/>
                <w:kern w:val="0"/>
                <w:sz w:val="22"/>
                <w:szCs w:val="22"/>
                <w:highlight w:val="none"/>
                <w:lang w:val="en-US" w:eastAsia="zh-CN" w:bidi="ar"/>
              </w:rPr>
              <w:t>科学</w:t>
            </w:r>
            <w:r>
              <w:rPr>
                <w:rFonts w:hint="default" w:ascii="Times New Roman" w:hAnsi="Times New Roman" w:eastAsia="仿宋" w:cs="Times New Roman"/>
                <w:color w:val="auto"/>
                <w:kern w:val="0"/>
                <w:sz w:val="22"/>
                <w:szCs w:val="22"/>
                <w:highlight w:val="none"/>
                <w:lang w:bidi="ar"/>
              </w:rPr>
              <w:t>性</w:t>
            </w:r>
          </w:p>
        </w:tc>
        <w:tc>
          <w:tcPr>
            <w:tcW w:w="67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kern w:val="0"/>
                <w:sz w:val="22"/>
                <w:szCs w:val="22"/>
                <w:highlight w:val="none"/>
                <w:lang w:val="en-US" w:eastAsia="zh-CN" w:bidi="ar"/>
              </w:rPr>
              <w:t>3</w:t>
            </w:r>
          </w:p>
        </w:tc>
        <w:tc>
          <w:tcPr>
            <w:tcW w:w="125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考察预算编制是否科学、合理，是否存在明显不合理之处。</w:t>
            </w:r>
          </w:p>
        </w:tc>
        <w:tc>
          <w:tcPr>
            <w:tcW w:w="93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eastAsia" w:ascii="Times New Roman" w:hAnsi="Times New Roman" w:eastAsia="仿宋" w:cs="Times New Roman"/>
                <w:color w:val="auto"/>
                <w:sz w:val="22"/>
                <w:szCs w:val="22"/>
                <w:highlight w:val="none"/>
                <w:lang w:eastAsia="zh-CN"/>
              </w:rPr>
            </w:pPr>
            <w:r>
              <w:rPr>
                <w:rFonts w:hint="eastAsia" w:ascii="Times New Roman" w:hAnsi="Times New Roman" w:eastAsia="仿宋" w:cs="Times New Roman"/>
                <w:color w:val="auto"/>
                <w:kern w:val="0"/>
                <w:sz w:val="22"/>
                <w:szCs w:val="22"/>
                <w:highlight w:val="none"/>
                <w:lang w:val="en-US" w:eastAsia="zh-CN" w:bidi="ar"/>
              </w:rPr>
              <w:t>科学</w:t>
            </w:r>
          </w:p>
        </w:tc>
        <w:tc>
          <w:tcPr>
            <w:tcW w:w="117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通用标准</w:t>
            </w:r>
          </w:p>
        </w:tc>
        <w:tc>
          <w:tcPr>
            <w:tcW w:w="2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考察①预算编制依据充分、合理；②预算编制细化；以上两项各占50%的权重分，满足则得</w:t>
            </w:r>
            <w:r>
              <w:rPr>
                <w:rFonts w:hint="eastAsia" w:ascii="Times New Roman" w:hAnsi="Times New Roman" w:eastAsia="仿宋" w:cs="Times New Roman"/>
                <w:color w:val="auto"/>
                <w:sz w:val="22"/>
                <w:szCs w:val="22"/>
                <w:highlight w:val="none"/>
                <w:lang w:val="en-US" w:eastAsia="zh-CN"/>
              </w:rPr>
              <w:t>对应权重</w:t>
            </w:r>
            <w:r>
              <w:rPr>
                <w:rFonts w:hint="default" w:ascii="Times New Roman" w:hAnsi="Times New Roman" w:eastAsia="仿宋" w:cs="Times New Roman"/>
                <w:color w:val="auto"/>
                <w:sz w:val="22"/>
                <w:szCs w:val="22"/>
                <w:highlight w:val="none"/>
                <w:lang w:val="en-US" w:eastAsia="zh-CN"/>
              </w:rPr>
              <w:t>分，否则扣除对应权重分。</w:t>
            </w:r>
          </w:p>
        </w:tc>
        <w:tc>
          <w:tcPr>
            <w:tcW w:w="2020"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本项目的预算编制过程严谨、科学，充分体现了精细化管理的要求。预算编制确保项目所需的各项资源得到合理地预估与分配。还紧密结合了项目实际情况，对不同阶段任务的资金需求进行了详细的分析与计算。该指标分值3分，得3分。</w:t>
            </w:r>
          </w:p>
        </w:tc>
        <w:tc>
          <w:tcPr>
            <w:tcW w:w="7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3</w:t>
            </w:r>
          </w:p>
        </w:tc>
        <w:tc>
          <w:tcPr>
            <w:tcW w:w="1076" w:type="dxa"/>
            <w:tcBorders>
              <w:top w:val="single" w:color="000000" w:sz="4" w:space="0"/>
              <w:left w:val="nil"/>
              <w:bottom w:val="single" w:color="000000"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p>
        </w:tc>
      </w:tr>
      <w:tr>
        <w:tblPrEx>
          <w:tblCellMar>
            <w:top w:w="0" w:type="dxa"/>
            <w:left w:w="0" w:type="dxa"/>
            <w:bottom w:w="0" w:type="dxa"/>
            <w:right w:w="0" w:type="dxa"/>
          </w:tblCellMar>
        </w:tblPrEx>
        <w:trPr>
          <w:trHeight w:val="1875" w:hRule="atLeast"/>
          <w:jc w:val="center"/>
        </w:trPr>
        <w:tc>
          <w:tcPr>
            <w:tcW w:w="1198"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rPr>
            </w:pPr>
          </w:p>
        </w:tc>
        <w:tc>
          <w:tcPr>
            <w:tcW w:w="1366"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eastAsia" w:ascii="Times New Roman" w:hAnsi="Times New Roman" w:eastAsia="仿宋" w:cs="Times New Roman"/>
                <w:color w:val="auto"/>
                <w:kern w:val="0"/>
                <w:sz w:val="22"/>
                <w:szCs w:val="22"/>
                <w:highlight w:val="none"/>
                <w:lang w:val="en-US" w:eastAsia="zh-CN" w:bidi="ar"/>
              </w:rPr>
            </w:pPr>
          </w:p>
        </w:tc>
        <w:tc>
          <w:tcPr>
            <w:tcW w:w="1224" w:type="dxa"/>
            <w:tcBorders>
              <w:top w:val="single" w:color="000000" w:sz="4" w:space="0"/>
              <w:left w:val="nil"/>
              <w:bottom w:val="single" w:color="auto" w:sz="4" w:space="0"/>
              <w:right w:val="single" w:color="auto" w:sz="4" w:space="0"/>
            </w:tcBorders>
            <w:noWrap w:val="0"/>
            <w:tcMar>
              <w:top w:w="15" w:type="dxa"/>
              <w:left w:w="15" w:type="dxa"/>
              <w:right w:w="15" w:type="dxa"/>
            </w:tcMar>
            <w:vAlign w:val="center"/>
          </w:tcPr>
          <w:p>
            <w:pPr>
              <w:jc w:val="left"/>
              <w:rPr>
                <w:rFonts w:hint="default" w:ascii="Times New Roman" w:hAnsi="Times New Roman" w:eastAsia="仿宋" w:cs="Times New Roman"/>
                <w:color w:val="auto"/>
                <w:kern w:val="0"/>
                <w:sz w:val="22"/>
                <w:szCs w:val="22"/>
                <w:highlight w:val="none"/>
                <w:lang w:bidi="ar"/>
              </w:rPr>
            </w:pPr>
            <w:r>
              <w:rPr>
                <w:rStyle w:val="21"/>
                <w:rFonts w:hint="eastAsia" w:ascii="Times New Roman" w:hAnsi="Times New Roman" w:eastAsia="仿宋_GB2312" w:cs="Times New Roman"/>
                <w:color w:val="auto"/>
                <w:highlight w:val="none"/>
                <w:lang w:val="en-US" w:eastAsia="zh-CN"/>
              </w:rPr>
              <w:t>A3</w:t>
            </w:r>
            <w:r>
              <w:rPr>
                <w:rStyle w:val="21"/>
                <w:rFonts w:hint="default" w:ascii="Times New Roman" w:hAnsi="Times New Roman" w:eastAsia="仿宋_GB2312" w:cs="Times New Roman"/>
                <w:color w:val="auto"/>
                <w:highlight w:val="none"/>
              </w:rPr>
              <w:t xml:space="preserve">02 </w:t>
            </w:r>
            <w:r>
              <w:rPr>
                <w:rStyle w:val="21"/>
                <w:rFonts w:hint="eastAsia" w:ascii="Times New Roman" w:hAnsi="Times New Roman" w:eastAsia="仿宋_GB2312" w:cs="Times New Roman"/>
                <w:color w:val="auto"/>
                <w:highlight w:val="none"/>
              </w:rPr>
              <w:t>资金分配合理性</w:t>
            </w:r>
          </w:p>
        </w:tc>
        <w:tc>
          <w:tcPr>
            <w:tcW w:w="672"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eastAsia" w:ascii="Times New Roman" w:hAnsi="Times New Roman" w:eastAsia="仿宋" w:cs="Times New Roman"/>
                <w:color w:val="auto"/>
                <w:kern w:val="0"/>
                <w:sz w:val="22"/>
                <w:szCs w:val="22"/>
                <w:highlight w:val="none"/>
                <w:lang w:eastAsia="zh-CN" w:bidi="ar"/>
              </w:rPr>
            </w:pPr>
            <w:r>
              <w:rPr>
                <w:rFonts w:hint="eastAsia" w:ascii="Times New Roman" w:hAnsi="Times New Roman" w:eastAsia="仿宋" w:cs="Times New Roman"/>
                <w:color w:val="auto"/>
                <w:kern w:val="0"/>
                <w:sz w:val="22"/>
                <w:szCs w:val="22"/>
                <w:highlight w:val="none"/>
                <w:lang w:val="en-US" w:eastAsia="zh-CN" w:bidi="ar"/>
              </w:rPr>
              <w:t>4</w:t>
            </w:r>
          </w:p>
        </w:tc>
        <w:tc>
          <w:tcPr>
            <w:tcW w:w="1256" w:type="dxa"/>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考察</w:t>
            </w:r>
            <w:r>
              <w:rPr>
                <w:rFonts w:hint="eastAsia" w:ascii="Times New Roman" w:hAnsi="Times New Roman" w:eastAsia="仿宋" w:cs="Times New Roman"/>
                <w:color w:val="auto"/>
                <w:kern w:val="0"/>
                <w:sz w:val="22"/>
                <w:szCs w:val="22"/>
                <w:highlight w:val="none"/>
                <w:lang w:val="en-US" w:eastAsia="zh-CN" w:bidi="ar"/>
              </w:rPr>
              <w:t>项目资金分配是否合理</w:t>
            </w:r>
            <w:r>
              <w:rPr>
                <w:rFonts w:hint="default" w:ascii="Times New Roman" w:hAnsi="Times New Roman" w:eastAsia="仿宋" w:cs="Times New Roman"/>
                <w:color w:val="auto"/>
                <w:kern w:val="0"/>
                <w:sz w:val="22"/>
                <w:szCs w:val="22"/>
                <w:highlight w:val="none"/>
                <w:lang w:bidi="ar"/>
              </w:rPr>
              <w:t>。</w:t>
            </w:r>
          </w:p>
        </w:tc>
        <w:tc>
          <w:tcPr>
            <w:tcW w:w="933" w:type="dxa"/>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合理</w:t>
            </w:r>
          </w:p>
        </w:tc>
        <w:tc>
          <w:tcPr>
            <w:tcW w:w="1172" w:type="dxa"/>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通用标准</w:t>
            </w:r>
          </w:p>
        </w:tc>
        <w:tc>
          <w:tcPr>
            <w:tcW w:w="2305" w:type="dxa"/>
            <w:tcBorders>
              <w:top w:val="single" w:color="000000" w:sz="4" w:space="0"/>
              <w:left w:val="nil"/>
              <w:bottom w:val="single" w:color="auto"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①预算资金分配依据是否充分；②资金分配额度是否合理，与项目单位或地方实际是否相适应。</w:t>
            </w:r>
            <w:r>
              <w:rPr>
                <w:rFonts w:hint="default" w:ascii="Times New Roman" w:hAnsi="Times New Roman" w:eastAsia="仿宋" w:cs="Times New Roman"/>
                <w:color w:val="auto"/>
                <w:sz w:val="22"/>
                <w:szCs w:val="22"/>
                <w:highlight w:val="none"/>
                <w:lang w:val="en-US" w:eastAsia="zh-CN"/>
              </w:rPr>
              <w:t>以上两项各占50%的权重分，满足则得分，否则扣除对应权重分。</w:t>
            </w:r>
          </w:p>
        </w:tc>
        <w:tc>
          <w:tcPr>
            <w:tcW w:w="2020" w:type="dxa"/>
            <w:tcBorders>
              <w:top w:val="single" w:color="000000" w:sz="4" w:space="0"/>
              <w:left w:val="nil"/>
              <w:bottom w:val="single" w:color="auto"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本项目的资金分配遵循了公平、公正、透明的原则，确保了项目资源的合理配置与高效利用。充分考虑了对可能出现的超支情况进行了预留与调整。为项目的成功实施提供了有力的保障，</w:t>
            </w:r>
            <w:r>
              <w:rPr>
                <w:rFonts w:hint="default" w:ascii="Times New Roman" w:hAnsi="Times New Roman" w:eastAsia="仿宋" w:cs="Times New Roman"/>
                <w:color w:val="auto"/>
                <w:sz w:val="22"/>
                <w:szCs w:val="22"/>
                <w:highlight w:val="none"/>
                <w:lang w:val="en-US" w:eastAsia="zh-CN"/>
              </w:rPr>
              <w:t>该指标分值</w:t>
            </w:r>
            <w:r>
              <w:rPr>
                <w:rFonts w:hint="eastAsia" w:ascii="Times New Roman" w:hAnsi="Times New Roman" w:eastAsia="仿宋" w:cs="Times New Roman"/>
                <w:color w:val="auto"/>
                <w:sz w:val="22"/>
                <w:szCs w:val="22"/>
                <w:highlight w:val="none"/>
                <w:lang w:val="en-US" w:eastAsia="zh-CN"/>
              </w:rPr>
              <w:t>3</w:t>
            </w:r>
            <w:r>
              <w:rPr>
                <w:rFonts w:hint="default" w:ascii="Times New Roman" w:hAnsi="Times New Roman" w:eastAsia="仿宋" w:cs="Times New Roman"/>
                <w:color w:val="auto"/>
                <w:sz w:val="22"/>
                <w:szCs w:val="22"/>
                <w:highlight w:val="none"/>
                <w:lang w:val="en-US" w:eastAsia="zh-CN"/>
              </w:rPr>
              <w:t>分，得</w:t>
            </w:r>
            <w:r>
              <w:rPr>
                <w:rFonts w:hint="eastAsia" w:ascii="Times New Roman" w:hAnsi="Times New Roman" w:eastAsia="仿宋" w:cs="Times New Roman"/>
                <w:color w:val="auto"/>
                <w:sz w:val="22"/>
                <w:szCs w:val="22"/>
                <w:highlight w:val="none"/>
                <w:lang w:val="en-US" w:eastAsia="zh-CN"/>
              </w:rPr>
              <w:t>3</w:t>
            </w:r>
            <w:r>
              <w:rPr>
                <w:rFonts w:hint="default" w:ascii="Times New Roman" w:hAnsi="Times New Roman" w:eastAsia="仿宋" w:cs="Times New Roman"/>
                <w:color w:val="auto"/>
                <w:sz w:val="22"/>
                <w:szCs w:val="22"/>
                <w:highlight w:val="none"/>
                <w:lang w:val="en-US" w:eastAsia="zh-CN"/>
              </w:rPr>
              <w:t>分</w:t>
            </w:r>
            <w:r>
              <w:rPr>
                <w:rFonts w:hint="eastAsia" w:ascii="Times New Roman" w:hAnsi="Times New Roman" w:eastAsia="仿宋" w:cs="Times New Roman"/>
                <w:color w:val="auto"/>
                <w:sz w:val="22"/>
                <w:szCs w:val="22"/>
                <w:highlight w:val="none"/>
                <w:lang w:val="en-US" w:eastAsia="zh-CN"/>
              </w:rPr>
              <w:t>。</w:t>
            </w:r>
          </w:p>
        </w:tc>
        <w:tc>
          <w:tcPr>
            <w:tcW w:w="766" w:type="dxa"/>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4</w:t>
            </w:r>
          </w:p>
        </w:tc>
        <w:tc>
          <w:tcPr>
            <w:tcW w:w="1076" w:type="dxa"/>
            <w:tcBorders>
              <w:top w:val="single" w:color="000000" w:sz="4" w:space="0"/>
              <w:left w:val="nil"/>
              <w:bottom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p>
        </w:tc>
      </w:tr>
      <w:tr>
        <w:tblPrEx>
          <w:tblCellMar>
            <w:top w:w="0" w:type="dxa"/>
            <w:left w:w="0" w:type="dxa"/>
            <w:bottom w:w="0" w:type="dxa"/>
            <w:right w:w="0" w:type="dxa"/>
          </w:tblCellMar>
        </w:tblPrEx>
        <w:trPr>
          <w:trHeight w:val="340" w:hRule="atLeast"/>
          <w:jc w:val="center"/>
        </w:trPr>
        <w:tc>
          <w:tcPr>
            <w:tcW w:w="1198" w:type="dxa"/>
            <w:vMerge w:val="restart"/>
            <w:tcBorders>
              <w:top w:val="single" w:color="auto" w:sz="4" w:space="0"/>
              <w:left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 xml:space="preserve">B </w:t>
            </w:r>
            <w:r>
              <w:rPr>
                <w:rFonts w:hint="eastAsia" w:ascii="Times New Roman" w:hAnsi="Times New Roman" w:eastAsia="仿宋" w:cs="Times New Roman"/>
                <w:color w:val="auto"/>
                <w:kern w:val="0"/>
                <w:sz w:val="22"/>
                <w:szCs w:val="22"/>
                <w:highlight w:val="none"/>
                <w:lang w:val="en-US" w:eastAsia="zh-CN" w:bidi="ar"/>
              </w:rPr>
              <w:t>项目过程</w:t>
            </w:r>
            <w:r>
              <w:rPr>
                <w:rFonts w:hint="default" w:ascii="Times New Roman" w:hAnsi="Times New Roman" w:eastAsia="仿宋" w:cs="Times New Roman"/>
                <w:color w:val="auto"/>
                <w:kern w:val="0"/>
                <w:sz w:val="22"/>
                <w:szCs w:val="22"/>
                <w:highlight w:val="none"/>
                <w:lang w:val="en-US" w:eastAsia="zh-CN" w:bidi="ar"/>
              </w:rPr>
              <w:t>（</w:t>
            </w:r>
            <w:r>
              <w:rPr>
                <w:rFonts w:hint="eastAsia" w:ascii="Times New Roman" w:hAnsi="Times New Roman" w:eastAsia="仿宋" w:cs="Times New Roman"/>
                <w:color w:val="auto"/>
                <w:kern w:val="0"/>
                <w:sz w:val="22"/>
                <w:szCs w:val="22"/>
                <w:highlight w:val="none"/>
                <w:lang w:val="en-US" w:eastAsia="zh-CN" w:bidi="ar"/>
              </w:rPr>
              <w:t>20</w:t>
            </w:r>
            <w:r>
              <w:rPr>
                <w:rFonts w:hint="default" w:ascii="Times New Roman" w:hAnsi="Times New Roman" w:eastAsia="仿宋" w:cs="Times New Roman"/>
                <w:color w:val="auto"/>
                <w:kern w:val="0"/>
                <w:sz w:val="22"/>
                <w:szCs w:val="22"/>
                <w:highlight w:val="none"/>
                <w:lang w:val="en-US" w:eastAsia="zh-CN" w:bidi="ar"/>
              </w:rPr>
              <w:t>）</w:t>
            </w:r>
          </w:p>
        </w:tc>
        <w:tc>
          <w:tcPr>
            <w:tcW w:w="1366" w:type="dxa"/>
            <w:vMerge w:val="restart"/>
            <w:tcBorders>
              <w:top w:val="single" w:color="auto" w:sz="4" w:space="0"/>
              <w:left w:val="nil"/>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B</w:t>
            </w:r>
            <w:r>
              <w:rPr>
                <w:rFonts w:hint="eastAsia" w:ascii="Times New Roman" w:hAnsi="Times New Roman" w:eastAsia="仿宋" w:cs="Times New Roman"/>
                <w:color w:val="auto"/>
                <w:kern w:val="0"/>
                <w:sz w:val="22"/>
                <w:szCs w:val="22"/>
                <w:highlight w:val="none"/>
                <w:lang w:val="en-US" w:eastAsia="zh-CN" w:bidi="ar"/>
              </w:rPr>
              <w:t>1</w:t>
            </w:r>
            <w:r>
              <w:rPr>
                <w:rFonts w:hint="default" w:ascii="Times New Roman" w:hAnsi="Times New Roman" w:eastAsia="仿宋" w:cs="Times New Roman"/>
                <w:color w:val="auto"/>
                <w:kern w:val="0"/>
                <w:sz w:val="22"/>
                <w:szCs w:val="22"/>
                <w:highlight w:val="none"/>
                <w:lang w:bidi="ar"/>
              </w:rPr>
              <w:t xml:space="preserve"> </w:t>
            </w:r>
            <w:r>
              <w:rPr>
                <w:rFonts w:hint="eastAsia" w:ascii="Times New Roman" w:hAnsi="Times New Roman" w:eastAsia="仿宋" w:cs="Times New Roman"/>
                <w:color w:val="auto"/>
                <w:kern w:val="0"/>
                <w:sz w:val="22"/>
                <w:szCs w:val="22"/>
                <w:highlight w:val="none"/>
                <w:lang w:val="en-US" w:eastAsia="zh-CN" w:bidi="ar"/>
              </w:rPr>
              <w:t>资金</w:t>
            </w:r>
            <w:r>
              <w:rPr>
                <w:rFonts w:hint="default" w:ascii="Times New Roman" w:hAnsi="Times New Roman" w:eastAsia="仿宋" w:cs="Times New Roman"/>
                <w:color w:val="auto"/>
                <w:kern w:val="0"/>
                <w:sz w:val="22"/>
                <w:szCs w:val="22"/>
                <w:highlight w:val="none"/>
                <w:lang w:bidi="ar"/>
              </w:rPr>
              <w:t>管理（</w:t>
            </w:r>
            <w:r>
              <w:rPr>
                <w:rFonts w:hint="eastAsia" w:ascii="Times New Roman" w:hAnsi="Times New Roman" w:eastAsia="仿宋" w:cs="Times New Roman"/>
                <w:color w:val="auto"/>
                <w:kern w:val="0"/>
                <w:sz w:val="22"/>
                <w:szCs w:val="22"/>
                <w:highlight w:val="none"/>
                <w:lang w:val="en-US" w:eastAsia="zh-CN" w:bidi="ar"/>
              </w:rPr>
              <w:t>10</w:t>
            </w:r>
            <w:r>
              <w:rPr>
                <w:rFonts w:hint="default" w:ascii="Times New Roman" w:hAnsi="Times New Roman" w:eastAsia="仿宋" w:cs="Times New Roman"/>
                <w:color w:val="auto"/>
                <w:kern w:val="0"/>
                <w:sz w:val="22"/>
                <w:szCs w:val="22"/>
                <w:highlight w:val="none"/>
                <w:lang w:bidi="ar"/>
              </w:rPr>
              <w:t>）</w:t>
            </w:r>
          </w:p>
        </w:tc>
        <w:tc>
          <w:tcPr>
            <w:tcW w:w="1224"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B</w:t>
            </w:r>
            <w:r>
              <w:rPr>
                <w:rFonts w:hint="eastAsia" w:ascii="Times New Roman" w:hAnsi="Times New Roman" w:eastAsia="仿宋" w:cs="Times New Roman"/>
                <w:color w:val="auto"/>
                <w:kern w:val="0"/>
                <w:sz w:val="22"/>
                <w:szCs w:val="22"/>
                <w:highlight w:val="none"/>
                <w:lang w:val="en-US" w:eastAsia="zh-CN" w:bidi="ar"/>
              </w:rPr>
              <w:t>1</w:t>
            </w:r>
            <w:r>
              <w:rPr>
                <w:rFonts w:hint="default" w:ascii="Times New Roman" w:hAnsi="Times New Roman" w:eastAsia="仿宋" w:cs="Times New Roman"/>
                <w:color w:val="auto"/>
                <w:kern w:val="0"/>
                <w:sz w:val="22"/>
                <w:szCs w:val="22"/>
                <w:highlight w:val="none"/>
                <w:lang w:bidi="ar"/>
              </w:rPr>
              <w:t xml:space="preserve">01 </w:t>
            </w:r>
            <w:r>
              <w:rPr>
                <w:rFonts w:hint="eastAsia" w:ascii="Times New Roman" w:hAnsi="Times New Roman" w:eastAsia="仿宋" w:cs="Times New Roman"/>
                <w:color w:val="auto"/>
                <w:kern w:val="0"/>
                <w:sz w:val="22"/>
                <w:szCs w:val="22"/>
                <w:highlight w:val="none"/>
                <w:lang w:bidi="ar"/>
              </w:rPr>
              <w:t>资金到位率</w:t>
            </w:r>
          </w:p>
        </w:tc>
        <w:tc>
          <w:tcPr>
            <w:tcW w:w="672"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eastAsia" w:ascii="Times New Roman" w:hAnsi="Times New Roman" w:eastAsia="仿宋" w:cs="Times New Roman"/>
                <w:color w:val="auto"/>
                <w:kern w:val="0"/>
                <w:sz w:val="22"/>
                <w:szCs w:val="22"/>
                <w:highlight w:val="none"/>
                <w:lang w:eastAsia="zh-CN" w:bidi="ar"/>
              </w:rPr>
            </w:pPr>
            <w:r>
              <w:rPr>
                <w:rFonts w:hint="eastAsia" w:ascii="Times New Roman" w:hAnsi="Times New Roman" w:eastAsia="仿宋" w:cs="Times New Roman"/>
                <w:color w:val="auto"/>
                <w:kern w:val="0"/>
                <w:sz w:val="22"/>
                <w:szCs w:val="22"/>
                <w:highlight w:val="none"/>
                <w:lang w:val="en-US" w:eastAsia="zh-CN" w:bidi="ar"/>
              </w:rPr>
              <w:t>4</w:t>
            </w:r>
          </w:p>
        </w:tc>
        <w:tc>
          <w:tcPr>
            <w:tcW w:w="1256"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反映项目预算资金的实际</w:t>
            </w:r>
            <w:r>
              <w:rPr>
                <w:rFonts w:hint="eastAsia" w:ascii="Times New Roman" w:hAnsi="Times New Roman" w:eastAsia="仿宋" w:cs="Times New Roman"/>
                <w:color w:val="auto"/>
                <w:kern w:val="0"/>
                <w:sz w:val="22"/>
                <w:szCs w:val="22"/>
                <w:highlight w:val="none"/>
                <w:lang w:val="en-US" w:eastAsia="zh-CN" w:bidi="ar"/>
              </w:rPr>
              <w:t>到位</w:t>
            </w:r>
            <w:r>
              <w:rPr>
                <w:rFonts w:hint="default" w:ascii="Times New Roman" w:hAnsi="Times New Roman" w:eastAsia="仿宋" w:cs="Times New Roman"/>
                <w:color w:val="auto"/>
                <w:kern w:val="0"/>
                <w:sz w:val="22"/>
                <w:szCs w:val="22"/>
                <w:highlight w:val="none"/>
                <w:lang w:bidi="ar"/>
              </w:rPr>
              <w:t>情况；</w:t>
            </w:r>
            <w:r>
              <w:rPr>
                <w:rFonts w:hint="eastAsia" w:ascii="Times New Roman" w:hAnsi="Times New Roman" w:eastAsia="仿宋" w:cs="Times New Roman"/>
                <w:color w:val="auto"/>
                <w:kern w:val="0"/>
                <w:sz w:val="22"/>
                <w:szCs w:val="22"/>
                <w:highlight w:val="none"/>
                <w:lang w:val="en-US" w:eastAsia="zh-CN" w:bidi="ar"/>
              </w:rPr>
              <w:t>资金到位</w:t>
            </w:r>
            <w:r>
              <w:rPr>
                <w:rFonts w:hint="default" w:ascii="Times New Roman" w:hAnsi="Times New Roman" w:eastAsia="仿宋" w:cs="Times New Roman"/>
                <w:color w:val="auto"/>
                <w:kern w:val="0"/>
                <w:sz w:val="22"/>
                <w:szCs w:val="22"/>
                <w:highlight w:val="none"/>
                <w:lang w:bidi="ar"/>
              </w:rPr>
              <w:t>率=实际</w:t>
            </w:r>
            <w:r>
              <w:rPr>
                <w:rFonts w:hint="eastAsia" w:ascii="Times New Roman" w:hAnsi="Times New Roman" w:eastAsia="仿宋" w:cs="Times New Roman"/>
                <w:color w:val="auto"/>
                <w:kern w:val="0"/>
                <w:sz w:val="22"/>
                <w:szCs w:val="22"/>
                <w:highlight w:val="none"/>
                <w:lang w:val="en-US" w:eastAsia="zh-CN" w:bidi="ar"/>
              </w:rPr>
              <w:t>到位</w:t>
            </w:r>
            <w:r>
              <w:rPr>
                <w:rFonts w:hint="default" w:ascii="Times New Roman" w:hAnsi="Times New Roman" w:eastAsia="仿宋" w:cs="Times New Roman"/>
                <w:color w:val="auto"/>
                <w:kern w:val="0"/>
                <w:sz w:val="22"/>
                <w:szCs w:val="22"/>
                <w:highlight w:val="none"/>
                <w:lang w:bidi="ar"/>
              </w:rPr>
              <w:t>金额/预算批复金额×100%</w:t>
            </w:r>
          </w:p>
        </w:tc>
        <w:tc>
          <w:tcPr>
            <w:tcW w:w="933"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100%</w:t>
            </w:r>
          </w:p>
        </w:tc>
        <w:tc>
          <w:tcPr>
            <w:tcW w:w="1172"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通用标准</w:t>
            </w:r>
          </w:p>
        </w:tc>
        <w:tc>
          <w:tcPr>
            <w:tcW w:w="2305" w:type="dxa"/>
            <w:tcBorders>
              <w:top w:val="single" w:color="auto"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kern w:val="0"/>
                <w:sz w:val="22"/>
                <w:szCs w:val="22"/>
                <w:highlight w:val="none"/>
                <w:lang w:bidi="ar"/>
              </w:rPr>
            </w:pPr>
            <w:r>
              <w:rPr>
                <w:rFonts w:hint="eastAsia" w:ascii="Times New Roman" w:hAnsi="Times New Roman" w:eastAsia="仿宋" w:cs="Times New Roman"/>
                <w:color w:val="auto"/>
                <w:kern w:val="0"/>
                <w:sz w:val="22"/>
                <w:szCs w:val="22"/>
                <w:highlight w:val="none"/>
                <w:lang w:val="en-US" w:eastAsia="zh-CN" w:bidi="ar"/>
              </w:rPr>
              <w:t>资金到位</w:t>
            </w:r>
            <w:r>
              <w:rPr>
                <w:rFonts w:hint="default" w:ascii="Times New Roman" w:hAnsi="Times New Roman" w:eastAsia="仿宋" w:cs="Times New Roman"/>
                <w:color w:val="auto"/>
                <w:kern w:val="0"/>
                <w:sz w:val="22"/>
                <w:szCs w:val="22"/>
                <w:highlight w:val="none"/>
                <w:lang w:bidi="ar"/>
              </w:rPr>
              <w:t>率达100%则得满分，低于则每降低1%扣相应权重的5%，扣完为止。</w:t>
            </w:r>
          </w:p>
        </w:tc>
        <w:tc>
          <w:tcPr>
            <w:tcW w:w="2020" w:type="dxa"/>
            <w:tcBorders>
              <w:top w:val="single" w:color="auto"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本项目总投资90.78万元，财政资金及时足额到位，到位</w:t>
            </w:r>
            <w:r>
              <w:rPr>
                <w:rFonts w:hint="eastAsia" w:ascii="Times New Roman" w:hAnsi="Times New Roman" w:eastAsia="仿宋" w:cs="Times New Roman"/>
                <w:color w:val="auto"/>
                <w:kern w:val="0"/>
                <w:sz w:val="22"/>
                <w:szCs w:val="22"/>
                <w:highlight w:val="none"/>
                <w:lang w:val="en-US" w:eastAsia="zh-CN" w:bidi="ar"/>
              </w:rPr>
              <w:t>率</w:t>
            </w:r>
            <w:r>
              <w:rPr>
                <w:rFonts w:hint="default" w:ascii="Times New Roman" w:hAnsi="Times New Roman" w:eastAsia="仿宋" w:cs="Times New Roman"/>
                <w:color w:val="auto"/>
                <w:kern w:val="0"/>
                <w:sz w:val="22"/>
                <w:szCs w:val="22"/>
                <w:highlight w:val="none"/>
                <w:lang w:val="en-US" w:eastAsia="zh-CN" w:bidi="ar"/>
              </w:rPr>
              <w:t>100%，预算资金按计划进度执行。该指标分值</w:t>
            </w:r>
            <w:r>
              <w:rPr>
                <w:rFonts w:hint="eastAsia" w:ascii="Times New Roman" w:hAnsi="Times New Roman" w:eastAsia="仿宋" w:cs="Times New Roman"/>
                <w:color w:val="auto"/>
                <w:kern w:val="0"/>
                <w:sz w:val="22"/>
                <w:szCs w:val="22"/>
                <w:highlight w:val="none"/>
                <w:lang w:val="en-US" w:eastAsia="zh-CN" w:bidi="ar"/>
              </w:rPr>
              <w:t>3</w:t>
            </w:r>
            <w:r>
              <w:rPr>
                <w:rFonts w:hint="default" w:ascii="Times New Roman" w:hAnsi="Times New Roman" w:eastAsia="仿宋" w:cs="Times New Roman"/>
                <w:color w:val="auto"/>
                <w:kern w:val="0"/>
                <w:sz w:val="22"/>
                <w:szCs w:val="22"/>
                <w:highlight w:val="none"/>
                <w:lang w:val="en-US" w:eastAsia="zh-CN" w:bidi="ar"/>
              </w:rPr>
              <w:t>分，得</w:t>
            </w:r>
            <w:r>
              <w:rPr>
                <w:rFonts w:hint="eastAsia" w:ascii="Times New Roman" w:hAnsi="Times New Roman" w:eastAsia="仿宋" w:cs="Times New Roman"/>
                <w:color w:val="auto"/>
                <w:kern w:val="0"/>
                <w:sz w:val="22"/>
                <w:szCs w:val="22"/>
                <w:highlight w:val="none"/>
                <w:lang w:val="en-US" w:eastAsia="zh-CN" w:bidi="ar"/>
              </w:rPr>
              <w:t>3</w:t>
            </w:r>
            <w:r>
              <w:rPr>
                <w:rFonts w:hint="default" w:ascii="Times New Roman" w:hAnsi="Times New Roman" w:eastAsia="仿宋" w:cs="Times New Roman"/>
                <w:color w:val="auto"/>
                <w:kern w:val="0"/>
                <w:sz w:val="22"/>
                <w:szCs w:val="22"/>
                <w:highlight w:val="none"/>
                <w:lang w:val="en-US" w:eastAsia="zh-CN" w:bidi="ar"/>
              </w:rPr>
              <w:t>分</w:t>
            </w:r>
            <w:r>
              <w:rPr>
                <w:rFonts w:hint="eastAsia" w:ascii="Times New Roman" w:hAnsi="Times New Roman" w:eastAsia="仿宋" w:cs="Times New Roman"/>
                <w:color w:val="auto"/>
                <w:kern w:val="0"/>
                <w:sz w:val="22"/>
                <w:szCs w:val="22"/>
                <w:highlight w:val="none"/>
                <w:lang w:val="en-US" w:eastAsia="zh-CN" w:bidi="ar"/>
              </w:rPr>
              <w:t>。</w:t>
            </w:r>
          </w:p>
        </w:tc>
        <w:tc>
          <w:tcPr>
            <w:tcW w:w="766"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4</w:t>
            </w:r>
          </w:p>
        </w:tc>
        <w:tc>
          <w:tcPr>
            <w:tcW w:w="1076"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100%</w:t>
            </w:r>
          </w:p>
        </w:tc>
      </w:tr>
      <w:tr>
        <w:tblPrEx>
          <w:tblCellMar>
            <w:top w:w="0" w:type="dxa"/>
            <w:left w:w="0" w:type="dxa"/>
            <w:bottom w:w="0" w:type="dxa"/>
            <w:right w:w="0" w:type="dxa"/>
          </w:tblCellMar>
        </w:tblPrEx>
        <w:trPr>
          <w:trHeight w:val="340" w:hRule="atLeast"/>
          <w:jc w:val="center"/>
        </w:trPr>
        <w:tc>
          <w:tcPr>
            <w:tcW w:w="1198" w:type="dxa"/>
            <w:vMerge w:val="continue"/>
            <w:tcBorders>
              <w:left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auto"/>
                <w:kern w:val="0"/>
                <w:sz w:val="22"/>
                <w:szCs w:val="22"/>
                <w:highlight w:val="none"/>
                <w:lang w:val="en-US" w:eastAsia="zh-CN" w:bidi="ar"/>
              </w:rPr>
            </w:pPr>
          </w:p>
        </w:tc>
        <w:tc>
          <w:tcPr>
            <w:tcW w:w="1366" w:type="dxa"/>
            <w:vMerge w:val="continue"/>
            <w:tcBorders>
              <w:left w:val="nil"/>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bidi="ar"/>
              </w:rPr>
            </w:pPr>
          </w:p>
        </w:tc>
        <w:tc>
          <w:tcPr>
            <w:tcW w:w="1224"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B</w:t>
            </w:r>
            <w:r>
              <w:rPr>
                <w:rFonts w:hint="eastAsia" w:ascii="Times New Roman" w:hAnsi="Times New Roman" w:eastAsia="仿宋" w:cs="Times New Roman"/>
                <w:color w:val="auto"/>
                <w:kern w:val="0"/>
                <w:sz w:val="22"/>
                <w:szCs w:val="22"/>
                <w:highlight w:val="none"/>
                <w:lang w:val="en-US" w:eastAsia="zh-CN" w:bidi="ar"/>
              </w:rPr>
              <w:t>102</w:t>
            </w:r>
            <w:r>
              <w:rPr>
                <w:rFonts w:hint="default" w:ascii="Times New Roman" w:hAnsi="Times New Roman" w:eastAsia="仿宋" w:cs="Times New Roman"/>
                <w:color w:val="auto"/>
                <w:kern w:val="0"/>
                <w:sz w:val="22"/>
                <w:szCs w:val="22"/>
                <w:highlight w:val="none"/>
                <w:lang w:val="en-US" w:eastAsia="zh-CN" w:bidi="ar"/>
              </w:rPr>
              <w:t>预算执行率</w:t>
            </w:r>
          </w:p>
        </w:tc>
        <w:tc>
          <w:tcPr>
            <w:tcW w:w="672"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eastAsia"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3</w:t>
            </w:r>
          </w:p>
        </w:tc>
        <w:tc>
          <w:tcPr>
            <w:tcW w:w="1256"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反映项目预算资金的实际执行情况；预算执行率=实际支出金额/预算批复金额×100%</w:t>
            </w:r>
          </w:p>
        </w:tc>
        <w:tc>
          <w:tcPr>
            <w:tcW w:w="933"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100%</w:t>
            </w:r>
          </w:p>
        </w:tc>
        <w:tc>
          <w:tcPr>
            <w:tcW w:w="1172"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通用标准</w:t>
            </w:r>
          </w:p>
        </w:tc>
        <w:tc>
          <w:tcPr>
            <w:tcW w:w="2305" w:type="dxa"/>
            <w:tcBorders>
              <w:top w:val="single" w:color="auto"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预算执行率达100%则得满分，低于则每降低1%扣相应权重的5%，扣完为止。</w:t>
            </w:r>
          </w:p>
        </w:tc>
        <w:tc>
          <w:tcPr>
            <w:tcW w:w="2020" w:type="dxa"/>
            <w:tcBorders>
              <w:top w:val="single" w:color="auto"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预算编制较为详细，项目资金支出总体能够按照预算执行，预算资金支出90.78万元，预算执行率为100%。该指标分值</w:t>
            </w:r>
            <w:r>
              <w:rPr>
                <w:rFonts w:hint="eastAsia" w:ascii="Times New Roman" w:hAnsi="Times New Roman" w:eastAsia="仿宋" w:cs="Times New Roman"/>
                <w:color w:val="auto"/>
                <w:kern w:val="0"/>
                <w:sz w:val="22"/>
                <w:szCs w:val="22"/>
                <w:highlight w:val="none"/>
                <w:lang w:val="en-US" w:eastAsia="zh-CN" w:bidi="ar"/>
              </w:rPr>
              <w:t>3</w:t>
            </w:r>
            <w:r>
              <w:rPr>
                <w:rFonts w:hint="default" w:ascii="Times New Roman" w:hAnsi="Times New Roman" w:eastAsia="仿宋" w:cs="Times New Roman"/>
                <w:color w:val="auto"/>
                <w:kern w:val="0"/>
                <w:sz w:val="22"/>
                <w:szCs w:val="22"/>
                <w:highlight w:val="none"/>
                <w:lang w:val="en-US" w:eastAsia="zh-CN" w:bidi="ar"/>
              </w:rPr>
              <w:t>分，得</w:t>
            </w:r>
            <w:r>
              <w:rPr>
                <w:rFonts w:hint="eastAsia" w:ascii="Times New Roman" w:hAnsi="Times New Roman" w:eastAsia="仿宋" w:cs="Times New Roman"/>
                <w:color w:val="auto"/>
                <w:kern w:val="0"/>
                <w:sz w:val="22"/>
                <w:szCs w:val="22"/>
                <w:highlight w:val="none"/>
                <w:lang w:val="en-US" w:eastAsia="zh-CN" w:bidi="ar"/>
              </w:rPr>
              <w:t>3</w:t>
            </w:r>
            <w:r>
              <w:rPr>
                <w:rFonts w:hint="default" w:ascii="Times New Roman" w:hAnsi="Times New Roman" w:eastAsia="仿宋" w:cs="Times New Roman"/>
                <w:color w:val="auto"/>
                <w:kern w:val="0"/>
                <w:sz w:val="22"/>
                <w:szCs w:val="22"/>
                <w:highlight w:val="none"/>
                <w:lang w:val="en-US" w:eastAsia="zh-CN" w:bidi="ar"/>
              </w:rPr>
              <w:t>分。</w:t>
            </w:r>
          </w:p>
        </w:tc>
        <w:tc>
          <w:tcPr>
            <w:tcW w:w="766"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3</w:t>
            </w:r>
          </w:p>
        </w:tc>
        <w:tc>
          <w:tcPr>
            <w:tcW w:w="1076"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100%</w:t>
            </w:r>
          </w:p>
        </w:tc>
      </w:tr>
      <w:tr>
        <w:tblPrEx>
          <w:tblCellMar>
            <w:top w:w="0" w:type="dxa"/>
            <w:left w:w="0" w:type="dxa"/>
            <w:bottom w:w="0" w:type="dxa"/>
            <w:right w:w="0" w:type="dxa"/>
          </w:tblCellMar>
        </w:tblPrEx>
        <w:trPr>
          <w:trHeight w:val="340" w:hRule="atLeast"/>
          <w:jc w:val="center"/>
        </w:trPr>
        <w:tc>
          <w:tcPr>
            <w:tcW w:w="1198" w:type="dxa"/>
            <w:vMerge w:val="continue"/>
            <w:tcBorders>
              <w:left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auto"/>
                <w:kern w:val="0"/>
                <w:sz w:val="22"/>
                <w:szCs w:val="22"/>
                <w:highlight w:val="none"/>
                <w:lang w:val="en-US" w:eastAsia="zh-CN" w:bidi="ar"/>
              </w:rPr>
            </w:pPr>
          </w:p>
        </w:tc>
        <w:tc>
          <w:tcPr>
            <w:tcW w:w="1366" w:type="dxa"/>
            <w:vMerge w:val="continue"/>
            <w:tcBorders>
              <w:left w:val="nil"/>
              <w:bottom w:val="single" w:color="auto"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bidi="ar"/>
              </w:rPr>
            </w:pPr>
          </w:p>
        </w:tc>
        <w:tc>
          <w:tcPr>
            <w:tcW w:w="1224" w:type="dxa"/>
            <w:tcBorders>
              <w:top w:val="single" w:color="auto" w:sz="4" w:space="0"/>
              <w:left w:val="nil"/>
              <w:bottom w:val="single" w:color="auto" w:sz="4" w:space="0"/>
              <w:right w:val="single" w:color="000000"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B</w:t>
            </w:r>
            <w:r>
              <w:rPr>
                <w:rFonts w:hint="eastAsia" w:ascii="Times New Roman" w:hAnsi="Times New Roman" w:eastAsia="仿宋" w:cs="Times New Roman"/>
                <w:color w:val="auto"/>
                <w:kern w:val="0"/>
                <w:sz w:val="22"/>
                <w:szCs w:val="22"/>
                <w:highlight w:val="none"/>
                <w:lang w:val="en-US" w:eastAsia="zh-CN" w:bidi="ar"/>
              </w:rPr>
              <w:t>103资金使用合规性</w:t>
            </w:r>
          </w:p>
        </w:tc>
        <w:tc>
          <w:tcPr>
            <w:tcW w:w="672"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eastAsia"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3</w:t>
            </w:r>
          </w:p>
        </w:tc>
        <w:tc>
          <w:tcPr>
            <w:tcW w:w="1256"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反映项目资金使用是否合规</w:t>
            </w:r>
          </w:p>
        </w:tc>
        <w:tc>
          <w:tcPr>
            <w:tcW w:w="933"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bidi="ar"/>
              </w:rPr>
            </w:pPr>
            <w:r>
              <w:rPr>
                <w:rFonts w:hint="eastAsia" w:ascii="Times New Roman" w:hAnsi="Times New Roman" w:eastAsia="仿宋" w:cs="Times New Roman"/>
                <w:color w:val="auto"/>
                <w:kern w:val="0"/>
                <w:sz w:val="22"/>
                <w:szCs w:val="22"/>
                <w:highlight w:val="none"/>
                <w:lang w:val="en-US" w:eastAsia="zh-CN" w:bidi="ar"/>
              </w:rPr>
              <w:t>合规</w:t>
            </w:r>
          </w:p>
        </w:tc>
        <w:tc>
          <w:tcPr>
            <w:tcW w:w="1172"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both"/>
              <w:textAlignment w:val="center"/>
              <w:rPr>
                <w:rFonts w:hint="default" w:ascii="Times New Roman" w:hAnsi="Times New Roman" w:eastAsia="仿宋" w:cs="Times New Roman"/>
                <w:color w:val="auto"/>
                <w:kern w:val="0"/>
                <w:sz w:val="22"/>
                <w:szCs w:val="22"/>
                <w:highlight w:val="none"/>
                <w:lang w:val="en-US" w:bidi="ar"/>
              </w:rPr>
            </w:pPr>
            <w:r>
              <w:rPr>
                <w:rFonts w:hint="default" w:ascii="Times New Roman" w:hAnsi="Times New Roman" w:eastAsia="仿宋" w:cs="Times New Roman"/>
                <w:color w:val="auto"/>
                <w:kern w:val="0"/>
                <w:sz w:val="22"/>
                <w:szCs w:val="22"/>
                <w:highlight w:val="none"/>
                <w:lang w:val="en-US" w:bidi="ar"/>
              </w:rPr>
              <w:t>通用标准</w:t>
            </w:r>
          </w:p>
        </w:tc>
        <w:tc>
          <w:tcPr>
            <w:tcW w:w="2305" w:type="dxa"/>
            <w:tcBorders>
              <w:top w:val="single" w:color="auto"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bidi="ar"/>
              </w:rPr>
              <w:t>①是否符合国家财经法规和财务管理制度以及有关专项资金管理办法的规定；②资金的拨付是否有完整的审批程序和手续；③是否符合项目预算批复或合同规定的用途；④是否存在截留、挤占、挪用、虚列支出等情况。</w:t>
            </w:r>
            <w:r>
              <w:rPr>
                <w:rFonts w:hint="eastAsia" w:ascii="Times New Roman" w:hAnsi="Times New Roman" w:eastAsia="仿宋" w:cs="Times New Roman"/>
                <w:color w:val="auto"/>
                <w:kern w:val="0"/>
                <w:sz w:val="22"/>
                <w:szCs w:val="22"/>
                <w:highlight w:val="none"/>
                <w:lang w:val="en-US" w:eastAsia="zh-CN" w:bidi="ar"/>
              </w:rPr>
              <w:t>以上四项均符合得满分，否则不得分。</w:t>
            </w:r>
          </w:p>
        </w:tc>
        <w:tc>
          <w:tcPr>
            <w:tcW w:w="2020" w:type="dxa"/>
            <w:tcBorders>
              <w:top w:val="single" w:color="auto"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本项目的资金使用严格遵循了国家相关法律法规与财务制度，确保了资金的合规性与安全性。为项目的绩效评价奠定了坚实的基础。该指标分值</w:t>
            </w:r>
            <w:r>
              <w:rPr>
                <w:rFonts w:hint="eastAsia" w:ascii="Times New Roman" w:hAnsi="Times New Roman" w:eastAsia="仿宋" w:cs="Times New Roman"/>
                <w:color w:val="auto"/>
                <w:kern w:val="0"/>
                <w:sz w:val="22"/>
                <w:szCs w:val="22"/>
                <w:highlight w:val="none"/>
                <w:lang w:val="en-US" w:eastAsia="zh-CN" w:bidi="ar"/>
              </w:rPr>
              <w:t>3</w:t>
            </w:r>
            <w:r>
              <w:rPr>
                <w:rFonts w:hint="default" w:ascii="Times New Roman" w:hAnsi="Times New Roman" w:eastAsia="仿宋" w:cs="Times New Roman"/>
                <w:color w:val="auto"/>
                <w:kern w:val="0"/>
                <w:sz w:val="22"/>
                <w:szCs w:val="22"/>
                <w:highlight w:val="none"/>
                <w:lang w:val="en-US" w:eastAsia="zh-CN" w:bidi="ar"/>
              </w:rPr>
              <w:t>分，得</w:t>
            </w:r>
            <w:r>
              <w:rPr>
                <w:rFonts w:hint="eastAsia" w:ascii="Times New Roman" w:hAnsi="Times New Roman" w:eastAsia="仿宋" w:cs="Times New Roman"/>
                <w:color w:val="auto"/>
                <w:kern w:val="0"/>
                <w:sz w:val="22"/>
                <w:szCs w:val="22"/>
                <w:highlight w:val="none"/>
                <w:lang w:val="en-US" w:eastAsia="zh-CN" w:bidi="ar"/>
              </w:rPr>
              <w:t>3</w:t>
            </w:r>
            <w:r>
              <w:rPr>
                <w:rFonts w:hint="default" w:ascii="Times New Roman" w:hAnsi="Times New Roman" w:eastAsia="仿宋" w:cs="Times New Roman"/>
                <w:color w:val="auto"/>
                <w:kern w:val="0"/>
                <w:sz w:val="22"/>
                <w:szCs w:val="22"/>
                <w:highlight w:val="none"/>
                <w:lang w:val="en-US" w:eastAsia="zh-CN" w:bidi="ar"/>
              </w:rPr>
              <w:t>分。</w:t>
            </w:r>
          </w:p>
          <w:p>
            <w:pPr>
              <w:widowControl/>
              <w:autoSpaceDE w:val="0"/>
              <w:jc w:val="both"/>
              <w:textAlignment w:val="center"/>
              <w:rPr>
                <w:rFonts w:hint="default" w:ascii="Times New Roman" w:hAnsi="Times New Roman" w:eastAsia="仿宋" w:cs="Times New Roman"/>
                <w:color w:val="auto"/>
                <w:kern w:val="0"/>
                <w:sz w:val="22"/>
                <w:szCs w:val="22"/>
                <w:highlight w:val="none"/>
                <w:lang w:val="en-US" w:eastAsia="zh-CN" w:bidi="ar"/>
              </w:rPr>
            </w:pPr>
          </w:p>
        </w:tc>
        <w:tc>
          <w:tcPr>
            <w:tcW w:w="766"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3</w:t>
            </w:r>
          </w:p>
        </w:tc>
        <w:tc>
          <w:tcPr>
            <w:tcW w:w="1076"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100%</w:t>
            </w:r>
          </w:p>
        </w:tc>
      </w:tr>
      <w:tr>
        <w:tblPrEx>
          <w:tblCellMar>
            <w:top w:w="0" w:type="dxa"/>
            <w:left w:w="0" w:type="dxa"/>
            <w:bottom w:w="0" w:type="dxa"/>
            <w:right w:w="0" w:type="dxa"/>
          </w:tblCellMar>
        </w:tblPrEx>
        <w:trPr>
          <w:trHeight w:val="340" w:hRule="atLeast"/>
          <w:jc w:val="center"/>
        </w:trPr>
        <w:tc>
          <w:tcPr>
            <w:tcW w:w="1198" w:type="dxa"/>
            <w:vMerge w:val="continue"/>
            <w:tcBorders>
              <w:left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仿宋" w:cs="Times New Roman"/>
                <w:color w:val="auto"/>
                <w:kern w:val="0"/>
                <w:sz w:val="22"/>
                <w:szCs w:val="22"/>
                <w:highlight w:val="none"/>
                <w:lang w:val="en-US" w:eastAsia="zh-CN" w:bidi="ar"/>
              </w:rPr>
            </w:pPr>
          </w:p>
        </w:tc>
        <w:tc>
          <w:tcPr>
            <w:tcW w:w="136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 xml:space="preserve">B2 </w:t>
            </w:r>
            <w:r>
              <w:rPr>
                <w:rFonts w:hint="eastAsia" w:ascii="Times New Roman" w:hAnsi="Times New Roman" w:eastAsia="仿宋" w:cs="Times New Roman"/>
                <w:color w:val="auto"/>
                <w:kern w:val="0"/>
                <w:sz w:val="22"/>
                <w:szCs w:val="22"/>
                <w:highlight w:val="none"/>
                <w:lang w:val="en-US" w:eastAsia="zh-CN" w:bidi="ar"/>
              </w:rPr>
              <w:t>组织实施</w:t>
            </w:r>
            <w:r>
              <w:rPr>
                <w:rFonts w:hint="default" w:ascii="Times New Roman" w:hAnsi="Times New Roman" w:eastAsia="仿宋" w:cs="Times New Roman"/>
                <w:color w:val="auto"/>
                <w:kern w:val="0"/>
                <w:sz w:val="22"/>
                <w:szCs w:val="22"/>
                <w:highlight w:val="none"/>
                <w:lang w:bidi="ar"/>
              </w:rPr>
              <w:t>（</w:t>
            </w:r>
            <w:r>
              <w:rPr>
                <w:rFonts w:hint="eastAsia" w:ascii="Times New Roman" w:hAnsi="Times New Roman" w:eastAsia="仿宋" w:cs="Times New Roman"/>
                <w:color w:val="auto"/>
                <w:kern w:val="0"/>
                <w:sz w:val="22"/>
                <w:szCs w:val="22"/>
                <w:highlight w:val="none"/>
                <w:lang w:val="en-US" w:eastAsia="zh-CN" w:bidi="ar"/>
              </w:rPr>
              <w:t>10</w:t>
            </w:r>
            <w:r>
              <w:rPr>
                <w:rFonts w:hint="default" w:ascii="Times New Roman" w:hAnsi="Times New Roman" w:eastAsia="仿宋" w:cs="Times New Roman"/>
                <w:color w:val="auto"/>
                <w:kern w:val="0"/>
                <w:sz w:val="22"/>
                <w:szCs w:val="22"/>
                <w:highlight w:val="none"/>
                <w:lang w:bidi="ar"/>
              </w:rPr>
              <w:t>）</w:t>
            </w:r>
          </w:p>
        </w:tc>
        <w:tc>
          <w:tcPr>
            <w:tcW w:w="12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B</w:t>
            </w:r>
            <w:r>
              <w:rPr>
                <w:rFonts w:hint="eastAsia" w:ascii="Times New Roman" w:hAnsi="Times New Roman" w:eastAsia="仿宋" w:cs="Times New Roman"/>
                <w:color w:val="auto"/>
                <w:kern w:val="0"/>
                <w:sz w:val="22"/>
                <w:szCs w:val="22"/>
                <w:highlight w:val="none"/>
                <w:lang w:val="en-US" w:eastAsia="zh-CN" w:bidi="ar"/>
              </w:rPr>
              <w:t>2</w:t>
            </w:r>
            <w:r>
              <w:rPr>
                <w:rFonts w:hint="default" w:ascii="Times New Roman" w:hAnsi="Times New Roman" w:eastAsia="仿宋" w:cs="Times New Roman"/>
                <w:color w:val="auto"/>
                <w:kern w:val="0"/>
                <w:sz w:val="22"/>
                <w:szCs w:val="22"/>
                <w:highlight w:val="none"/>
                <w:lang w:bidi="ar"/>
              </w:rPr>
              <w:t>01 管理制度健全性</w:t>
            </w:r>
          </w:p>
        </w:tc>
        <w:tc>
          <w:tcPr>
            <w:tcW w:w="67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eastAsia"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5</w:t>
            </w:r>
          </w:p>
        </w:tc>
        <w:tc>
          <w:tcPr>
            <w:tcW w:w="125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项目实施单位的业务管理制度是否健全，用以反映和考核业务管理制度对项目顺利实施的保障情况。</w:t>
            </w:r>
          </w:p>
        </w:tc>
        <w:tc>
          <w:tcPr>
            <w:tcW w:w="93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健全</w:t>
            </w:r>
          </w:p>
        </w:tc>
        <w:tc>
          <w:tcPr>
            <w:tcW w:w="117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通用标准</w:t>
            </w:r>
          </w:p>
        </w:tc>
        <w:tc>
          <w:tcPr>
            <w:tcW w:w="2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考察实施单位</w:t>
            </w:r>
            <w:r>
              <w:rPr>
                <w:rFonts w:hint="eastAsia" w:ascii="Times New Roman" w:hAnsi="Times New Roman" w:eastAsia="仿宋" w:cs="Times New Roman"/>
                <w:color w:val="auto"/>
                <w:kern w:val="0"/>
                <w:sz w:val="22"/>
                <w:szCs w:val="22"/>
                <w:highlight w:val="none"/>
                <w:lang w:bidi="ar"/>
              </w:rPr>
              <w:t>①是否已制定或具有相应的财务和业务管理制度；②财务和业务管理制度是否合法、合规、完整。</w:t>
            </w:r>
            <w:r>
              <w:rPr>
                <w:rFonts w:hint="default" w:ascii="Times New Roman" w:hAnsi="Times New Roman" w:eastAsia="仿宋" w:cs="Times New Roman"/>
                <w:color w:val="auto"/>
                <w:kern w:val="0"/>
                <w:sz w:val="22"/>
                <w:szCs w:val="22"/>
                <w:highlight w:val="none"/>
                <w:lang w:bidi="ar"/>
              </w:rPr>
              <w:t>以上两项各占50%的权重分，满足则得分，否则扣除对应权重分。</w:t>
            </w:r>
          </w:p>
        </w:tc>
        <w:tc>
          <w:tcPr>
            <w:tcW w:w="2020"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本项目拥有一套完善、健全的管理制度体系。项目管理制度的制定紧密结合了项目的特点与实际情况，涵盖了项目的策划、组织、实施、监控与收尾等各个环节。该指标分值</w:t>
            </w:r>
            <w:r>
              <w:rPr>
                <w:rFonts w:hint="eastAsia" w:ascii="Times New Roman" w:hAnsi="Times New Roman" w:eastAsia="仿宋" w:cs="Times New Roman"/>
                <w:color w:val="auto"/>
                <w:kern w:val="0"/>
                <w:sz w:val="22"/>
                <w:szCs w:val="22"/>
                <w:highlight w:val="none"/>
                <w:lang w:val="en-US" w:eastAsia="zh-CN" w:bidi="ar"/>
              </w:rPr>
              <w:t>3</w:t>
            </w:r>
            <w:r>
              <w:rPr>
                <w:rFonts w:hint="default" w:ascii="Times New Roman" w:hAnsi="Times New Roman" w:eastAsia="仿宋" w:cs="Times New Roman"/>
                <w:color w:val="auto"/>
                <w:kern w:val="0"/>
                <w:sz w:val="22"/>
                <w:szCs w:val="22"/>
                <w:highlight w:val="none"/>
                <w:lang w:val="en-US" w:eastAsia="zh-CN" w:bidi="ar"/>
              </w:rPr>
              <w:t>分，得</w:t>
            </w:r>
            <w:r>
              <w:rPr>
                <w:rFonts w:hint="eastAsia" w:ascii="Times New Roman" w:hAnsi="Times New Roman" w:eastAsia="仿宋" w:cs="Times New Roman"/>
                <w:color w:val="auto"/>
                <w:kern w:val="0"/>
                <w:sz w:val="22"/>
                <w:szCs w:val="22"/>
                <w:highlight w:val="none"/>
                <w:lang w:val="en-US" w:eastAsia="zh-CN" w:bidi="ar"/>
              </w:rPr>
              <w:t>3</w:t>
            </w:r>
            <w:r>
              <w:rPr>
                <w:rFonts w:hint="default" w:ascii="Times New Roman" w:hAnsi="Times New Roman" w:eastAsia="仿宋" w:cs="Times New Roman"/>
                <w:color w:val="auto"/>
                <w:kern w:val="0"/>
                <w:sz w:val="22"/>
                <w:szCs w:val="22"/>
                <w:highlight w:val="none"/>
                <w:lang w:val="en-US" w:eastAsia="zh-CN" w:bidi="ar"/>
              </w:rPr>
              <w:t>分。</w:t>
            </w:r>
          </w:p>
        </w:tc>
        <w:tc>
          <w:tcPr>
            <w:tcW w:w="7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2"/>
                <w:sz w:val="22"/>
                <w:szCs w:val="22"/>
                <w:highlight w:val="none"/>
                <w:lang w:val="en-US" w:eastAsia="zh-CN" w:bidi="ar-SA"/>
              </w:rPr>
            </w:pPr>
            <w:r>
              <w:rPr>
                <w:rFonts w:hint="eastAsia" w:ascii="Times New Roman" w:hAnsi="Times New Roman" w:eastAsia="仿宋" w:cs="Times New Roman"/>
                <w:color w:val="auto"/>
                <w:kern w:val="2"/>
                <w:sz w:val="22"/>
                <w:szCs w:val="22"/>
                <w:highlight w:val="none"/>
                <w:lang w:val="en-US" w:eastAsia="zh-CN" w:bidi="ar-SA"/>
              </w:rPr>
              <w:t>5</w:t>
            </w:r>
          </w:p>
        </w:tc>
        <w:tc>
          <w:tcPr>
            <w:tcW w:w="1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2"/>
                <w:sz w:val="22"/>
                <w:szCs w:val="22"/>
                <w:highlight w:val="none"/>
                <w:lang w:val="en-US" w:eastAsia="zh-CN" w:bidi="ar-SA"/>
              </w:rPr>
            </w:pPr>
            <w:r>
              <w:rPr>
                <w:rFonts w:hint="eastAsia" w:ascii="Times New Roman" w:hAnsi="Times New Roman" w:eastAsia="仿宋" w:cs="Times New Roman"/>
                <w:color w:val="auto"/>
                <w:kern w:val="2"/>
                <w:sz w:val="22"/>
                <w:szCs w:val="22"/>
                <w:highlight w:val="none"/>
                <w:lang w:val="en-US" w:eastAsia="zh-CN" w:bidi="ar-SA"/>
              </w:rPr>
              <w:t>100%</w:t>
            </w:r>
          </w:p>
        </w:tc>
      </w:tr>
      <w:tr>
        <w:tblPrEx>
          <w:tblCellMar>
            <w:top w:w="0" w:type="dxa"/>
            <w:left w:w="0" w:type="dxa"/>
            <w:bottom w:w="0" w:type="dxa"/>
            <w:right w:w="0" w:type="dxa"/>
          </w:tblCellMar>
        </w:tblPrEx>
        <w:trPr>
          <w:trHeight w:val="340" w:hRule="atLeast"/>
          <w:jc w:val="center"/>
        </w:trPr>
        <w:tc>
          <w:tcPr>
            <w:tcW w:w="1198"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仿宋" w:cs="Times New Roman"/>
                <w:color w:val="auto"/>
                <w:kern w:val="0"/>
                <w:sz w:val="22"/>
                <w:szCs w:val="22"/>
                <w:highlight w:val="none"/>
                <w:lang w:val="en-US" w:eastAsia="zh-CN" w:bidi="ar"/>
              </w:rPr>
            </w:pPr>
          </w:p>
        </w:tc>
        <w:tc>
          <w:tcPr>
            <w:tcW w:w="136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bidi="ar"/>
              </w:rPr>
            </w:pPr>
          </w:p>
        </w:tc>
        <w:tc>
          <w:tcPr>
            <w:tcW w:w="12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B</w:t>
            </w:r>
            <w:r>
              <w:rPr>
                <w:rFonts w:hint="eastAsia" w:ascii="Times New Roman" w:hAnsi="Times New Roman" w:eastAsia="仿宋" w:cs="Times New Roman"/>
                <w:color w:val="auto"/>
                <w:kern w:val="0"/>
                <w:sz w:val="22"/>
                <w:szCs w:val="22"/>
                <w:highlight w:val="none"/>
                <w:lang w:val="en-US" w:eastAsia="zh-CN" w:bidi="ar"/>
              </w:rPr>
              <w:t>2</w:t>
            </w:r>
            <w:r>
              <w:rPr>
                <w:rFonts w:hint="default" w:ascii="Times New Roman" w:hAnsi="Times New Roman" w:eastAsia="仿宋" w:cs="Times New Roman"/>
                <w:color w:val="auto"/>
                <w:kern w:val="0"/>
                <w:sz w:val="22"/>
                <w:szCs w:val="22"/>
                <w:highlight w:val="none"/>
                <w:lang w:bidi="ar"/>
              </w:rPr>
              <w:t>02 制度执行有效性</w:t>
            </w:r>
          </w:p>
        </w:tc>
        <w:tc>
          <w:tcPr>
            <w:tcW w:w="67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kern w:val="0"/>
                <w:sz w:val="22"/>
                <w:szCs w:val="22"/>
                <w:highlight w:val="none"/>
                <w:lang w:val="en-US" w:eastAsia="zh-CN" w:bidi="ar"/>
              </w:rPr>
              <w:t>5</w:t>
            </w:r>
          </w:p>
        </w:tc>
        <w:tc>
          <w:tcPr>
            <w:tcW w:w="125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项目实施是否符合相关业务管理规定，用以反映和考核业务管理制度的有效执行情况。</w:t>
            </w:r>
          </w:p>
        </w:tc>
        <w:tc>
          <w:tcPr>
            <w:tcW w:w="93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rPr>
            </w:pPr>
            <w:r>
              <w:rPr>
                <w:rFonts w:hint="eastAsia" w:ascii="Times New Roman" w:hAnsi="Times New Roman" w:eastAsia="仿宋" w:cs="Times New Roman"/>
                <w:color w:val="auto"/>
                <w:kern w:val="0"/>
                <w:sz w:val="22"/>
                <w:szCs w:val="22"/>
                <w:highlight w:val="none"/>
                <w:lang w:val="en-US" w:eastAsia="zh-CN" w:bidi="ar"/>
              </w:rPr>
              <w:t>执行且</w:t>
            </w:r>
            <w:r>
              <w:rPr>
                <w:rFonts w:hint="default" w:ascii="Times New Roman" w:hAnsi="Times New Roman" w:eastAsia="仿宋" w:cs="Times New Roman"/>
                <w:color w:val="auto"/>
                <w:kern w:val="0"/>
                <w:sz w:val="22"/>
                <w:szCs w:val="22"/>
                <w:highlight w:val="none"/>
                <w:lang w:bidi="ar"/>
              </w:rPr>
              <w:t>有效</w:t>
            </w:r>
          </w:p>
        </w:tc>
        <w:tc>
          <w:tcPr>
            <w:tcW w:w="117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通用标准</w:t>
            </w:r>
          </w:p>
        </w:tc>
        <w:tc>
          <w:tcPr>
            <w:tcW w:w="2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考察实施单位</w:t>
            </w:r>
            <w:r>
              <w:rPr>
                <w:rFonts w:hint="eastAsia" w:ascii="Times New Roman" w:hAnsi="Times New Roman" w:eastAsia="仿宋" w:cs="Times New Roman"/>
                <w:color w:val="auto"/>
                <w:kern w:val="0"/>
                <w:sz w:val="22"/>
                <w:szCs w:val="22"/>
                <w:highlight w:val="none"/>
                <w:lang w:bidi="ar"/>
              </w:rPr>
              <w:t>①是否遵守相关法律法规和相关管理规定；②项目调整及支出调整手续是否完备；③项目合同书、验收报告、技术鉴定等资料是否齐全并及时归档；④项目实施的人员条件、场地设备、信息支撑等是否落实到位。</w:t>
            </w:r>
            <w:r>
              <w:rPr>
                <w:rFonts w:hint="default" w:ascii="Times New Roman" w:hAnsi="Times New Roman" w:eastAsia="仿宋" w:cs="Times New Roman"/>
                <w:color w:val="auto"/>
                <w:kern w:val="0"/>
                <w:sz w:val="22"/>
                <w:szCs w:val="22"/>
                <w:highlight w:val="none"/>
                <w:lang w:bidi="ar"/>
              </w:rPr>
              <w:t>以上</w:t>
            </w:r>
            <w:r>
              <w:rPr>
                <w:rFonts w:hint="eastAsia" w:ascii="Times New Roman" w:hAnsi="Times New Roman" w:eastAsia="仿宋" w:cs="Times New Roman"/>
                <w:color w:val="auto"/>
                <w:kern w:val="0"/>
                <w:sz w:val="22"/>
                <w:szCs w:val="22"/>
                <w:highlight w:val="none"/>
                <w:lang w:val="en-US" w:eastAsia="zh-CN" w:bidi="ar"/>
              </w:rPr>
              <w:t>四</w:t>
            </w:r>
            <w:r>
              <w:rPr>
                <w:rFonts w:hint="default" w:ascii="Times New Roman" w:hAnsi="Times New Roman" w:eastAsia="仿宋" w:cs="Times New Roman"/>
                <w:color w:val="auto"/>
                <w:kern w:val="0"/>
                <w:sz w:val="22"/>
                <w:szCs w:val="22"/>
                <w:highlight w:val="none"/>
                <w:lang w:bidi="ar"/>
              </w:rPr>
              <w:t>项各占</w:t>
            </w:r>
            <w:r>
              <w:rPr>
                <w:rFonts w:hint="eastAsia" w:ascii="Times New Roman" w:hAnsi="Times New Roman" w:eastAsia="仿宋" w:cs="Times New Roman"/>
                <w:color w:val="auto"/>
                <w:kern w:val="0"/>
                <w:sz w:val="22"/>
                <w:szCs w:val="22"/>
                <w:highlight w:val="none"/>
                <w:lang w:val="en-US" w:eastAsia="zh-CN" w:bidi="ar"/>
              </w:rPr>
              <w:t>25</w:t>
            </w:r>
            <w:r>
              <w:rPr>
                <w:rFonts w:hint="default" w:ascii="Times New Roman" w:hAnsi="Times New Roman" w:eastAsia="仿宋" w:cs="Times New Roman"/>
                <w:color w:val="auto"/>
                <w:kern w:val="0"/>
                <w:sz w:val="22"/>
                <w:szCs w:val="22"/>
                <w:highlight w:val="none"/>
                <w:lang w:bidi="ar"/>
              </w:rPr>
              <w:t>%的权重分，满足则得分，否则扣除对应权重分。</w:t>
            </w:r>
          </w:p>
        </w:tc>
        <w:tc>
          <w:tcPr>
            <w:tcW w:w="2020"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both"/>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val="en-US" w:eastAsia="zh-CN" w:bidi="ar"/>
              </w:rPr>
              <w:t>本项目在执行过程中，管理制度得到了全面、有效</w:t>
            </w:r>
            <w:r>
              <w:rPr>
                <w:rFonts w:hint="eastAsia" w:ascii="Times New Roman" w:hAnsi="Times New Roman" w:eastAsia="仿宋" w:cs="Times New Roman"/>
                <w:color w:val="auto"/>
                <w:kern w:val="0"/>
                <w:sz w:val="22"/>
                <w:szCs w:val="22"/>
                <w:highlight w:val="none"/>
                <w:lang w:val="en-US" w:eastAsia="zh-CN" w:bidi="ar"/>
              </w:rPr>
              <w:t>地</w:t>
            </w:r>
            <w:r>
              <w:rPr>
                <w:rFonts w:hint="default" w:ascii="Times New Roman" w:hAnsi="Times New Roman" w:eastAsia="仿宋" w:cs="Times New Roman"/>
                <w:color w:val="auto"/>
                <w:kern w:val="0"/>
                <w:sz w:val="22"/>
                <w:szCs w:val="22"/>
                <w:highlight w:val="none"/>
                <w:lang w:val="en-US" w:eastAsia="zh-CN" w:bidi="ar"/>
              </w:rPr>
              <w:t>落实， 项目单位重视制度执行的重要性，通过明确责任分工、制定详细执行计划、加强监督考核等措施，确保了各项管理制度能够得到有效执行。该指标分值</w:t>
            </w:r>
            <w:r>
              <w:rPr>
                <w:rFonts w:hint="eastAsia" w:ascii="Times New Roman" w:hAnsi="Times New Roman" w:eastAsia="仿宋" w:cs="Times New Roman"/>
                <w:color w:val="auto"/>
                <w:kern w:val="0"/>
                <w:sz w:val="22"/>
                <w:szCs w:val="22"/>
                <w:highlight w:val="none"/>
                <w:lang w:val="en-US" w:eastAsia="zh-CN" w:bidi="ar"/>
              </w:rPr>
              <w:t>3</w:t>
            </w:r>
            <w:r>
              <w:rPr>
                <w:rFonts w:hint="default" w:ascii="Times New Roman" w:hAnsi="Times New Roman" w:eastAsia="仿宋" w:cs="Times New Roman"/>
                <w:color w:val="auto"/>
                <w:kern w:val="0"/>
                <w:sz w:val="22"/>
                <w:szCs w:val="22"/>
                <w:highlight w:val="none"/>
                <w:lang w:val="en-US" w:eastAsia="zh-CN" w:bidi="ar"/>
              </w:rPr>
              <w:t>分，得</w:t>
            </w:r>
            <w:r>
              <w:rPr>
                <w:rFonts w:hint="eastAsia" w:ascii="Times New Roman" w:hAnsi="Times New Roman" w:eastAsia="仿宋" w:cs="Times New Roman"/>
                <w:color w:val="auto"/>
                <w:kern w:val="0"/>
                <w:sz w:val="22"/>
                <w:szCs w:val="22"/>
                <w:highlight w:val="none"/>
                <w:lang w:val="en-US" w:eastAsia="zh-CN" w:bidi="ar"/>
              </w:rPr>
              <w:t>3</w:t>
            </w:r>
            <w:r>
              <w:rPr>
                <w:rFonts w:hint="default" w:ascii="Times New Roman" w:hAnsi="Times New Roman" w:eastAsia="仿宋" w:cs="Times New Roman"/>
                <w:color w:val="auto"/>
                <w:kern w:val="0"/>
                <w:sz w:val="22"/>
                <w:szCs w:val="22"/>
                <w:highlight w:val="none"/>
                <w:lang w:val="en-US" w:eastAsia="zh-CN" w:bidi="ar"/>
              </w:rPr>
              <w:t>分。</w:t>
            </w:r>
          </w:p>
        </w:tc>
        <w:tc>
          <w:tcPr>
            <w:tcW w:w="7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5</w:t>
            </w:r>
          </w:p>
        </w:tc>
        <w:tc>
          <w:tcPr>
            <w:tcW w:w="1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p>
        </w:tc>
      </w:tr>
      <w:tr>
        <w:tblPrEx>
          <w:tblCellMar>
            <w:top w:w="0" w:type="dxa"/>
            <w:left w:w="0" w:type="dxa"/>
            <w:bottom w:w="0" w:type="dxa"/>
            <w:right w:w="0" w:type="dxa"/>
          </w:tblCellMar>
        </w:tblPrEx>
        <w:trPr>
          <w:trHeight w:val="340" w:hRule="atLeast"/>
          <w:jc w:val="center"/>
        </w:trPr>
        <w:tc>
          <w:tcPr>
            <w:tcW w:w="1198" w:type="dxa"/>
            <w:vMerge w:val="restart"/>
            <w:tcBorders>
              <w:left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C 项目</w:t>
            </w:r>
            <w:r>
              <w:rPr>
                <w:rFonts w:hint="eastAsia" w:ascii="Times New Roman" w:hAnsi="Times New Roman" w:eastAsia="仿宋" w:cs="Times New Roman"/>
                <w:color w:val="auto"/>
                <w:kern w:val="0"/>
                <w:sz w:val="22"/>
                <w:szCs w:val="22"/>
                <w:highlight w:val="none"/>
                <w:lang w:val="en-US" w:eastAsia="zh-CN" w:bidi="ar"/>
              </w:rPr>
              <w:t>产出</w:t>
            </w:r>
            <w:r>
              <w:rPr>
                <w:rFonts w:hint="default" w:ascii="Times New Roman" w:hAnsi="Times New Roman" w:eastAsia="仿宋" w:cs="Times New Roman"/>
                <w:color w:val="auto"/>
                <w:kern w:val="0"/>
                <w:sz w:val="22"/>
                <w:szCs w:val="22"/>
                <w:highlight w:val="none"/>
                <w:lang w:val="en-US" w:eastAsia="zh-CN" w:bidi="ar"/>
              </w:rPr>
              <w:t>（</w:t>
            </w:r>
            <w:r>
              <w:rPr>
                <w:rFonts w:hint="eastAsia" w:ascii="Times New Roman" w:hAnsi="Times New Roman" w:eastAsia="仿宋" w:cs="Times New Roman"/>
                <w:color w:val="auto"/>
                <w:kern w:val="0"/>
                <w:sz w:val="22"/>
                <w:szCs w:val="22"/>
                <w:highlight w:val="none"/>
                <w:lang w:val="en-US" w:eastAsia="zh-CN" w:bidi="ar"/>
              </w:rPr>
              <w:t>40</w:t>
            </w:r>
            <w:r>
              <w:rPr>
                <w:rFonts w:hint="default" w:ascii="Times New Roman" w:hAnsi="Times New Roman" w:eastAsia="仿宋" w:cs="Times New Roman"/>
                <w:color w:val="auto"/>
                <w:kern w:val="0"/>
                <w:sz w:val="22"/>
                <w:szCs w:val="22"/>
                <w:highlight w:val="none"/>
                <w:lang w:val="en-US" w:eastAsia="zh-CN" w:bidi="ar"/>
              </w:rPr>
              <w:t>）</w:t>
            </w:r>
          </w:p>
        </w:tc>
        <w:tc>
          <w:tcPr>
            <w:tcW w:w="1366"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C1产出数量</w:t>
            </w:r>
            <w:r>
              <w:rPr>
                <w:rFonts w:hint="default" w:ascii="Times New Roman" w:hAnsi="Times New Roman" w:eastAsia="仿宋" w:cs="Times New Roman"/>
                <w:color w:val="auto"/>
                <w:kern w:val="0"/>
                <w:sz w:val="22"/>
                <w:szCs w:val="22"/>
                <w:highlight w:val="none"/>
                <w:lang w:val="en-US" w:eastAsia="zh-CN" w:bidi="ar"/>
              </w:rPr>
              <w:t>（</w:t>
            </w:r>
            <w:r>
              <w:rPr>
                <w:rFonts w:hint="eastAsia" w:ascii="Times New Roman" w:hAnsi="Times New Roman" w:eastAsia="仿宋" w:cs="Times New Roman"/>
                <w:color w:val="auto"/>
                <w:kern w:val="0"/>
                <w:sz w:val="22"/>
                <w:szCs w:val="22"/>
                <w:highlight w:val="none"/>
                <w:lang w:val="en-US" w:eastAsia="zh-CN" w:bidi="ar"/>
              </w:rPr>
              <w:t>14</w:t>
            </w:r>
            <w:r>
              <w:rPr>
                <w:rFonts w:hint="default" w:ascii="Times New Roman" w:hAnsi="Times New Roman" w:eastAsia="仿宋" w:cs="Times New Roman"/>
                <w:color w:val="auto"/>
                <w:kern w:val="0"/>
                <w:sz w:val="22"/>
                <w:szCs w:val="22"/>
                <w:highlight w:val="none"/>
                <w:lang w:val="en-US" w:eastAsia="zh-CN" w:bidi="ar"/>
              </w:rPr>
              <w:t>）</w:t>
            </w:r>
          </w:p>
        </w:tc>
        <w:tc>
          <w:tcPr>
            <w:tcW w:w="12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C101高素质农民培训补助人数</w:t>
            </w:r>
          </w:p>
        </w:tc>
        <w:tc>
          <w:tcPr>
            <w:tcW w:w="67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eastAsia"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7</w:t>
            </w:r>
          </w:p>
        </w:tc>
        <w:tc>
          <w:tcPr>
            <w:tcW w:w="125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考察培训完成数量</w:t>
            </w:r>
          </w:p>
        </w:tc>
        <w:tc>
          <w:tcPr>
            <w:tcW w:w="933"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&gt;=135人</w:t>
            </w:r>
          </w:p>
        </w:tc>
        <w:tc>
          <w:tcPr>
            <w:tcW w:w="1172"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通用标准</w:t>
            </w:r>
          </w:p>
        </w:tc>
        <w:tc>
          <w:tcPr>
            <w:tcW w:w="2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根据实际情况与年初预计目标作对比，达到目标值得满分，未达到扣相应分值</w:t>
            </w:r>
          </w:p>
        </w:tc>
        <w:tc>
          <w:tcPr>
            <w:tcW w:w="2020"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实际完成135人达到预计目标值，</w:t>
            </w:r>
            <w:r>
              <w:rPr>
                <w:rFonts w:hint="default" w:ascii="Times New Roman" w:hAnsi="Times New Roman" w:eastAsia="仿宋" w:cs="Times New Roman"/>
                <w:color w:val="auto"/>
                <w:kern w:val="0"/>
                <w:sz w:val="22"/>
                <w:szCs w:val="22"/>
                <w:highlight w:val="none"/>
                <w:lang w:val="en-US" w:eastAsia="zh-CN" w:bidi="ar"/>
              </w:rPr>
              <w:t>该指标分值</w:t>
            </w:r>
            <w:r>
              <w:rPr>
                <w:rFonts w:hint="eastAsia" w:ascii="Times New Roman" w:hAnsi="Times New Roman" w:eastAsia="仿宋" w:cs="Times New Roman"/>
                <w:color w:val="auto"/>
                <w:kern w:val="0"/>
                <w:sz w:val="22"/>
                <w:szCs w:val="22"/>
                <w:highlight w:val="none"/>
                <w:lang w:val="en-US" w:eastAsia="zh-CN" w:bidi="ar"/>
              </w:rPr>
              <w:t>7</w:t>
            </w:r>
            <w:r>
              <w:rPr>
                <w:rFonts w:hint="default" w:ascii="Times New Roman" w:hAnsi="Times New Roman" w:eastAsia="仿宋" w:cs="Times New Roman"/>
                <w:color w:val="auto"/>
                <w:kern w:val="0"/>
                <w:sz w:val="22"/>
                <w:szCs w:val="22"/>
                <w:highlight w:val="none"/>
                <w:lang w:val="en-US" w:eastAsia="zh-CN" w:bidi="ar"/>
              </w:rPr>
              <w:t>分，得</w:t>
            </w:r>
            <w:r>
              <w:rPr>
                <w:rFonts w:hint="eastAsia" w:ascii="Times New Roman" w:hAnsi="Times New Roman" w:eastAsia="仿宋" w:cs="Times New Roman"/>
                <w:color w:val="auto"/>
                <w:kern w:val="0"/>
                <w:sz w:val="22"/>
                <w:szCs w:val="22"/>
                <w:highlight w:val="none"/>
                <w:lang w:val="en-US" w:eastAsia="zh-CN" w:bidi="ar"/>
              </w:rPr>
              <w:t>7</w:t>
            </w:r>
            <w:r>
              <w:rPr>
                <w:rFonts w:hint="default" w:ascii="Times New Roman" w:hAnsi="Times New Roman" w:eastAsia="仿宋" w:cs="Times New Roman"/>
                <w:color w:val="auto"/>
                <w:kern w:val="0"/>
                <w:sz w:val="22"/>
                <w:szCs w:val="22"/>
                <w:highlight w:val="none"/>
                <w:lang w:val="en-US" w:eastAsia="zh-CN" w:bidi="ar"/>
              </w:rPr>
              <w:t>分。</w:t>
            </w:r>
          </w:p>
        </w:tc>
        <w:tc>
          <w:tcPr>
            <w:tcW w:w="766"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7</w:t>
            </w:r>
          </w:p>
        </w:tc>
        <w:tc>
          <w:tcPr>
            <w:tcW w:w="1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100%</w:t>
            </w:r>
          </w:p>
        </w:tc>
      </w:tr>
      <w:tr>
        <w:tblPrEx>
          <w:tblCellMar>
            <w:top w:w="0" w:type="dxa"/>
            <w:left w:w="0" w:type="dxa"/>
            <w:bottom w:w="0" w:type="dxa"/>
            <w:right w:w="0" w:type="dxa"/>
          </w:tblCellMar>
        </w:tblPrEx>
        <w:trPr>
          <w:trHeight w:val="340" w:hRule="atLeast"/>
          <w:jc w:val="center"/>
        </w:trPr>
        <w:tc>
          <w:tcPr>
            <w:tcW w:w="1198" w:type="dxa"/>
            <w:vMerge w:val="continue"/>
            <w:tcBorders>
              <w:left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仿宋" w:cs="Times New Roman"/>
                <w:color w:val="auto"/>
                <w:kern w:val="0"/>
                <w:sz w:val="22"/>
                <w:szCs w:val="22"/>
                <w:highlight w:val="none"/>
                <w:lang w:val="en-US" w:eastAsia="zh-CN" w:bidi="ar"/>
              </w:rPr>
            </w:pPr>
          </w:p>
        </w:tc>
        <w:tc>
          <w:tcPr>
            <w:tcW w:w="1366" w:type="dxa"/>
            <w:vMerge w:val="continue"/>
            <w:tcBorders>
              <w:left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p>
        </w:tc>
        <w:tc>
          <w:tcPr>
            <w:tcW w:w="12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C102农村实用人才带头人示范培训补助人数</w:t>
            </w:r>
          </w:p>
        </w:tc>
        <w:tc>
          <w:tcPr>
            <w:tcW w:w="67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eastAsia"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7</w:t>
            </w:r>
          </w:p>
        </w:tc>
        <w:tc>
          <w:tcPr>
            <w:tcW w:w="125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考察培训完成数量</w:t>
            </w:r>
          </w:p>
        </w:tc>
        <w:tc>
          <w:tcPr>
            <w:tcW w:w="933"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&gt;=200人</w:t>
            </w:r>
          </w:p>
        </w:tc>
        <w:tc>
          <w:tcPr>
            <w:tcW w:w="1172"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通用标准</w:t>
            </w:r>
          </w:p>
        </w:tc>
        <w:tc>
          <w:tcPr>
            <w:tcW w:w="2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根据实际情况与年初预计目标作对比，达到目标值得满分，未达到扣相应分值</w:t>
            </w:r>
          </w:p>
        </w:tc>
        <w:tc>
          <w:tcPr>
            <w:tcW w:w="2020"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实际完成200人达到预计目标值，</w:t>
            </w:r>
            <w:r>
              <w:rPr>
                <w:rFonts w:hint="default" w:ascii="Times New Roman" w:hAnsi="Times New Roman" w:eastAsia="仿宋" w:cs="Times New Roman"/>
                <w:color w:val="auto"/>
                <w:kern w:val="0"/>
                <w:sz w:val="22"/>
                <w:szCs w:val="22"/>
                <w:highlight w:val="none"/>
                <w:lang w:val="en-US" w:eastAsia="zh-CN" w:bidi="ar"/>
              </w:rPr>
              <w:t>该指标分值</w:t>
            </w:r>
            <w:r>
              <w:rPr>
                <w:rFonts w:hint="eastAsia" w:ascii="Times New Roman" w:hAnsi="Times New Roman" w:eastAsia="仿宋" w:cs="Times New Roman"/>
                <w:color w:val="auto"/>
                <w:kern w:val="0"/>
                <w:sz w:val="22"/>
                <w:szCs w:val="22"/>
                <w:highlight w:val="none"/>
                <w:lang w:val="en-US" w:eastAsia="zh-CN" w:bidi="ar"/>
              </w:rPr>
              <w:t>7</w:t>
            </w:r>
            <w:r>
              <w:rPr>
                <w:rFonts w:hint="default" w:ascii="Times New Roman" w:hAnsi="Times New Roman" w:eastAsia="仿宋" w:cs="Times New Roman"/>
                <w:color w:val="auto"/>
                <w:kern w:val="0"/>
                <w:sz w:val="22"/>
                <w:szCs w:val="22"/>
                <w:highlight w:val="none"/>
                <w:lang w:val="en-US" w:eastAsia="zh-CN" w:bidi="ar"/>
              </w:rPr>
              <w:t>分，得</w:t>
            </w:r>
            <w:r>
              <w:rPr>
                <w:rFonts w:hint="eastAsia" w:ascii="Times New Roman" w:hAnsi="Times New Roman" w:eastAsia="仿宋" w:cs="Times New Roman"/>
                <w:color w:val="auto"/>
                <w:kern w:val="0"/>
                <w:sz w:val="22"/>
                <w:szCs w:val="22"/>
                <w:highlight w:val="none"/>
                <w:lang w:val="en-US" w:eastAsia="zh-CN" w:bidi="ar"/>
              </w:rPr>
              <w:t>7</w:t>
            </w:r>
            <w:r>
              <w:rPr>
                <w:rFonts w:hint="default" w:ascii="Times New Roman" w:hAnsi="Times New Roman" w:eastAsia="仿宋" w:cs="Times New Roman"/>
                <w:color w:val="auto"/>
                <w:kern w:val="0"/>
                <w:sz w:val="22"/>
                <w:szCs w:val="22"/>
                <w:highlight w:val="none"/>
                <w:lang w:val="en-US" w:eastAsia="zh-CN" w:bidi="ar"/>
              </w:rPr>
              <w:t>分。</w:t>
            </w:r>
          </w:p>
        </w:tc>
        <w:tc>
          <w:tcPr>
            <w:tcW w:w="766"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7</w:t>
            </w:r>
          </w:p>
        </w:tc>
        <w:tc>
          <w:tcPr>
            <w:tcW w:w="1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100%</w:t>
            </w:r>
          </w:p>
        </w:tc>
      </w:tr>
      <w:tr>
        <w:tblPrEx>
          <w:tblCellMar>
            <w:top w:w="0" w:type="dxa"/>
            <w:left w:w="0" w:type="dxa"/>
            <w:bottom w:w="0" w:type="dxa"/>
            <w:right w:w="0" w:type="dxa"/>
          </w:tblCellMar>
        </w:tblPrEx>
        <w:trPr>
          <w:trHeight w:val="340" w:hRule="atLeast"/>
          <w:jc w:val="center"/>
        </w:trPr>
        <w:tc>
          <w:tcPr>
            <w:tcW w:w="1198" w:type="dxa"/>
            <w:vMerge w:val="continue"/>
            <w:tcBorders>
              <w:left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仿宋" w:cs="Times New Roman"/>
                <w:color w:val="auto"/>
                <w:kern w:val="0"/>
                <w:sz w:val="22"/>
                <w:szCs w:val="22"/>
                <w:highlight w:val="none"/>
                <w:lang w:val="en-US" w:eastAsia="zh-CN" w:bidi="ar"/>
              </w:rPr>
            </w:pPr>
          </w:p>
        </w:tc>
        <w:tc>
          <w:tcPr>
            <w:tcW w:w="1366"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C2产出质量</w:t>
            </w:r>
            <w:r>
              <w:rPr>
                <w:rFonts w:hint="default" w:ascii="Times New Roman" w:hAnsi="Times New Roman" w:eastAsia="仿宋" w:cs="Times New Roman"/>
                <w:color w:val="auto"/>
                <w:kern w:val="0"/>
                <w:sz w:val="22"/>
                <w:szCs w:val="22"/>
                <w:highlight w:val="none"/>
                <w:lang w:val="en-US" w:eastAsia="zh-CN" w:bidi="ar"/>
              </w:rPr>
              <w:t>（</w:t>
            </w:r>
            <w:r>
              <w:rPr>
                <w:rFonts w:hint="eastAsia" w:ascii="Times New Roman" w:hAnsi="Times New Roman" w:eastAsia="仿宋" w:cs="Times New Roman"/>
                <w:color w:val="auto"/>
                <w:kern w:val="0"/>
                <w:sz w:val="22"/>
                <w:szCs w:val="22"/>
                <w:highlight w:val="none"/>
                <w:lang w:val="en-US" w:eastAsia="zh-CN" w:bidi="ar"/>
              </w:rPr>
              <w:t>6</w:t>
            </w:r>
            <w:r>
              <w:rPr>
                <w:rFonts w:hint="default" w:ascii="Times New Roman" w:hAnsi="Times New Roman" w:eastAsia="仿宋" w:cs="Times New Roman"/>
                <w:color w:val="auto"/>
                <w:kern w:val="0"/>
                <w:sz w:val="22"/>
                <w:szCs w:val="22"/>
                <w:highlight w:val="none"/>
                <w:lang w:val="en-US" w:eastAsia="zh-CN" w:bidi="ar"/>
              </w:rPr>
              <w:t>）</w:t>
            </w:r>
          </w:p>
        </w:tc>
        <w:tc>
          <w:tcPr>
            <w:tcW w:w="12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C201培训学员成绩合格率（%）</w:t>
            </w:r>
          </w:p>
        </w:tc>
        <w:tc>
          <w:tcPr>
            <w:tcW w:w="67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eastAsia"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6</w:t>
            </w:r>
          </w:p>
        </w:tc>
        <w:tc>
          <w:tcPr>
            <w:tcW w:w="125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考察培训学员成绩合格情况</w:t>
            </w:r>
          </w:p>
        </w:tc>
        <w:tc>
          <w:tcPr>
            <w:tcW w:w="933"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100%</w:t>
            </w:r>
          </w:p>
        </w:tc>
        <w:tc>
          <w:tcPr>
            <w:tcW w:w="1172"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通用标准</w:t>
            </w:r>
          </w:p>
        </w:tc>
        <w:tc>
          <w:tcPr>
            <w:tcW w:w="2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根据实际情况与年初预计目标作对比，达到目标值得满分，未达到扣相应分值</w:t>
            </w:r>
          </w:p>
        </w:tc>
        <w:tc>
          <w:tcPr>
            <w:tcW w:w="2020"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查阅相关资料，培训学员成绩全部合格，达到预计目标值，</w:t>
            </w:r>
            <w:r>
              <w:rPr>
                <w:rFonts w:hint="default" w:ascii="Times New Roman" w:hAnsi="Times New Roman" w:eastAsia="仿宋" w:cs="Times New Roman"/>
                <w:color w:val="auto"/>
                <w:kern w:val="0"/>
                <w:sz w:val="22"/>
                <w:szCs w:val="22"/>
                <w:highlight w:val="none"/>
                <w:lang w:val="en-US" w:eastAsia="zh-CN" w:bidi="ar"/>
              </w:rPr>
              <w:t>该指标分值</w:t>
            </w:r>
            <w:r>
              <w:rPr>
                <w:rFonts w:hint="eastAsia" w:ascii="Times New Roman" w:hAnsi="Times New Roman" w:eastAsia="仿宋" w:cs="Times New Roman"/>
                <w:color w:val="auto"/>
                <w:kern w:val="0"/>
                <w:sz w:val="22"/>
                <w:szCs w:val="22"/>
                <w:highlight w:val="none"/>
                <w:lang w:val="en-US" w:eastAsia="zh-CN" w:bidi="ar"/>
              </w:rPr>
              <w:t>6</w:t>
            </w:r>
            <w:r>
              <w:rPr>
                <w:rFonts w:hint="default" w:ascii="Times New Roman" w:hAnsi="Times New Roman" w:eastAsia="仿宋" w:cs="Times New Roman"/>
                <w:color w:val="auto"/>
                <w:kern w:val="0"/>
                <w:sz w:val="22"/>
                <w:szCs w:val="22"/>
                <w:highlight w:val="none"/>
                <w:lang w:val="en-US" w:eastAsia="zh-CN" w:bidi="ar"/>
              </w:rPr>
              <w:t>分，得</w:t>
            </w:r>
            <w:r>
              <w:rPr>
                <w:rFonts w:hint="eastAsia" w:ascii="Times New Roman" w:hAnsi="Times New Roman" w:eastAsia="仿宋" w:cs="Times New Roman"/>
                <w:color w:val="auto"/>
                <w:kern w:val="0"/>
                <w:sz w:val="22"/>
                <w:szCs w:val="22"/>
                <w:highlight w:val="none"/>
                <w:lang w:val="en-US" w:eastAsia="zh-CN" w:bidi="ar"/>
              </w:rPr>
              <w:t>6</w:t>
            </w:r>
            <w:r>
              <w:rPr>
                <w:rFonts w:hint="default" w:ascii="Times New Roman" w:hAnsi="Times New Roman" w:eastAsia="仿宋" w:cs="Times New Roman"/>
                <w:color w:val="auto"/>
                <w:kern w:val="0"/>
                <w:sz w:val="22"/>
                <w:szCs w:val="22"/>
                <w:highlight w:val="none"/>
                <w:lang w:val="en-US" w:eastAsia="zh-CN" w:bidi="ar"/>
              </w:rPr>
              <w:t>分。</w:t>
            </w:r>
          </w:p>
        </w:tc>
        <w:tc>
          <w:tcPr>
            <w:tcW w:w="766"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6</w:t>
            </w:r>
          </w:p>
        </w:tc>
        <w:tc>
          <w:tcPr>
            <w:tcW w:w="1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100%</w:t>
            </w:r>
          </w:p>
        </w:tc>
      </w:tr>
      <w:tr>
        <w:tblPrEx>
          <w:tblCellMar>
            <w:top w:w="0" w:type="dxa"/>
            <w:left w:w="0" w:type="dxa"/>
            <w:bottom w:w="0" w:type="dxa"/>
            <w:right w:w="0" w:type="dxa"/>
          </w:tblCellMar>
        </w:tblPrEx>
        <w:trPr>
          <w:trHeight w:val="340" w:hRule="atLeast"/>
          <w:jc w:val="center"/>
        </w:trPr>
        <w:tc>
          <w:tcPr>
            <w:tcW w:w="1198" w:type="dxa"/>
            <w:vMerge w:val="continue"/>
            <w:tcBorders>
              <w:left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仿宋" w:cs="Times New Roman"/>
                <w:color w:val="auto"/>
                <w:kern w:val="0"/>
                <w:sz w:val="22"/>
                <w:szCs w:val="22"/>
                <w:highlight w:val="none"/>
                <w:lang w:val="en-US" w:eastAsia="zh-CN" w:bidi="ar"/>
              </w:rPr>
            </w:pPr>
          </w:p>
        </w:tc>
        <w:tc>
          <w:tcPr>
            <w:tcW w:w="1366"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C3产出时效</w:t>
            </w:r>
            <w:r>
              <w:rPr>
                <w:rFonts w:hint="default" w:ascii="Times New Roman" w:hAnsi="Times New Roman" w:eastAsia="仿宋" w:cs="Times New Roman"/>
                <w:color w:val="auto"/>
                <w:kern w:val="0"/>
                <w:sz w:val="22"/>
                <w:szCs w:val="22"/>
                <w:highlight w:val="none"/>
                <w:lang w:val="en-US" w:eastAsia="zh-CN" w:bidi="ar"/>
              </w:rPr>
              <w:t>（</w:t>
            </w:r>
            <w:r>
              <w:rPr>
                <w:rFonts w:hint="eastAsia" w:ascii="Times New Roman" w:hAnsi="Times New Roman" w:eastAsia="仿宋" w:cs="Times New Roman"/>
                <w:color w:val="auto"/>
                <w:kern w:val="0"/>
                <w:sz w:val="22"/>
                <w:szCs w:val="22"/>
                <w:highlight w:val="none"/>
                <w:lang w:val="en-US" w:eastAsia="zh-CN" w:bidi="ar"/>
              </w:rPr>
              <w:t>6</w:t>
            </w:r>
            <w:r>
              <w:rPr>
                <w:rFonts w:hint="default" w:ascii="Times New Roman" w:hAnsi="Times New Roman" w:eastAsia="仿宋" w:cs="Times New Roman"/>
                <w:color w:val="auto"/>
                <w:kern w:val="0"/>
                <w:sz w:val="22"/>
                <w:szCs w:val="22"/>
                <w:highlight w:val="none"/>
                <w:lang w:val="en-US" w:eastAsia="zh-CN" w:bidi="ar"/>
              </w:rPr>
              <w:t>）</w:t>
            </w:r>
          </w:p>
        </w:tc>
        <w:tc>
          <w:tcPr>
            <w:tcW w:w="12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C301培训任务完成时限</w:t>
            </w:r>
          </w:p>
        </w:tc>
        <w:tc>
          <w:tcPr>
            <w:tcW w:w="67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eastAsia"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6</w:t>
            </w:r>
          </w:p>
        </w:tc>
        <w:tc>
          <w:tcPr>
            <w:tcW w:w="125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考察项目计划完成时间与实际完成时间的比较，反映项目的执行程度</w:t>
            </w:r>
          </w:p>
        </w:tc>
        <w:tc>
          <w:tcPr>
            <w:tcW w:w="933"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2024年10月30日前</w:t>
            </w:r>
          </w:p>
        </w:tc>
        <w:tc>
          <w:tcPr>
            <w:tcW w:w="1172"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通用标准</w:t>
            </w:r>
          </w:p>
        </w:tc>
        <w:tc>
          <w:tcPr>
            <w:tcW w:w="2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考察项目是否按计划完成，晚于计划完成日期一个月扣除10%的权重分，扣完为止。</w:t>
            </w:r>
          </w:p>
        </w:tc>
        <w:tc>
          <w:tcPr>
            <w:tcW w:w="2020"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查阅项目相关资料，该项目全部按预期时间完成，达到预计目标值，</w:t>
            </w:r>
            <w:r>
              <w:rPr>
                <w:rFonts w:hint="default" w:ascii="Times New Roman" w:hAnsi="Times New Roman" w:eastAsia="仿宋" w:cs="Times New Roman"/>
                <w:color w:val="auto"/>
                <w:kern w:val="0"/>
                <w:sz w:val="22"/>
                <w:szCs w:val="22"/>
                <w:highlight w:val="none"/>
                <w:lang w:val="en-US" w:eastAsia="zh-CN" w:bidi="ar"/>
              </w:rPr>
              <w:t>该指标分值</w:t>
            </w:r>
            <w:r>
              <w:rPr>
                <w:rFonts w:hint="eastAsia" w:ascii="Times New Roman" w:hAnsi="Times New Roman" w:eastAsia="仿宋" w:cs="Times New Roman"/>
                <w:color w:val="auto"/>
                <w:kern w:val="0"/>
                <w:sz w:val="22"/>
                <w:szCs w:val="22"/>
                <w:highlight w:val="none"/>
                <w:lang w:val="en-US" w:eastAsia="zh-CN" w:bidi="ar"/>
              </w:rPr>
              <w:t>6</w:t>
            </w:r>
            <w:r>
              <w:rPr>
                <w:rFonts w:hint="default" w:ascii="Times New Roman" w:hAnsi="Times New Roman" w:eastAsia="仿宋" w:cs="Times New Roman"/>
                <w:color w:val="auto"/>
                <w:kern w:val="0"/>
                <w:sz w:val="22"/>
                <w:szCs w:val="22"/>
                <w:highlight w:val="none"/>
                <w:lang w:val="en-US" w:eastAsia="zh-CN" w:bidi="ar"/>
              </w:rPr>
              <w:t>分，得</w:t>
            </w:r>
            <w:r>
              <w:rPr>
                <w:rFonts w:hint="eastAsia" w:ascii="Times New Roman" w:hAnsi="Times New Roman" w:eastAsia="仿宋" w:cs="Times New Roman"/>
                <w:color w:val="auto"/>
                <w:kern w:val="0"/>
                <w:sz w:val="22"/>
                <w:szCs w:val="22"/>
                <w:highlight w:val="none"/>
                <w:lang w:val="en-US" w:eastAsia="zh-CN" w:bidi="ar"/>
              </w:rPr>
              <w:t>6</w:t>
            </w:r>
            <w:r>
              <w:rPr>
                <w:rFonts w:hint="default" w:ascii="Times New Roman" w:hAnsi="Times New Roman" w:eastAsia="仿宋" w:cs="Times New Roman"/>
                <w:color w:val="auto"/>
                <w:kern w:val="0"/>
                <w:sz w:val="22"/>
                <w:szCs w:val="22"/>
                <w:highlight w:val="none"/>
                <w:lang w:val="en-US" w:eastAsia="zh-CN" w:bidi="ar"/>
              </w:rPr>
              <w:t>分。</w:t>
            </w:r>
          </w:p>
        </w:tc>
        <w:tc>
          <w:tcPr>
            <w:tcW w:w="766"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6</w:t>
            </w:r>
          </w:p>
        </w:tc>
        <w:tc>
          <w:tcPr>
            <w:tcW w:w="1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100%</w:t>
            </w:r>
          </w:p>
        </w:tc>
      </w:tr>
      <w:tr>
        <w:tblPrEx>
          <w:tblCellMar>
            <w:top w:w="0" w:type="dxa"/>
            <w:left w:w="0" w:type="dxa"/>
            <w:bottom w:w="0" w:type="dxa"/>
            <w:right w:w="0" w:type="dxa"/>
          </w:tblCellMar>
        </w:tblPrEx>
        <w:trPr>
          <w:trHeight w:val="340" w:hRule="atLeast"/>
          <w:jc w:val="center"/>
        </w:trPr>
        <w:tc>
          <w:tcPr>
            <w:tcW w:w="1198" w:type="dxa"/>
            <w:vMerge w:val="continue"/>
            <w:tcBorders>
              <w:left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仿宋" w:cs="Times New Roman"/>
                <w:color w:val="auto"/>
                <w:kern w:val="0"/>
                <w:sz w:val="22"/>
                <w:szCs w:val="22"/>
                <w:highlight w:val="none"/>
                <w:lang w:val="en-US" w:eastAsia="zh-CN" w:bidi="ar"/>
              </w:rPr>
            </w:pPr>
          </w:p>
        </w:tc>
        <w:tc>
          <w:tcPr>
            <w:tcW w:w="1366"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C4产出成本</w:t>
            </w:r>
            <w:r>
              <w:rPr>
                <w:rFonts w:hint="default" w:ascii="Times New Roman" w:hAnsi="Times New Roman" w:eastAsia="仿宋" w:cs="Times New Roman"/>
                <w:color w:val="auto"/>
                <w:kern w:val="0"/>
                <w:sz w:val="22"/>
                <w:szCs w:val="22"/>
                <w:highlight w:val="none"/>
                <w:lang w:val="en-US" w:eastAsia="zh-CN" w:bidi="ar"/>
              </w:rPr>
              <w:t>（</w:t>
            </w:r>
            <w:r>
              <w:rPr>
                <w:rFonts w:hint="eastAsia" w:ascii="Times New Roman" w:hAnsi="Times New Roman" w:eastAsia="仿宋" w:cs="Times New Roman"/>
                <w:color w:val="auto"/>
                <w:kern w:val="0"/>
                <w:sz w:val="22"/>
                <w:szCs w:val="22"/>
                <w:highlight w:val="none"/>
                <w:lang w:val="en-US" w:eastAsia="zh-CN" w:bidi="ar"/>
              </w:rPr>
              <w:t>14</w:t>
            </w:r>
            <w:r>
              <w:rPr>
                <w:rFonts w:hint="default" w:ascii="Times New Roman" w:hAnsi="Times New Roman" w:eastAsia="仿宋" w:cs="Times New Roman"/>
                <w:color w:val="auto"/>
                <w:kern w:val="0"/>
                <w:sz w:val="22"/>
                <w:szCs w:val="22"/>
                <w:highlight w:val="none"/>
                <w:lang w:val="en-US" w:eastAsia="zh-CN" w:bidi="ar"/>
              </w:rPr>
              <w:t>）</w:t>
            </w:r>
          </w:p>
        </w:tc>
        <w:tc>
          <w:tcPr>
            <w:tcW w:w="12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C401高素质农民培训投入资金（万元）</w:t>
            </w:r>
          </w:p>
        </w:tc>
        <w:tc>
          <w:tcPr>
            <w:tcW w:w="67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eastAsia"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7</w:t>
            </w:r>
          </w:p>
        </w:tc>
        <w:tc>
          <w:tcPr>
            <w:tcW w:w="125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考察项目成本</w:t>
            </w:r>
          </w:p>
        </w:tc>
        <w:tc>
          <w:tcPr>
            <w:tcW w:w="933"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&lt;=38.73万元</w:t>
            </w:r>
          </w:p>
        </w:tc>
        <w:tc>
          <w:tcPr>
            <w:tcW w:w="1172"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通用标准</w:t>
            </w:r>
          </w:p>
        </w:tc>
        <w:tc>
          <w:tcPr>
            <w:tcW w:w="2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考察项目成本有没有高于平均市场成本，是否节约成本，成本如虚高该项不得分</w:t>
            </w:r>
          </w:p>
        </w:tc>
        <w:tc>
          <w:tcPr>
            <w:tcW w:w="2020"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查证单位财务资料该项目成本符合标准，并按时支付完38.73万元，</w:t>
            </w:r>
            <w:r>
              <w:rPr>
                <w:rFonts w:hint="default" w:ascii="Times New Roman" w:hAnsi="Times New Roman" w:eastAsia="仿宋" w:cs="Times New Roman"/>
                <w:color w:val="auto"/>
                <w:kern w:val="0"/>
                <w:sz w:val="22"/>
                <w:szCs w:val="22"/>
                <w:highlight w:val="none"/>
                <w:lang w:val="en-US" w:eastAsia="zh-CN" w:bidi="ar"/>
              </w:rPr>
              <w:t>该指标分值</w:t>
            </w:r>
            <w:r>
              <w:rPr>
                <w:rFonts w:hint="eastAsia" w:ascii="Times New Roman" w:hAnsi="Times New Roman" w:eastAsia="仿宋" w:cs="Times New Roman"/>
                <w:color w:val="auto"/>
                <w:kern w:val="0"/>
                <w:sz w:val="22"/>
                <w:szCs w:val="22"/>
                <w:highlight w:val="none"/>
                <w:lang w:val="en-US" w:eastAsia="zh-CN" w:bidi="ar"/>
              </w:rPr>
              <w:t>7</w:t>
            </w:r>
            <w:r>
              <w:rPr>
                <w:rFonts w:hint="default" w:ascii="Times New Roman" w:hAnsi="Times New Roman" w:eastAsia="仿宋" w:cs="Times New Roman"/>
                <w:color w:val="auto"/>
                <w:kern w:val="0"/>
                <w:sz w:val="22"/>
                <w:szCs w:val="22"/>
                <w:highlight w:val="none"/>
                <w:lang w:val="en-US" w:eastAsia="zh-CN" w:bidi="ar"/>
              </w:rPr>
              <w:t>分，得</w:t>
            </w:r>
            <w:r>
              <w:rPr>
                <w:rFonts w:hint="eastAsia" w:ascii="Times New Roman" w:hAnsi="Times New Roman" w:eastAsia="仿宋" w:cs="Times New Roman"/>
                <w:color w:val="auto"/>
                <w:kern w:val="0"/>
                <w:sz w:val="22"/>
                <w:szCs w:val="22"/>
                <w:highlight w:val="none"/>
                <w:lang w:val="en-US" w:eastAsia="zh-CN" w:bidi="ar"/>
              </w:rPr>
              <w:t>7</w:t>
            </w:r>
            <w:r>
              <w:rPr>
                <w:rFonts w:hint="default" w:ascii="Times New Roman" w:hAnsi="Times New Roman" w:eastAsia="仿宋" w:cs="Times New Roman"/>
                <w:color w:val="auto"/>
                <w:kern w:val="0"/>
                <w:sz w:val="22"/>
                <w:szCs w:val="22"/>
                <w:highlight w:val="none"/>
                <w:lang w:val="en-US" w:eastAsia="zh-CN" w:bidi="ar"/>
              </w:rPr>
              <w:t>分。</w:t>
            </w:r>
          </w:p>
        </w:tc>
        <w:tc>
          <w:tcPr>
            <w:tcW w:w="766"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7</w:t>
            </w:r>
          </w:p>
        </w:tc>
        <w:tc>
          <w:tcPr>
            <w:tcW w:w="1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100%</w:t>
            </w:r>
          </w:p>
        </w:tc>
      </w:tr>
      <w:tr>
        <w:tblPrEx>
          <w:tblCellMar>
            <w:top w:w="0" w:type="dxa"/>
            <w:left w:w="0" w:type="dxa"/>
            <w:bottom w:w="0" w:type="dxa"/>
            <w:right w:w="0" w:type="dxa"/>
          </w:tblCellMar>
        </w:tblPrEx>
        <w:trPr>
          <w:trHeight w:val="340" w:hRule="atLeast"/>
          <w:jc w:val="center"/>
        </w:trPr>
        <w:tc>
          <w:tcPr>
            <w:tcW w:w="1198" w:type="dxa"/>
            <w:vMerge w:val="continue"/>
            <w:tcBorders>
              <w:left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仿宋" w:cs="Times New Roman"/>
                <w:color w:val="auto"/>
                <w:kern w:val="0"/>
                <w:sz w:val="22"/>
                <w:szCs w:val="22"/>
                <w:highlight w:val="none"/>
                <w:lang w:val="en-US" w:eastAsia="zh-CN" w:bidi="ar"/>
              </w:rPr>
            </w:pPr>
          </w:p>
        </w:tc>
        <w:tc>
          <w:tcPr>
            <w:tcW w:w="1366" w:type="dxa"/>
            <w:vMerge w:val="continue"/>
            <w:tcBorders>
              <w:left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p>
        </w:tc>
        <w:tc>
          <w:tcPr>
            <w:tcW w:w="12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C402农村实用人才培训投入资金（万元）</w:t>
            </w:r>
          </w:p>
        </w:tc>
        <w:tc>
          <w:tcPr>
            <w:tcW w:w="67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eastAsia"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7</w:t>
            </w:r>
          </w:p>
        </w:tc>
        <w:tc>
          <w:tcPr>
            <w:tcW w:w="125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考察项目成本</w:t>
            </w:r>
          </w:p>
        </w:tc>
        <w:tc>
          <w:tcPr>
            <w:tcW w:w="933"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&lt;=52.14万元</w:t>
            </w:r>
          </w:p>
        </w:tc>
        <w:tc>
          <w:tcPr>
            <w:tcW w:w="1172"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通用标准</w:t>
            </w:r>
          </w:p>
        </w:tc>
        <w:tc>
          <w:tcPr>
            <w:tcW w:w="2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考察项目成本有没有高于平均市场成本，是否节约成本，成本如虚高该项不得分</w:t>
            </w:r>
          </w:p>
        </w:tc>
        <w:tc>
          <w:tcPr>
            <w:tcW w:w="2020"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查证单位财务资料该项目成本符合标准，并按时支付完52.14万元，</w:t>
            </w:r>
            <w:r>
              <w:rPr>
                <w:rFonts w:hint="default" w:ascii="Times New Roman" w:hAnsi="Times New Roman" w:eastAsia="仿宋" w:cs="Times New Roman"/>
                <w:color w:val="auto"/>
                <w:kern w:val="0"/>
                <w:sz w:val="22"/>
                <w:szCs w:val="22"/>
                <w:highlight w:val="none"/>
                <w:lang w:val="en-US" w:eastAsia="zh-CN" w:bidi="ar"/>
              </w:rPr>
              <w:t>该指标分值</w:t>
            </w:r>
            <w:r>
              <w:rPr>
                <w:rFonts w:hint="eastAsia" w:ascii="Times New Roman" w:hAnsi="Times New Roman" w:eastAsia="仿宋" w:cs="Times New Roman"/>
                <w:color w:val="auto"/>
                <w:kern w:val="0"/>
                <w:sz w:val="22"/>
                <w:szCs w:val="22"/>
                <w:highlight w:val="none"/>
                <w:lang w:val="en-US" w:eastAsia="zh-CN" w:bidi="ar"/>
              </w:rPr>
              <w:t>7</w:t>
            </w:r>
            <w:r>
              <w:rPr>
                <w:rFonts w:hint="default" w:ascii="Times New Roman" w:hAnsi="Times New Roman" w:eastAsia="仿宋" w:cs="Times New Roman"/>
                <w:color w:val="auto"/>
                <w:kern w:val="0"/>
                <w:sz w:val="22"/>
                <w:szCs w:val="22"/>
                <w:highlight w:val="none"/>
                <w:lang w:val="en-US" w:eastAsia="zh-CN" w:bidi="ar"/>
              </w:rPr>
              <w:t>分，得</w:t>
            </w:r>
            <w:r>
              <w:rPr>
                <w:rFonts w:hint="eastAsia" w:ascii="Times New Roman" w:hAnsi="Times New Roman" w:eastAsia="仿宋" w:cs="Times New Roman"/>
                <w:color w:val="auto"/>
                <w:kern w:val="0"/>
                <w:sz w:val="22"/>
                <w:szCs w:val="22"/>
                <w:highlight w:val="none"/>
                <w:lang w:val="en-US" w:eastAsia="zh-CN" w:bidi="ar"/>
              </w:rPr>
              <w:t>7</w:t>
            </w:r>
            <w:r>
              <w:rPr>
                <w:rFonts w:hint="default" w:ascii="Times New Roman" w:hAnsi="Times New Roman" w:eastAsia="仿宋" w:cs="Times New Roman"/>
                <w:color w:val="auto"/>
                <w:kern w:val="0"/>
                <w:sz w:val="22"/>
                <w:szCs w:val="22"/>
                <w:highlight w:val="none"/>
                <w:lang w:val="en-US" w:eastAsia="zh-CN" w:bidi="ar"/>
              </w:rPr>
              <w:t>分。</w:t>
            </w:r>
          </w:p>
        </w:tc>
        <w:tc>
          <w:tcPr>
            <w:tcW w:w="766"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7</w:t>
            </w:r>
          </w:p>
        </w:tc>
        <w:tc>
          <w:tcPr>
            <w:tcW w:w="1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100%</w:t>
            </w:r>
          </w:p>
        </w:tc>
      </w:tr>
      <w:tr>
        <w:tblPrEx>
          <w:tblCellMar>
            <w:top w:w="0" w:type="dxa"/>
            <w:left w:w="0" w:type="dxa"/>
            <w:bottom w:w="0" w:type="dxa"/>
            <w:right w:w="0" w:type="dxa"/>
          </w:tblCellMar>
        </w:tblPrEx>
        <w:trPr>
          <w:trHeight w:val="340" w:hRule="atLeast"/>
          <w:jc w:val="center"/>
        </w:trPr>
        <w:tc>
          <w:tcPr>
            <w:tcW w:w="1198" w:type="dxa"/>
            <w:vMerge w:val="restart"/>
            <w:tcBorders>
              <w:left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D 项目</w:t>
            </w:r>
            <w:r>
              <w:rPr>
                <w:rFonts w:hint="eastAsia" w:ascii="Times New Roman" w:hAnsi="Times New Roman" w:eastAsia="仿宋" w:cs="Times New Roman"/>
                <w:color w:val="auto"/>
                <w:kern w:val="0"/>
                <w:sz w:val="22"/>
                <w:szCs w:val="22"/>
                <w:highlight w:val="none"/>
                <w:lang w:val="en-US" w:eastAsia="zh-CN" w:bidi="ar"/>
              </w:rPr>
              <w:t>效益</w:t>
            </w:r>
            <w:r>
              <w:rPr>
                <w:rFonts w:hint="default" w:ascii="Times New Roman" w:hAnsi="Times New Roman" w:eastAsia="仿宋" w:cs="Times New Roman"/>
                <w:color w:val="auto"/>
                <w:kern w:val="0"/>
                <w:sz w:val="22"/>
                <w:szCs w:val="22"/>
                <w:highlight w:val="none"/>
                <w:lang w:val="en-US" w:eastAsia="zh-CN" w:bidi="ar"/>
              </w:rPr>
              <w:t>（</w:t>
            </w:r>
            <w:r>
              <w:rPr>
                <w:rFonts w:hint="eastAsia" w:ascii="Times New Roman" w:hAnsi="Times New Roman" w:eastAsia="仿宋" w:cs="Times New Roman"/>
                <w:color w:val="auto"/>
                <w:kern w:val="0"/>
                <w:sz w:val="22"/>
                <w:szCs w:val="22"/>
                <w:highlight w:val="none"/>
                <w:lang w:val="en-US" w:eastAsia="zh-CN" w:bidi="ar"/>
              </w:rPr>
              <w:t>20</w:t>
            </w:r>
            <w:r>
              <w:rPr>
                <w:rFonts w:hint="default" w:ascii="Times New Roman" w:hAnsi="Times New Roman" w:eastAsia="仿宋" w:cs="Times New Roman"/>
                <w:color w:val="auto"/>
                <w:kern w:val="0"/>
                <w:sz w:val="22"/>
                <w:szCs w:val="22"/>
                <w:highlight w:val="none"/>
                <w:lang w:val="en-US" w:eastAsia="zh-CN" w:bidi="ar"/>
              </w:rPr>
              <w:t>）</w:t>
            </w:r>
          </w:p>
        </w:tc>
        <w:tc>
          <w:tcPr>
            <w:tcW w:w="1366"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D1项目效益</w:t>
            </w:r>
            <w:r>
              <w:rPr>
                <w:rFonts w:hint="default" w:ascii="Times New Roman" w:hAnsi="Times New Roman" w:eastAsia="仿宋" w:cs="Times New Roman"/>
                <w:color w:val="auto"/>
                <w:kern w:val="0"/>
                <w:sz w:val="22"/>
                <w:szCs w:val="22"/>
                <w:highlight w:val="none"/>
                <w:lang w:val="en-US" w:eastAsia="zh-CN" w:bidi="ar"/>
              </w:rPr>
              <w:t>（</w:t>
            </w:r>
            <w:r>
              <w:rPr>
                <w:rFonts w:hint="eastAsia" w:ascii="Times New Roman" w:hAnsi="Times New Roman" w:eastAsia="仿宋" w:cs="Times New Roman"/>
                <w:color w:val="auto"/>
                <w:kern w:val="0"/>
                <w:sz w:val="22"/>
                <w:szCs w:val="22"/>
                <w:highlight w:val="none"/>
                <w:lang w:val="en-US" w:eastAsia="zh-CN" w:bidi="ar"/>
              </w:rPr>
              <w:t>10</w:t>
            </w:r>
            <w:r>
              <w:rPr>
                <w:rFonts w:hint="default" w:ascii="Times New Roman" w:hAnsi="Times New Roman" w:eastAsia="仿宋" w:cs="Times New Roman"/>
                <w:color w:val="auto"/>
                <w:kern w:val="0"/>
                <w:sz w:val="22"/>
                <w:szCs w:val="22"/>
                <w:highlight w:val="none"/>
                <w:lang w:val="en-US" w:eastAsia="zh-CN" w:bidi="ar"/>
              </w:rPr>
              <w:t>）</w:t>
            </w:r>
          </w:p>
        </w:tc>
        <w:tc>
          <w:tcPr>
            <w:tcW w:w="12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D101高素质农民生产经营能力和带动能力</w:t>
            </w:r>
          </w:p>
        </w:tc>
        <w:tc>
          <w:tcPr>
            <w:tcW w:w="67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w:t>
            </w:r>
          </w:p>
        </w:tc>
        <w:tc>
          <w:tcPr>
            <w:tcW w:w="125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考察项目社会效益</w:t>
            </w:r>
          </w:p>
        </w:tc>
        <w:tc>
          <w:tcPr>
            <w:tcW w:w="933"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明显增强</w:t>
            </w:r>
          </w:p>
        </w:tc>
        <w:tc>
          <w:tcPr>
            <w:tcW w:w="1172"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通用标准</w:t>
            </w:r>
          </w:p>
        </w:tc>
        <w:tc>
          <w:tcPr>
            <w:tcW w:w="2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考察项目实施对生产经营能力与人才带动能力增强效果</w:t>
            </w:r>
          </w:p>
        </w:tc>
        <w:tc>
          <w:tcPr>
            <w:tcW w:w="2020"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高素质农民经过培训后，生产经营能力得到实质性增强，培训项目还加强了农村地区的社会联系和合作氛围，</w:t>
            </w:r>
            <w:r>
              <w:rPr>
                <w:rFonts w:hint="default" w:ascii="Times New Roman" w:hAnsi="Times New Roman" w:eastAsia="仿宋" w:cs="Times New Roman"/>
                <w:color w:val="auto"/>
                <w:kern w:val="0"/>
                <w:sz w:val="22"/>
                <w:szCs w:val="22"/>
                <w:highlight w:val="none"/>
                <w:lang w:val="en-US" w:eastAsia="zh-CN" w:bidi="ar"/>
              </w:rPr>
              <w:t>该指标分值</w:t>
            </w:r>
            <w:r>
              <w:rPr>
                <w:rFonts w:hint="eastAsia" w:ascii="Times New Roman" w:hAnsi="Times New Roman" w:eastAsia="仿宋" w:cs="Times New Roman"/>
                <w:color w:val="auto"/>
                <w:kern w:val="0"/>
                <w:sz w:val="22"/>
                <w:szCs w:val="22"/>
                <w:highlight w:val="none"/>
                <w:lang w:val="en-US" w:eastAsia="zh-CN" w:bidi="ar"/>
              </w:rPr>
              <w:t>10</w:t>
            </w:r>
            <w:r>
              <w:rPr>
                <w:rFonts w:hint="default" w:ascii="Times New Roman" w:hAnsi="Times New Roman" w:eastAsia="仿宋" w:cs="Times New Roman"/>
                <w:color w:val="auto"/>
                <w:kern w:val="0"/>
                <w:sz w:val="22"/>
                <w:szCs w:val="22"/>
                <w:highlight w:val="none"/>
                <w:lang w:val="en-US" w:eastAsia="zh-CN" w:bidi="ar"/>
              </w:rPr>
              <w:t>分，得</w:t>
            </w:r>
            <w:r>
              <w:rPr>
                <w:rFonts w:hint="eastAsia" w:ascii="Times New Roman" w:hAnsi="Times New Roman" w:eastAsia="仿宋" w:cs="Times New Roman"/>
                <w:color w:val="auto"/>
                <w:kern w:val="0"/>
                <w:sz w:val="22"/>
                <w:szCs w:val="22"/>
                <w:highlight w:val="none"/>
                <w:lang w:val="en-US" w:eastAsia="zh-CN" w:bidi="ar"/>
              </w:rPr>
              <w:t>10</w:t>
            </w:r>
            <w:r>
              <w:rPr>
                <w:rFonts w:hint="default" w:ascii="Times New Roman" w:hAnsi="Times New Roman" w:eastAsia="仿宋" w:cs="Times New Roman"/>
                <w:color w:val="auto"/>
                <w:kern w:val="0"/>
                <w:sz w:val="22"/>
                <w:szCs w:val="22"/>
                <w:highlight w:val="none"/>
                <w:lang w:val="en-US" w:eastAsia="zh-CN" w:bidi="ar"/>
              </w:rPr>
              <w:t>分。</w:t>
            </w:r>
          </w:p>
        </w:tc>
        <w:tc>
          <w:tcPr>
            <w:tcW w:w="766"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w:t>
            </w:r>
          </w:p>
        </w:tc>
        <w:tc>
          <w:tcPr>
            <w:tcW w:w="1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100%</w:t>
            </w:r>
          </w:p>
        </w:tc>
      </w:tr>
      <w:tr>
        <w:tblPrEx>
          <w:tblCellMar>
            <w:top w:w="0" w:type="dxa"/>
            <w:left w:w="0" w:type="dxa"/>
            <w:bottom w:w="0" w:type="dxa"/>
            <w:right w:w="0" w:type="dxa"/>
          </w:tblCellMar>
        </w:tblPrEx>
        <w:trPr>
          <w:trHeight w:val="340" w:hRule="atLeast"/>
          <w:jc w:val="center"/>
        </w:trPr>
        <w:tc>
          <w:tcPr>
            <w:tcW w:w="1198" w:type="dxa"/>
            <w:vMerge w:val="continue"/>
            <w:tcBorders>
              <w:left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仿宋" w:cs="Times New Roman"/>
                <w:color w:val="auto"/>
                <w:sz w:val="22"/>
                <w:szCs w:val="22"/>
                <w:highlight w:val="none"/>
              </w:rPr>
            </w:pPr>
          </w:p>
        </w:tc>
        <w:tc>
          <w:tcPr>
            <w:tcW w:w="1366"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D2满意度</w:t>
            </w:r>
            <w:r>
              <w:rPr>
                <w:rFonts w:hint="default" w:ascii="Times New Roman" w:hAnsi="Times New Roman" w:eastAsia="仿宋" w:cs="Times New Roman"/>
                <w:color w:val="auto"/>
                <w:kern w:val="0"/>
                <w:sz w:val="22"/>
                <w:szCs w:val="22"/>
                <w:highlight w:val="none"/>
                <w:lang w:val="en-US" w:eastAsia="zh-CN" w:bidi="ar"/>
              </w:rPr>
              <w:t>（</w:t>
            </w:r>
            <w:r>
              <w:rPr>
                <w:rFonts w:hint="eastAsia" w:ascii="Times New Roman" w:hAnsi="Times New Roman" w:eastAsia="仿宋" w:cs="Times New Roman"/>
                <w:color w:val="auto"/>
                <w:kern w:val="0"/>
                <w:sz w:val="22"/>
                <w:szCs w:val="22"/>
                <w:highlight w:val="none"/>
                <w:lang w:val="en-US" w:eastAsia="zh-CN" w:bidi="ar"/>
              </w:rPr>
              <w:t>10</w:t>
            </w:r>
            <w:r>
              <w:rPr>
                <w:rFonts w:hint="default" w:ascii="Times New Roman" w:hAnsi="Times New Roman" w:eastAsia="仿宋" w:cs="Times New Roman"/>
                <w:color w:val="auto"/>
                <w:kern w:val="0"/>
                <w:sz w:val="22"/>
                <w:szCs w:val="22"/>
                <w:highlight w:val="none"/>
                <w:lang w:val="en-US" w:eastAsia="zh-CN" w:bidi="ar"/>
              </w:rPr>
              <w:t>）</w:t>
            </w:r>
          </w:p>
        </w:tc>
        <w:tc>
          <w:tcPr>
            <w:tcW w:w="12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D201培训学员满意度</w:t>
            </w:r>
          </w:p>
        </w:tc>
        <w:tc>
          <w:tcPr>
            <w:tcW w:w="67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w:t>
            </w:r>
          </w:p>
        </w:tc>
        <w:tc>
          <w:tcPr>
            <w:tcW w:w="125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考察培训学员满意度情况</w:t>
            </w:r>
          </w:p>
        </w:tc>
        <w:tc>
          <w:tcPr>
            <w:tcW w:w="933"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&gt;=95%</w:t>
            </w:r>
          </w:p>
        </w:tc>
        <w:tc>
          <w:tcPr>
            <w:tcW w:w="1172"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通用标准</w:t>
            </w:r>
          </w:p>
        </w:tc>
        <w:tc>
          <w:tcPr>
            <w:tcW w:w="2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考察培训学员满意度情况</w:t>
            </w:r>
          </w:p>
        </w:tc>
        <w:tc>
          <w:tcPr>
            <w:tcW w:w="2020"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调研发放满意度问卷60份，回收有效问卷60份，满意度达到99%，</w:t>
            </w:r>
            <w:r>
              <w:rPr>
                <w:rFonts w:hint="default" w:ascii="Times New Roman" w:hAnsi="Times New Roman" w:eastAsia="仿宋" w:cs="Times New Roman"/>
                <w:color w:val="auto"/>
                <w:kern w:val="0"/>
                <w:sz w:val="22"/>
                <w:szCs w:val="22"/>
                <w:highlight w:val="none"/>
                <w:lang w:val="en-US" w:eastAsia="zh-CN" w:bidi="ar"/>
              </w:rPr>
              <w:t>该指标分值</w:t>
            </w:r>
            <w:r>
              <w:rPr>
                <w:rFonts w:hint="eastAsia" w:ascii="Times New Roman" w:hAnsi="Times New Roman" w:eastAsia="仿宋" w:cs="Times New Roman"/>
                <w:color w:val="auto"/>
                <w:kern w:val="0"/>
                <w:sz w:val="22"/>
                <w:szCs w:val="22"/>
                <w:highlight w:val="none"/>
                <w:lang w:val="en-US" w:eastAsia="zh-CN" w:bidi="ar"/>
              </w:rPr>
              <w:t>10</w:t>
            </w:r>
            <w:r>
              <w:rPr>
                <w:rFonts w:hint="default" w:ascii="Times New Roman" w:hAnsi="Times New Roman" w:eastAsia="仿宋" w:cs="Times New Roman"/>
                <w:color w:val="auto"/>
                <w:kern w:val="0"/>
                <w:sz w:val="22"/>
                <w:szCs w:val="22"/>
                <w:highlight w:val="none"/>
                <w:lang w:val="en-US" w:eastAsia="zh-CN" w:bidi="ar"/>
              </w:rPr>
              <w:t>分，得</w:t>
            </w:r>
            <w:r>
              <w:rPr>
                <w:rFonts w:hint="eastAsia" w:ascii="Times New Roman" w:hAnsi="Times New Roman" w:eastAsia="仿宋" w:cs="Times New Roman"/>
                <w:color w:val="auto"/>
                <w:kern w:val="0"/>
                <w:sz w:val="22"/>
                <w:szCs w:val="22"/>
                <w:highlight w:val="none"/>
                <w:lang w:val="en-US" w:eastAsia="zh-CN" w:bidi="ar"/>
              </w:rPr>
              <w:t>10</w:t>
            </w:r>
            <w:r>
              <w:rPr>
                <w:rFonts w:hint="default" w:ascii="Times New Roman" w:hAnsi="Times New Roman" w:eastAsia="仿宋" w:cs="Times New Roman"/>
                <w:color w:val="auto"/>
                <w:kern w:val="0"/>
                <w:sz w:val="22"/>
                <w:szCs w:val="22"/>
                <w:highlight w:val="none"/>
                <w:lang w:val="en-US" w:eastAsia="zh-CN" w:bidi="ar"/>
              </w:rPr>
              <w:t>分。</w:t>
            </w:r>
          </w:p>
        </w:tc>
        <w:tc>
          <w:tcPr>
            <w:tcW w:w="7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w:t>
            </w:r>
          </w:p>
        </w:tc>
        <w:tc>
          <w:tcPr>
            <w:tcW w:w="10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100%</w:t>
            </w:r>
          </w:p>
        </w:tc>
      </w:tr>
      <w:tr>
        <w:tblPrEx>
          <w:tblCellMar>
            <w:top w:w="0" w:type="dxa"/>
            <w:left w:w="0" w:type="dxa"/>
            <w:bottom w:w="0" w:type="dxa"/>
            <w:right w:w="0" w:type="dxa"/>
          </w:tblCellMar>
        </w:tblPrEx>
        <w:trPr>
          <w:trHeight w:val="340" w:hRule="atLeast"/>
          <w:jc w:val="center"/>
        </w:trPr>
        <w:tc>
          <w:tcPr>
            <w:tcW w:w="11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b/>
                <w:color w:val="auto"/>
                <w:kern w:val="0"/>
                <w:sz w:val="22"/>
                <w:szCs w:val="22"/>
                <w:highlight w:val="none"/>
                <w:lang w:bidi="ar"/>
              </w:rPr>
              <w:t>总分</w:t>
            </w:r>
          </w:p>
        </w:tc>
        <w:tc>
          <w:tcPr>
            <w:tcW w:w="13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100</w:t>
            </w:r>
          </w:p>
        </w:tc>
        <w:tc>
          <w:tcPr>
            <w:tcW w:w="1224"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p>
        </w:tc>
        <w:tc>
          <w:tcPr>
            <w:tcW w:w="67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100</w:t>
            </w:r>
          </w:p>
        </w:tc>
        <w:tc>
          <w:tcPr>
            <w:tcW w:w="125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p>
        </w:tc>
        <w:tc>
          <w:tcPr>
            <w:tcW w:w="93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p>
        </w:tc>
        <w:tc>
          <w:tcPr>
            <w:tcW w:w="117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p>
        </w:tc>
        <w:tc>
          <w:tcPr>
            <w:tcW w:w="2305" w:type="dxa"/>
            <w:tcBorders>
              <w:top w:val="single" w:color="000000" w:sz="4" w:space="0"/>
              <w:left w:val="nil"/>
              <w:bottom w:val="single" w:color="000000" w:sz="4" w:space="0"/>
              <w:right w:val="single" w:color="auto"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p>
        </w:tc>
        <w:tc>
          <w:tcPr>
            <w:tcW w:w="2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utoSpaceDE w:val="0"/>
              <w:jc w:val="left"/>
              <w:textAlignment w:val="center"/>
              <w:rPr>
                <w:rFonts w:hint="default" w:ascii="Times New Roman" w:hAnsi="Times New Roman" w:eastAsia="仿宋" w:cs="Times New Roman"/>
                <w:color w:val="auto"/>
                <w:kern w:val="0"/>
                <w:sz w:val="22"/>
                <w:szCs w:val="22"/>
                <w:highlight w:val="none"/>
                <w:lang w:val="en-US" w:eastAsia="zh-CN" w:bidi="ar"/>
              </w:rPr>
            </w:pPr>
          </w:p>
        </w:tc>
        <w:tc>
          <w:tcPr>
            <w:tcW w:w="7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98</w:t>
            </w:r>
          </w:p>
        </w:tc>
        <w:tc>
          <w:tcPr>
            <w:tcW w:w="10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utoSpaceDE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98%</w:t>
            </w:r>
          </w:p>
        </w:tc>
      </w:tr>
    </w:tbl>
    <w:p>
      <w:pPr>
        <w:pStyle w:val="4"/>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bookmarkStart w:id="13" w:name="_GoBack"/>
      <w:bookmarkEnd w:id="13"/>
    </w:p>
    <w:p>
      <w:pPr>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F4C00D-521A-45B8-96E2-A5F853A2D6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EBDDEC5-0BBA-4045-902E-C70F9356446C}"/>
  </w:font>
  <w:font w:name="仿宋_GB2312">
    <w:panose1 w:val="02010609030101010101"/>
    <w:charset w:val="86"/>
    <w:family w:val="modern"/>
    <w:pitch w:val="default"/>
    <w:sig w:usb0="00000001" w:usb1="080E0000" w:usb2="00000000" w:usb3="00000000" w:csb0="00040000" w:csb1="00000000"/>
    <w:embedRegular r:id="rId3" w:fontKey="{5DA9E4F2-B064-4456-9473-854F9E71F008}"/>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embedRegular r:id="rId4" w:fontKey="{C8C4C69C-886E-46B3-A2BA-2F5D6438CADE}"/>
  </w:font>
  <w:font w:name="方正小标宋_GBK">
    <w:panose1 w:val="02000000000000000000"/>
    <w:charset w:val="86"/>
    <w:family w:val="auto"/>
    <w:pitch w:val="default"/>
    <w:sig w:usb0="A00002BF" w:usb1="38CF7CFA" w:usb2="00082016" w:usb3="00000000" w:csb0="00040001" w:csb1="00000000"/>
    <w:embedRegular r:id="rId5" w:fontKey="{05DB7835-A03E-470E-92FC-B4C265442DF0}"/>
  </w:font>
  <w:font w:name="方正黑体_GBK">
    <w:panose1 w:val="02000000000000000000"/>
    <w:charset w:val="86"/>
    <w:family w:val="auto"/>
    <w:pitch w:val="default"/>
    <w:sig w:usb0="A00002BF" w:usb1="38CF7CFA" w:usb2="00082016" w:usb3="00000000" w:csb0="00040001" w:csb1="00000000"/>
    <w:embedRegular r:id="rId6" w:fontKey="{37B13A38-80B8-4FBC-847B-E90089DA3112}"/>
  </w:font>
  <w:font w:name="隶书">
    <w:panose1 w:val="02010509060101010101"/>
    <w:charset w:val="86"/>
    <w:family w:val="modern"/>
    <w:pitch w:val="default"/>
    <w:sig w:usb0="00000001" w:usb1="080E0000" w:usb2="00000000" w:usb3="00000000" w:csb0="00040000" w:csb1="00000000"/>
    <w:embedRegular r:id="rId7" w:fontKey="{F457DBCF-420F-4FB1-A275-3CA732C50CA4}"/>
  </w:font>
  <w:font w:name="方正楷体_GBK">
    <w:panose1 w:val="02000000000000000000"/>
    <w:charset w:val="86"/>
    <w:family w:val="auto"/>
    <w:pitch w:val="default"/>
    <w:sig w:usb0="A00002BF" w:usb1="38CF7CFA" w:usb2="00082016" w:usb3="00000000" w:csb0="00040001" w:csb1="00000000"/>
    <w:embedRegular r:id="rId8" w:fontKey="{43A5D05A-5FBE-4D98-BD33-FF6261DAEB4A}"/>
  </w:font>
  <w:font w:name="楷体">
    <w:panose1 w:val="02010609060101010101"/>
    <w:charset w:val="86"/>
    <w:family w:val="auto"/>
    <w:pitch w:val="default"/>
    <w:sig w:usb0="800002BF" w:usb1="38CF7CFA" w:usb2="00000016" w:usb3="00000000" w:csb0="00040001" w:csb1="00000000"/>
    <w:embedRegular r:id="rId9" w:fontKey="{CDDE6C68-35C5-4830-A312-85975B67A3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4212"/>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pBdr>
        <w:bottom w:val="none" w:color="auto" w:sz="0" w:space="1"/>
      </w:pBdr>
      <w:kinsoku/>
      <w:wordWrap/>
      <w:overflowPunct/>
      <w:topLinePunct w:val="0"/>
      <w:bidi w:val="0"/>
      <w:adjustRightInd/>
      <w:snapToGrid w:val="0"/>
      <w:spacing w:after="0" w:line="300" w:lineRule="exact"/>
      <w:jc w:val="left"/>
      <w:textAlignment w:val="auto"/>
      <w:outlineLvl w:val="9"/>
      <w:rPr>
        <w:rFonts w:hint="default" w:ascii="Times New Roman" w:hAnsi="Times New Roman" w:eastAsia="宋体" w:cs="Times New Roman"/>
        <w:b w:val="0"/>
        <w:bCs w:val="0"/>
        <w:sz w:val="21"/>
        <w:szCs w:val="21"/>
      </w:rPr>
    </w:pPr>
    <w:r>
      <w:rPr>
        <w:rFonts w:hint="eastAsia" w:ascii="隶书" w:hAnsi="宋体"/>
        <w:b w:val="0"/>
        <w:bCs w:val="0"/>
        <w:sz w:val="21"/>
        <w:szCs w:val="21"/>
      </w:rPr>
      <w:t>新</w:t>
    </w:r>
    <w:r>
      <w:rPr>
        <w:rFonts w:hint="eastAsia" w:ascii="隶书" w:hAnsi="宋体" w:eastAsia="宋体"/>
        <w:b w:val="0"/>
        <w:bCs w:val="0"/>
        <w:sz w:val="21"/>
        <w:szCs w:val="21"/>
      </w:rPr>
      <w:t>疆</w:t>
    </w:r>
    <w:r>
      <w:rPr>
        <w:rFonts w:hint="eastAsia" w:ascii="隶书" w:hAnsi="宋体"/>
        <w:b w:val="0"/>
        <w:bCs w:val="0"/>
        <w:sz w:val="21"/>
        <w:szCs w:val="21"/>
        <w:lang w:val="en-US" w:eastAsia="zh-CN"/>
      </w:rPr>
      <w:t>智汇铭宸科技</w:t>
    </w:r>
    <w:r>
      <w:rPr>
        <w:rFonts w:hint="eastAsia" w:ascii="隶书" w:hAnsi="宋体" w:eastAsia="宋体"/>
        <w:b w:val="0"/>
        <w:bCs w:val="0"/>
        <w:sz w:val="21"/>
        <w:szCs w:val="21"/>
        <w:lang w:val="en-US" w:eastAsia="zh-CN"/>
      </w:rPr>
      <w:t>咨询</w:t>
    </w:r>
    <w:r>
      <w:rPr>
        <w:rFonts w:hint="eastAsia" w:ascii="隶书" w:hAnsi="宋体" w:eastAsia="宋体"/>
        <w:b w:val="0"/>
        <w:bCs w:val="0"/>
        <w:sz w:val="21"/>
        <w:szCs w:val="21"/>
      </w:rPr>
      <w:t>有限</w:t>
    </w:r>
    <w:r>
      <w:rPr>
        <w:rFonts w:hint="eastAsia" w:ascii="隶书" w:hAnsi="宋体" w:eastAsia="宋体"/>
        <w:b w:val="0"/>
        <w:bCs w:val="0"/>
        <w:sz w:val="21"/>
        <w:szCs w:val="21"/>
        <w:lang w:val="en-US" w:eastAsia="zh-CN"/>
      </w:rPr>
      <w:t>公司</w:t>
    </w:r>
    <w:r>
      <w:rPr>
        <w:rFonts w:hint="eastAsia" w:ascii="隶书" w:hAnsi="宋体" w:eastAsia="宋体"/>
        <w:b w:val="0"/>
        <w:bCs w:val="0"/>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MTIxNTJlMjY2NjM5NjdjYmYwZjVhYjA4ZGEwODEifQ=="/>
  </w:docVars>
  <w:rsids>
    <w:rsidRoot w:val="0966299D"/>
    <w:rsid w:val="00103897"/>
    <w:rsid w:val="00313912"/>
    <w:rsid w:val="013F7A9A"/>
    <w:rsid w:val="01EF3980"/>
    <w:rsid w:val="01F32976"/>
    <w:rsid w:val="02FE20CD"/>
    <w:rsid w:val="030C19A7"/>
    <w:rsid w:val="031F3DF1"/>
    <w:rsid w:val="033B6E7D"/>
    <w:rsid w:val="041A1188"/>
    <w:rsid w:val="046749DD"/>
    <w:rsid w:val="05235E1B"/>
    <w:rsid w:val="055D636D"/>
    <w:rsid w:val="05FD48BE"/>
    <w:rsid w:val="069074E0"/>
    <w:rsid w:val="06DF3FC3"/>
    <w:rsid w:val="07B3689F"/>
    <w:rsid w:val="08D4742C"/>
    <w:rsid w:val="08FC0E5C"/>
    <w:rsid w:val="091361A6"/>
    <w:rsid w:val="0966299D"/>
    <w:rsid w:val="0AF81AF7"/>
    <w:rsid w:val="0B072310"/>
    <w:rsid w:val="0B097861"/>
    <w:rsid w:val="0B0A354C"/>
    <w:rsid w:val="0B257EEC"/>
    <w:rsid w:val="0C0D512F"/>
    <w:rsid w:val="0C3628D7"/>
    <w:rsid w:val="0D571CAC"/>
    <w:rsid w:val="0D7B505C"/>
    <w:rsid w:val="0DA33F9D"/>
    <w:rsid w:val="0E597B37"/>
    <w:rsid w:val="0F962004"/>
    <w:rsid w:val="10DE6CB2"/>
    <w:rsid w:val="11655F9D"/>
    <w:rsid w:val="117B70B3"/>
    <w:rsid w:val="12336D21"/>
    <w:rsid w:val="13076D7C"/>
    <w:rsid w:val="138613B9"/>
    <w:rsid w:val="13D36C5E"/>
    <w:rsid w:val="14260760"/>
    <w:rsid w:val="146124BC"/>
    <w:rsid w:val="146B50E8"/>
    <w:rsid w:val="155618F4"/>
    <w:rsid w:val="15AB60E4"/>
    <w:rsid w:val="161466D7"/>
    <w:rsid w:val="165D34A1"/>
    <w:rsid w:val="18573340"/>
    <w:rsid w:val="191F585A"/>
    <w:rsid w:val="19EF056A"/>
    <w:rsid w:val="1ABF7F3C"/>
    <w:rsid w:val="1B854CE1"/>
    <w:rsid w:val="1BEE36D9"/>
    <w:rsid w:val="1CBD66FD"/>
    <w:rsid w:val="1E380731"/>
    <w:rsid w:val="1E8F7C25"/>
    <w:rsid w:val="1F332CA6"/>
    <w:rsid w:val="20234AC9"/>
    <w:rsid w:val="205D622D"/>
    <w:rsid w:val="227635D6"/>
    <w:rsid w:val="22C7696B"/>
    <w:rsid w:val="238B4E5F"/>
    <w:rsid w:val="23907E55"/>
    <w:rsid w:val="25E16A49"/>
    <w:rsid w:val="26C436A5"/>
    <w:rsid w:val="27800A53"/>
    <w:rsid w:val="284D23F2"/>
    <w:rsid w:val="28893937"/>
    <w:rsid w:val="297D0F6A"/>
    <w:rsid w:val="2A59392D"/>
    <w:rsid w:val="2B1716CE"/>
    <w:rsid w:val="2CF37A4F"/>
    <w:rsid w:val="2DD90EBD"/>
    <w:rsid w:val="2E84235F"/>
    <w:rsid w:val="2F2C0B1D"/>
    <w:rsid w:val="2F4A2E19"/>
    <w:rsid w:val="2FF63FA8"/>
    <w:rsid w:val="3045283A"/>
    <w:rsid w:val="310149B3"/>
    <w:rsid w:val="31181CFC"/>
    <w:rsid w:val="31AD68E8"/>
    <w:rsid w:val="31B9528D"/>
    <w:rsid w:val="31FC33CC"/>
    <w:rsid w:val="320C1861"/>
    <w:rsid w:val="325B6344"/>
    <w:rsid w:val="32A001FB"/>
    <w:rsid w:val="333B4522"/>
    <w:rsid w:val="338E5DCB"/>
    <w:rsid w:val="340F5638"/>
    <w:rsid w:val="36B83D65"/>
    <w:rsid w:val="370074BA"/>
    <w:rsid w:val="37427AD3"/>
    <w:rsid w:val="376932B2"/>
    <w:rsid w:val="37A14BDC"/>
    <w:rsid w:val="3AD60C5E"/>
    <w:rsid w:val="3B624143"/>
    <w:rsid w:val="3B693880"/>
    <w:rsid w:val="3C1732DC"/>
    <w:rsid w:val="3C726653"/>
    <w:rsid w:val="3C8F1D62"/>
    <w:rsid w:val="3DE11DF4"/>
    <w:rsid w:val="3DFF04CC"/>
    <w:rsid w:val="3E861C95"/>
    <w:rsid w:val="3ED6747E"/>
    <w:rsid w:val="3F161F71"/>
    <w:rsid w:val="3F437366"/>
    <w:rsid w:val="3F4A5777"/>
    <w:rsid w:val="3FB05F21"/>
    <w:rsid w:val="3FFA55CD"/>
    <w:rsid w:val="405932EB"/>
    <w:rsid w:val="41110C42"/>
    <w:rsid w:val="41742F7F"/>
    <w:rsid w:val="42080260"/>
    <w:rsid w:val="42254279"/>
    <w:rsid w:val="445D419E"/>
    <w:rsid w:val="449556E6"/>
    <w:rsid w:val="45140D01"/>
    <w:rsid w:val="46BB51AC"/>
    <w:rsid w:val="48A028AB"/>
    <w:rsid w:val="48A57EC2"/>
    <w:rsid w:val="492B4235"/>
    <w:rsid w:val="499A554C"/>
    <w:rsid w:val="4A235542"/>
    <w:rsid w:val="4AA06B93"/>
    <w:rsid w:val="4BE60F1D"/>
    <w:rsid w:val="4C9C2831"/>
    <w:rsid w:val="4F365D17"/>
    <w:rsid w:val="4F806F93"/>
    <w:rsid w:val="501A1195"/>
    <w:rsid w:val="504C2DF0"/>
    <w:rsid w:val="50A0169A"/>
    <w:rsid w:val="50DC549F"/>
    <w:rsid w:val="51875CD1"/>
    <w:rsid w:val="52081BED"/>
    <w:rsid w:val="52236EFF"/>
    <w:rsid w:val="538C60CC"/>
    <w:rsid w:val="53F35F85"/>
    <w:rsid w:val="548F2152"/>
    <w:rsid w:val="557E3F74"/>
    <w:rsid w:val="559B4B26"/>
    <w:rsid w:val="55E60E8B"/>
    <w:rsid w:val="565828B0"/>
    <w:rsid w:val="565F02ED"/>
    <w:rsid w:val="568B4B9B"/>
    <w:rsid w:val="56ED315F"/>
    <w:rsid w:val="577109C8"/>
    <w:rsid w:val="578A30A4"/>
    <w:rsid w:val="58597148"/>
    <w:rsid w:val="590F1AB3"/>
    <w:rsid w:val="593A6404"/>
    <w:rsid w:val="595C281E"/>
    <w:rsid w:val="5991071A"/>
    <w:rsid w:val="5A875D41"/>
    <w:rsid w:val="5B3D3F8A"/>
    <w:rsid w:val="5B3F47D9"/>
    <w:rsid w:val="5CAE513F"/>
    <w:rsid w:val="5CCC1A69"/>
    <w:rsid w:val="5D172CE4"/>
    <w:rsid w:val="5D7843A7"/>
    <w:rsid w:val="5D8C2C6D"/>
    <w:rsid w:val="5DD74699"/>
    <w:rsid w:val="5E055233"/>
    <w:rsid w:val="5E1436C8"/>
    <w:rsid w:val="5E473A9D"/>
    <w:rsid w:val="5E710B1A"/>
    <w:rsid w:val="5E8F0FA0"/>
    <w:rsid w:val="5F3827E3"/>
    <w:rsid w:val="5FB80713"/>
    <w:rsid w:val="600C6FB6"/>
    <w:rsid w:val="60D34F34"/>
    <w:rsid w:val="60E92BEA"/>
    <w:rsid w:val="623954AB"/>
    <w:rsid w:val="62744735"/>
    <w:rsid w:val="63CE44AC"/>
    <w:rsid w:val="651162CA"/>
    <w:rsid w:val="653D3504"/>
    <w:rsid w:val="65AD68DC"/>
    <w:rsid w:val="66C70B33"/>
    <w:rsid w:val="679D64DC"/>
    <w:rsid w:val="68C02A57"/>
    <w:rsid w:val="68FE11FC"/>
    <w:rsid w:val="696C085C"/>
    <w:rsid w:val="6A1B17E0"/>
    <w:rsid w:val="6A68311E"/>
    <w:rsid w:val="6AFB1E97"/>
    <w:rsid w:val="6D16180B"/>
    <w:rsid w:val="6EF74EAA"/>
    <w:rsid w:val="70035E4A"/>
    <w:rsid w:val="702A0B29"/>
    <w:rsid w:val="704936A5"/>
    <w:rsid w:val="717A163C"/>
    <w:rsid w:val="724C122A"/>
    <w:rsid w:val="728B0008"/>
    <w:rsid w:val="7506180B"/>
    <w:rsid w:val="751A116C"/>
    <w:rsid w:val="751B4A79"/>
    <w:rsid w:val="754E1895"/>
    <w:rsid w:val="75647A72"/>
    <w:rsid w:val="763F06FC"/>
    <w:rsid w:val="76A553AD"/>
    <w:rsid w:val="77D71596"/>
    <w:rsid w:val="782D3D3A"/>
    <w:rsid w:val="78FD6DDA"/>
    <w:rsid w:val="79280A30"/>
    <w:rsid w:val="79E409FD"/>
    <w:rsid w:val="79FE105C"/>
    <w:rsid w:val="7A100D8F"/>
    <w:rsid w:val="7A5C0769"/>
    <w:rsid w:val="7A653295"/>
    <w:rsid w:val="7AA91222"/>
    <w:rsid w:val="7AC676A0"/>
    <w:rsid w:val="7CBE2D25"/>
    <w:rsid w:val="7CDE2C92"/>
    <w:rsid w:val="7D8B70AB"/>
    <w:rsid w:val="7DC73E5B"/>
    <w:rsid w:val="7DE0510C"/>
    <w:rsid w:val="7E7E0F36"/>
    <w:rsid w:val="7F376DBE"/>
    <w:rsid w:val="7F5259A6"/>
    <w:rsid w:val="7F617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jc w:val="left"/>
    </w:pPr>
    <w:rPr>
      <w:rFonts w:ascii="Calibri" w:hAnsi="Calibri" w:eastAsia="宋体" w:cs="Times New Roman"/>
      <w:kern w:val="0"/>
      <w:sz w:val="24"/>
      <w:szCs w:val="24"/>
      <w:lang w:val="en-US" w:eastAsia="zh-CN" w:bidi="ar"/>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3">
    <w:name w:val="Strong"/>
    <w:basedOn w:val="12"/>
    <w:qFormat/>
    <w:uiPriority w:val="0"/>
    <w:rPr>
      <w:b/>
      <w:bCs/>
    </w:rPr>
  </w:style>
  <w:style w:type="character" w:customStyle="1" w:styleId="14">
    <w:name w:val="NormalCharacter"/>
    <w:link w:val="1"/>
    <w:semiHidden/>
    <w:qFormat/>
    <w:uiPriority w:val="0"/>
    <w:rPr>
      <w:rFonts w:ascii="Calibri" w:hAnsi="Calibri" w:eastAsia="宋体" w:cs="Times New Roman"/>
      <w:kern w:val="0"/>
      <w:sz w:val="24"/>
      <w:szCs w:val="24"/>
      <w:lang w:val="en-US" w:eastAsia="zh-CN" w:bidi="ar"/>
    </w:rPr>
  </w:style>
  <w:style w:type="paragraph" w:customStyle="1" w:styleId="15">
    <w:name w:val="Body text|1"/>
    <w:basedOn w:val="1"/>
    <w:qFormat/>
    <w:uiPriority w:val="0"/>
    <w:pPr>
      <w:widowControl w:val="0"/>
      <w:shd w:val="clear" w:color="auto" w:fill="auto"/>
      <w:spacing w:line="377" w:lineRule="auto"/>
      <w:ind w:firstLine="400"/>
    </w:pPr>
    <w:rPr>
      <w:rFonts w:ascii="宋体" w:hAnsi="宋体" w:eastAsia="宋体" w:cs="宋体"/>
      <w:sz w:val="28"/>
      <w:szCs w:val="28"/>
      <w:u w:val="none"/>
      <w:shd w:val="clear" w:color="auto" w:fill="auto"/>
      <w:lang w:val="zh-TW" w:eastAsia="zh-TW" w:bidi="zh-TW"/>
    </w:rPr>
  </w:style>
  <w:style w:type="paragraph" w:customStyle="1" w:styleId="16">
    <w:name w:val="GB正文"/>
    <w:basedOn w:val="1"/>
    <w:qFormat/>
    <w:uiPriority w:val="0"/>
    <w:pPr>
      <w:spacing w:line="590" w:lineRule="exact"/>
      <w:ind w:firstLine="707" w:firstLineChars="221"/>
    </w:pPr>
    <w:rPr>
      <w:rFonts w:ascii="仿宋_GB2312" w:hAnsi="Times New Roman" w:eastAsia="仿宋_GB2312"/>
      <w:color w:val="000000"/>
      <w:spacing w:val="6"/>
      <w:sz w:val="32"/>
      <w:szCs w:val="32"/>
    </w:rPr>
  </w:style>
  <w:style w:type="paragraph" w:customStyle="1" w:styleId="17">
    <w:name w:val="黑体1"/>
    <w:basedOn w:val="1"/>
    <w:qFormat/>
    <w:uiPriority w:val="0"/>
    <w:pPr>
      <w:widowControl/>
      <w:overflowPunct w:val="0"/>
      <w:autoSpaceDE w:val="0"/>
      <w:autoSpaceDN w:val="0"/>
      <w:adjustRightInd w:val="0"/>
      <w:spacing w:line="560" w:lineRule="exact"/>
      <w:ind w:firstLine="803" w:firstLineChars="250"/>
      <w:textAlignment w:val="baseline"/>
    </w:pPr>
    <w:rPr>
      <w:rFonts w:ascii="黑体" w:hAnsi="黑体" w:eastAsia="黑体"/>
      <w:b/>
      <w:kern w:val="0"/>
      <w:sz w:val="32"/>
      <w:szCs w:val="28"/>
    </w:rPr>
  </w:style>
  <w:style w:type="paragraph" w:customStyle="1" w:styleId="18">
    <w:name w:val="闻政正文"/>
    <w:basedOn w:val="1"/>
    <w:qFormat/>
    <w:uiPriority w:val="0"/>
    <w:pPr>
      <w:spacing w:line="500" w:lineRule="exact"/>
      <w:ind w:firstLine="883" w:firstLineChars="200"/>
    </w:pPr>
    <w:rPr>
      <w:rFonts w:ascii="Times New Roman" w:hAnsi="Times New Roman" w:eastAsia="仿宋_GB2312"/>
      <w:kern w:val="0"/>
      <w:sz w:val="28"/>
      <w:szCs w:val="28"/>
    </w:rPr>
  </w:style>
  <w:style w:type="paragraph" w:customStyle="1" w:styleId="19">
    <w:name w:val="列出段落1"/>
    <w:basedOn w:val="1"/>
    <w:qFormat/>
    <w:uiPriority w:val="0"/>
    <w:pPr>
      <w:ind w:firstLine="420" w:firstLineChars="200"/>
    </w:pPr>
  </w:style>
  <w:style w:type="character" w:customStyle="1" w:styleId="20">
    <w:name w:val="font41"/>
    <w:basedOn w:val="12"/>
    <w:qFormat/>
    <w:uiPriority w:val="0"/>
    <w:rPr>
      <w:rFonts w:hint="default" w:ascii="Times New Roman" w:hAnsi="Times New Roman" w:cs="Times New Roman"/>
      <w:color w:val="000000"/>
      <w:sz w:val="22"/>
      <w:szCs w:val="22"/>
      <w:u w:val="none"/>
    </w:rPr>
  </w:style>
  <w:style w:type="character" w:customStyle="1" w:styleId="21">
    <w:name w:val="font31"/>
    <w:basedOn w:val="12"/>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1352</Words>
  <Characters>1508</Characters>
  <Lines>0</Lines>
  <Paragraphs>0</Paragraphs>
  <TotalTime>16</TotalTime>
  <ScaleCrop>false</ScaleCrop>
  <LinksUpToDate>false</LinksUpToDate>
  <CharactersWithSpaces>1518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2023-07-03T09:16:00Z</dcterms:created>
  <dc:creator>Q.</dc:creator>
  <cp:lastModifiedBy>Administrator</cp:lastModifiedBy>
  <cp:lastPrinted>2023-07-05T09:41:00Z</cp:lastPrinted>
  <dcterms:modified xsi:type="dcterms:W3CDTF">2025-09-18T04:25:08Z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908F1D99896B4BDD8AF98B19DC630664_13</vt:lpwstr>
  </property>
  <property fmtid="{D5CDD505-2E9C-101B-9397-08002B2CF9AE}" pid="4" name="KSOTemplateDocerSaveRecord">
    <vt:lpwstr>eyJoZGlkIjoiYjNiMmNjZDRhMWI2MDVkYzUwNmNmZDMwMDZkN2MxMjYiLCJ1c2VySWQiOiIxNTc2MzU5MjAzIn0=</vt:lpwstr>
  </property>
</Properties>
</file>