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ascii="Times New Roman" w:hAnsi="Times New Roman" w:eastAsia="黑体"/>
          <w:b/>
          <w:bCs/>
          <w:sz w:val="52"/>
          <w:szCs w:val="52"/>
        </w:rPr>
      </w:pPr>
    </w:p>
    <w:p>
      <w:pPr>
        <w:jc w:val="center"/>
        <w:rPr>
          <w:rFonts w:ascii="Times New Roman" w:hAnsi="Times New Roman" w:eastAsia="黑体"/>
          <w:b/>
          <w:bCs/>
          <w:sz w:val="52"/>
          <w:szCs w:val="52"/>
        </w:rPr>
      </w:pPr>
    </w:p>
    <w:p>
      <w:pPr>
        <w:widowControl w:val="0"/>
        <w:jc w:val="center"/>
        <w:textAlignment w:val="baseline"/>
        <w:outlineLvl w:val="0"/>
        <w:rPr>
          <w:rStyle w:val="15"/>
          <w:rFonts w:ascii="方正小标宋_GBK" w:hAnsi="方正小标宋_GBK" w:eastAsia="方正小标宋_GBK" w:cs="方正小标宋_GBK"/>
          <w:b/>
          <w:sz w:val="40"/>
          <w:szCs w:val="40"/>
          <w:lang w:bidi="ar-SA"/>
        </w:rPr>
      </w:pPr>
      <w:bookmarkStart w:id="0" w:name="_Toc3248"/>
      <w:bookmarkStart w:id="1" w:name="_Toc16727"/>
      <w:r>
        <w:rPr>
          <w:rStyle w:val="15"/>
          <w:rFonts w:hint="eastAsia" w:ascii="方正小标宋_GBK" w:hAnsi="方正小标宋_GBK" w:eastAsia="方正小标宋_GBK" w:cs="方正小标宋_GBK"/>
          <w:b/>
          <w:sz w:val="40"/>
          <w:szCs w:val="40"/>
          <w:lang w:bidi="ar-SA"/>
        </w:rPr>
        <w:t>沙湾市</w:t>
      </w:r>
      <w:r>
        <w:rPr>
          <w:rStyle w:val="15"/>
          <w:rFonts w:ascii="方正小标宋_GBK" w:hAnsi="方正小标宋_GBK" w:eastAsia="方正小标宋_GBK" w:cs="方正小标宋_GBK"/>
          <w:b/>
          <w:sz w:val="40"/>
          <w:szCs w:val="40"/>
          <w:lang w:bidi="ar-SA"/>
        </w:rPr>
        <w:t>2</w:t>
      </w:r>
      <w:r>
        <w:rPr>
          <w:rStyle w:val="15"/>
          <w:rFonts w:hint="eastAsia" w:ascii="方正小标宋_GBK" w:hAnsi="方正小标宋_GBK" w:eastAsia="方正小标宋_GBK" w:cs="方正小标宋_GBK"/>
          <w:b/>
          <w:sz w:val="40"/>
          <w:szCs w:val="40"/>
          <w:lang w:bidi="ar-SA"/>
        </w:rPr>
        <w:t>024年度</w:t>
      </w:r>
      <w:r>
        <w:rPr>
          <w:rStyle w:val="15"/>
          <w:rFonts w:ascii="方正小标宋_GBK" w:hAnsi="方正小标宋_GBK" w:eastAsia="方正小标宋_GBK" w:cs="方正小标宋_GBK"/>
          <w:b/>
          <w:sz w:val="40"/>
          <w:szCs w:val="40"/>
          <w:lang w:bidi="ar-SA"/>
        </w:rPr>
        <w:t>预算绩效评价报告</w:t>
      </w:r>
      <w:bookmarkEnd w:id="0"/>
      <w:bookmarkEnd w:id="1"/>
    </w:p>
    <w:p>
      <w:pPr>
        <w:jc w:val="center"/>
        <w:rPr>
          <w:rFonts w:ascii="Times New Roman" w:hAnsi="Times New Roman" w:eastAsia="方正小标宋_GBK"/>
          <w:b/>
          <w:bCs/>
          <w:sz w:val="48"/>
          <w:szCs w:val="48"/>
        </w:rPr>
      </w:pPr>
    </w:p>
    <w:p>
      <w:pPr>
        <w:jc w:val="center"/>
        <w:rPr>
          <w:rFonts w:ascii="Times New Roman" w:hAnsi="Times New Roman" w:eastAsia="方正小标宋_GBK"/>
          <w:b/>
          <w:bCs/>
          <w:sz w:val="48"/>
          <w:szCs w:val="48"/>
        </w:rPr>
      </w:pPr>
    </w:p>
    <w:p>
      <w:pPr>
        <w:jc w:val="center"/>
        <w:rPr>
          <w:rFonts w:ascii="Times New Roman" w:hAnsi="Times New Roman" w:eastAsia="方正小标宋_GBK"/>
          <w:b/>
          <w:bCs/>
          <w:sz w:val="48"/>
          <w:szCs w:val="48"/>
        </w:rPr>
      </w:pPr>
    </w:p>
    <w:p>
      <w:pPr>
        <w:jc w:val="center"/>
        <w:rPr>
          <w:rFonts w:ascii="Times New Roman" w:hAnsi="Times New Roman" w:eastAsia="方正小标宋_GBK"/>
          <w:b/>
          <w:bCs/>
          <w:sz w:val="48"/>
          <w:szCs w:val="48"/>
        </w:rPr>
      </w:pPr>
    </w:p>
    <w:p>
      <w:pPr>
        <w:jc w:val="center"/>
        <w:rPr>
          <w:rFonts w:ascii="Times New Roman" w:hAnsi="Times New Roman" w:eastAsia="方正小标宋_GBK"/>
          <w:b/>
          <w:bCs/>
          <w:sz w:val="48"/>
          <w:szCs w:val="48"/>
        </w:rPr>
      </w:pPr>
    </w:p>
    <w:p>
      <w:pPr>
        <w:jc w:val="center"/>
        <w:rPr>
          <w:rFonts w:ascii="Times New Roman" w:hAnsi="Times New Roman" w:eastAsia="方正小标宋_GBK"/>
          <w:b/>
          <w:bCs/>
          <w:sz w:val="48"/>
          <w:szCs w:val="48"/>
        </w:rPr>
      </w:pPr>
    </w:p>
    <w:p>
      <w:pPr>
        <w:jc w:val="center"/>
        <w:rPr>
          <w:rFonts w:ascii="Times New Roman" w:hAnsi="Times New Roman" w:eastAsia="方正小标宋_GBK"/>
          <w:b/>
          <w:bCs/>
          <w:sz w:val="48"/>
          <w:szCs w:val="48"/>
        </w:rPr>
      </w:pPr>
    </w:p>
    <w:p>
      <w:pPr>
        <w:jc w:val="center"/>
        <w:rPr>
          <w:rFonts w:ascii="Times New Roman" w:hAnsi="Times New Roman" w:eastAsia="方正小标宋_GBK"/>
          <w:b/>
          <w:bCs/>
          <w:sz w:val="48"/>
          <w:szCs w:val="48"/>
        </w:rPr>
      </w:pPr>
    </w:p>
    <w:p>
      <w:pPr>
        <w:jc w:val="center"/>
        <w:rPr>
          <w:rFonts w:ascii="Times New Roman" w:hAnsi="Times New Roman" w:eastAsia="方正小标宋_GBK"/>
          <w:b/>
          <w:bCs/>
          <w:sz w:val="48"/>
          <w:szCs w:val="48"/>
        </w:rPr>
      </w:pPr>
    </w:p>
    <w:p>
      <w:pPr>
        <w:spacing w:before="120" w:after="120" w:line="560" w:lineRule="exact"/>
        <w:ind w:left="3059" w:leftChars="608" w:hanging="1600" w:hangingChars="500"/>
        <w:textAlignment w:val="baseline"/>
        <w:rPr>
          <w:rStyle w:val="15"/>
          <w:rFonts w:ascii="方正黑体_GBK" w:hAnsi="方正黑体_GBK" w:eastAsia="方正黑体_GBK" w:cs="方正黑体_GBK"/>
          <w:sz w:val="32"/>
          <w:szCs w:val="32"/>
          <w:lang w:bidi="en-US"/>
        </w:rPr>
      </w:pPr>
      <w:r>
        <w:rPr>
          <w:rStyle w:val="15"/>
          <w:rFonts w:ascii="方正黑体_GBK" w:hAnsi="方正黑体_GBK" w:eastAsia="方正黑体_GBK" w:cs="方正黑体_GBK"/>
          <w:sz w:val="32"/>
          <w:szCs w:val="32"/>
          <w:lang w:bidi="en-US"/>
        </w:rPr>
        <w:t>项目名称：</w:t>
      </w:r>
      <w:r>
        <w:rPr>
          <w:rStyle w:val="15"/>
          <w:rFonts w:hint="eastAsia" w:ascii="方正黑体_GBK" w:hAnsi="方正黑体_GBK" w:eastAsia="方正黑体_GBK" w:cs="方正黑体_GBK"/>
          <w:sz w:val="32"/>
          <w:szCs w:val="32"/>
          <w:lang w:bidi="en-US"/>
        </w:rPr>
        <w:t xml:space="preserve">沙湾市2024年学前教育发展资金实验幼儿园园舍维修改造项目 </w:t>
      </w:r>
    </w:p>
    <w:p>
      <w:pPr>
        <w:spacing w:before="120" w:after="120" w:line="560" w:lineRule="exact"/>
        <w:ind w:left="3059" w:leftChars="608" w:hanging="1600" w:hangingChars="500"/>
        <w:textAlignment w:val="baseline"/>
        <w:rPr>
          <w:rStyle w:val="15"/>
          <w:rFonts w:ascii="方正黑体_GBK" w:hAnsi="方正黑体_GBK" w:eastAsia="方正黑体_GBK" w:cs="方正黑体_GBK"/>
          <w:sz w:val="32"/>
          <w:szCs w:val="32"/>
          <w:lang w:bidi="en-US"/>
        </w:rPr>
      </w:pPr>
      <w:r>
        <w:rPr>
          <w:rStyle w:val="15"/>
          <w:rFonts w:ascii="方正黑体_GBK" w:hAnsi="方正黑体_GBK" w:eastAsia="方正黑体_GBK" w:cs="方正黑体_GBK"/>
          <w:sz w:val="32"/>
          <w:szCs w:val="32"/>
          <w:lang w:bidi="en-US"/>
        </w:rPr>
        <w:t>项目单位：</w:t>
      </w:r>
      <w:r>
        <w:rPr>
          <w:rStyle w:val="15"/>
          <w:rFonts w:hint="eastAsia" w:ascii="方正黑体_GBK" w:hAnsi="方正黑体_GBK" w:eastAsia="方正黑体_GBK" w:cs="方正黑体_GBK"/>
          <w:sz w:val="32"/>
          <w:szCs w:val="32"/>
          <w:lang w:bidi="en-US"/>
        </w:rPr>
        <w:t>沙湾市实验幼儿园</w:t>
      </w:r>
    </w:p>
    <w:p>
      <w:pPr>
        <w:spacing w:before="120" w:after="120" w:line="560" w:lineRule="exact"/>
        <w:ind w:left="3059" w:leftChars="608" w:hanging="1600" w:hangingChars="500"/>
        <w:textAlignment w:val="baseline"/>
        <w:rPr>
          <w:rStyle w:val="15"/>
          <w:rFonts w:ascii="方正黑体_GBK" w:hAnsi="方正黑体_GBK" w:eastAsia="方正黑体_GBK" w:cs="方正黑体_GBK"/>
          <w:sz w:val="32"/>
          <w:szCs w:val="32"/>
          <w:lang w:bidi="en-US"/>
        </w:rPr>
      </w:pPr>
      <w:r>
        <w:rPr>
          <w:rStyle w:val="15"/>
          <w:rFonts w:ascii="方正黑体_GBK" w:hAnsi="方正黑体_GBK" w:eastAsia="方正黑体_GBK" w:cs="方正黑体_GBK"/>
          <w:sz w:val="32"/>
          <w:szCs w:val="32"/>
          <w:lang w:bidi="en-US"/>
        </w:rPr>
        <w:t>主管部门：</w:t>
      </w:r>
      <w:r>
        <w:rPr>
          <w:rStyle w:val="15"/>
          <w:rFonts w:hint="eastAsia" w:ascii="方正黑体_GBK" w:hAnsi="方正黑体_GBK" w:eastAsia="方正黑体_GBK" w:cs="方正黑体_GBK"/>
          <w:sz w:val="32"/>
          <w:szCs w:val="32"/>
          <w:lang w:bidi="en-US"/>
        </w:rPr>
        <w:t>沙湾市教体局</w:t>
      </w:r>
    </w:p>
    <w:p>
      <w:pPr>
        <w:spacing w:before="120" w:after="120" w:line="560" w:lineRule="exact"/>
        <w:ind w:left="3059" w:leftChars="608" w:hanging="1600" w:hangingChars="500"/>
        <w:textAlignment w:val="baseline"/>
        <w:rPr>
          <w:rStyle w:val="15"/>
          <w:rFonts w:ascii="方正黑体_GBK" w:hAnsi="方正黑体_GBK" w:eastAsia="方正黑体_GBK" w:cs="方正黑体_GBK"/>
          <w:sz w:val="32"/>
          <w:szCs w:val="32"/>
          <w:lang w:bidi="en-US"/>
        </w:rPr>
      </w:pPr>
      <w:r>
        <w:rPr>
          <w:rStyle w:val="15"/>
          <w:rFonts w:ascii="方正黑体_GBK" w:hAnsi="方正黑体_GBK" w:eastAsia="方正黑体_GBK" w:cs="方正黑体_GBK"/>
          <w:sz w:val="32"/>
          <w:szCs w:val="32"/>
          <w:lang w:bidi="en-US"/>
        </w:rPr>
        <w:t>委托单位：</w:t>
      </w:r>
      <w:r>
        <w:rPr>
          <w:rStyle w:val="15"/>
          <w:rFonts w:hint="eastAsia" w:ascii="方正黑体_GBK" w:hAnsi="方正黑体_GBK" w:eastAsia="方正黑体_GBK" w:cs="方正黑体_GBK"/>
          <w:sz w:val="32"/>
          <w:szCs w:val="32"/>
          <w:lang w:bidi="en-US"/>
        </w:rPr>
        <w:t>沙湾市财政局</w:t>
      </w:r>
    </w:p>
    <w:p>
      <w:pPr>
        <w:spacing w:before="120" w:after="120" w:line="560" w:lineRule="exact"/>
        <w:ind w:left="3059" w:leftChars="608" w:hanging="1600" w:hangingChars="500"/>
        <w:textAlignment w:val="baseline"/>
        <w:rPr>
          <w:rStyle w:val="15"/>
          <w:rFonts w:ascii="方正黑体_GBK" w:hAnsi="方正黑体_GBK" w:eastAsia="方正黑体_GBK" w:cs="方正黑体_GBK"/>
          <w:sz w:val="32"/>
          <w:szCs w:val="32"/>
          <w:lang w:bidi="en-US"/>
        </w:rPr>
      </w:pPr>
      <w:r>
        <w:rPr>
          <w:rStyle w:val="15"/>
          <w:rFonts w:ascii="方正黑体_GBK" w:hAnsi="方正黑体_GBK" w:eastAsia="方正黑体_GBK" w:cs="方正黑体_GBK"/>
          <w:sz w:val="32"/>
          <w:szCs w:val="32"/>
          <w:lang w:bidi="en-US"/>
        </w:rPr>
        <w:t>评价机构：</w:t>
      </w:r>
      <w:r>
        <w:rPr>
          <w:rStyle w:val="15"/>
          <w:rFonts w:hint="eastAsia" w:ascii="方正黑体_GBK" w:hAnsi="方正黑体_GBK" w:eastAsia="方正黑体_GBK" w:cs="方正黑体_GBK"/>
          <w:sz w:val="32"/>
          <w:szCs w:val="32"/>
          <w:lang w:bidi="en-US"/>
        </w:rPr>
        <w:t>新疆智汇铭宸科技咨询有限公司</w:t>
      </w:r>
    </w:p>
    <w:p>
      <w:pPr>
        <w:spacing w:before="120" w:after="120" w:line="560" w:lineRule="exact"/>
        <w:ind w:left="3059" w:leftChars="608" w:hanging="1600" w:hangingChars="500"/>
        <w:textAlignment w:val="baseline"/>
        <w:rPr>
          <w:rStyle w:val="15"/>
          <w:rFonts w:ascii="方正黑体_GBK" w:hAnsi="方正黑体_GBK" w:eastAsia="方正黑体_GBK" w:cs="方正黑体_GBK"/>
          <w:sz w:val="32"/>
          <w:szCs w:val="32"/>
          <w:lang w:bidi="en-US"/>
        </w:rPr>
      </w:pPr>
      <w:r>
        <w:rPr>
          <w:rStyle w:val="15"/>
          <w:rFonts w:hint="eastAsia" w:ascii="方正黑体_GBK" w:hAnsi="方正黑体_GBK" w:eastAsia="方正黑体_GBK" w:cs="方正黑体_GBK"/>
          <w:sz w:val="32"/>
          <w:szCs w:val="32"/>
          <w:lang w:bidi="en-US"/>
        </w:rPr>
        <w:t xml:space="preserve"> </w:t>
      </w:r>
    </w:p>
    <w:p>
      <w:pPr>
        <w:spacing w:before="120" w:after="120" w:line="560" w:lineRule="exact"/>
        <w:ind w:left="3055" w:leftChars="1273" w:firstLine="320" w:firstLineChars="100"/>
        <w:textAlignment w:val="baseline"/>
        <w:rPr>
          <w:rStyle w:val="15"/>
          <w:rFonts w:ascii="方正黑体_GBK" w:hAnsi="方正黑体_GBK" w:eastAsia="方正黑体_GBK" w:cs="方正黑体_GBK"/>
          <w:sz w:val="32"/>
          <w:szCs w:val="32"/>
          <w:lang w:bidi="en-US"/>
        </w:rPr>
        <w:sectPr>
          <w:headerReference r:id="rId3" w:type="default"/>
          <w:pgSz w:w="11906" w:h="16838"/>
          <w:pgMar w:top="1440" w:right="1800" w:bottom="1440" w:left="1800" w:header="851" w:footer="992" w:gutter="0"/>
          <w:cols w:space="720" w:num="1"/>
          <w:titlePg/>
          <w:docGrid w:type="lines" w:linePitch="312" w:charSpace="0"/>
        </w:sectPr>
      </w:pPr>
      <w:r>
        <w:rPr>
          <w:rStyle w:val="15"/>
          <w:rFonts w:hint="eastAsia" w:ascii="方正黑体_GBK" w:hAnsi="方正黑体_GBK" w:eastAsia="方正黑体_GBK" w:cs="方正黑体_GBK"/>
          <w:sz w:val="32"/>
          <w:szCs w:val="32"/>
          <w:lang w:bidi="en-US"/>
        </w:rPr>
        <w:t>2025</w:t>
      </w:r>
      <w:r>
        <w:rPr>
          <w:rStyle w:val="15"/>
          <w:rFonts w:ascii="方正黑体_GBK" w:hAnsi="方正黑体_GBK" w:eastAsia="方正黑体_GBK" w:cs="方正黑体_GBK"/>
          <w:sz w:val="32"/>
          <w:szCs w:val="32"/>
          <w:lang w:bidi="en-US"/>
        </w:rPr>
        <w:t>年</w:t>
      </w:r>
      <w:r>
        <w:rPr>
          <w:rStyle w:val="15"/>
          <w:rFonts w:hint="eastAsia" w:ascii="方正黑体_GBK" w:hAnsi="方正黑体_GBK" w:eastAsia="方正黑体_GBK" w:cs="方正黑体_GBK"/>
          <w:sz w:val="32"/>
          <w:szCs w:val="32"/>
          <w:lang w:bidi="en-US"/>
        </w:rPr>
        <w:t>8</w:t>
      </w:r>
      <w:r>
        <w:rPr>
          <w:rStyle w:val="15"/>
          <w:rFonts w:ascii="方正黑体_GBK" w:hAnsi="方正黑体_GBK" w:eastAsia="方正黑体_GBK" w:cs="方正黑体_GBK"/>
          <w:sz w:val="32"/>
          <w:szCs w:val="32"/>
          <w:lang w:bidi="en-US"/>
        </w:rPr>
        <w:t>月</w:t>
      </w:r>
    </w:p>
    <w:p>
      <w:pPr>
        <w:pStyle w:val="2"/>
        <w:jc w:val="center"/>
        <w:outlineLvl w:val="0"/>
        <w:rPr>
          <w:rFonts w:ascii="Times New Roman" w:hAnsi="Times New Roman" w:eastAsia="方正小标宋_GBK" w:cs="Times New Roman"/>
          <w:b w:val="0"/>
          <w:bCs w:val="0"/>
          <w:sz w:val="36"/>
          <w:szCs w:val="36"/>
        </w:rPr>
      </w:pPr>
      <w:bookmarkStart w:id="2" w:name="_Toc32686"/>
      <w:r>
        <w:rPr>
          <w:rFonts w:ascii="Times New Roman" w:hAnsi="Times New Roman" w:eastAsia="方正小标宋_GBK" w:cs="Times New Roman"/>
          <w:b w:val="0"/>
          <w:bCs w:val="0"/>
          <w:sz w:val="36"/>
          <w:szCs w:val="36"/>
        </w:rPr>
        <w:t>项目关键信息表</w:t>
      </w:r>
      <w:bookmarkEnd w:id="2"/>
    </w:p>
    <w:tbl>
      <w:tblPr>
        <w:tblStyle w:val="12"/>
        <w:tblW w:w="9087" w:type="dxa"/>
        <w:jc w:val="center"/>
        <w:tblLayout w:type="fixed"/>
        <w:tblCellMar>
          <w:top w:w="15" w:type="dxa"/>
          <w:left w:w="15" w:type="dxa"/>
          <w:bottom w:w="15" w:type="dxa"/>
          <w:right w:w="15" w:type="dxa"/>
        </w:tblCellMar>
      </w:tblPr>
      <w:tblGrid>
        <w:gridCol w:w="1291"/>
        <w:gridCol w:w="1387"/>
        <w:gridCol w:w="1368"/>
        <w:gridCol w:w="1008"/>
        <w:gridCol w:w="1716"/>
        <w:gridCol w:w="1320"/>
        <w:gridCol w:w="997"/>
      </w:tblGrid>
      <w:tr>
        <w:tblPrEx>
          <w:tblCellMar>
            <w:top w:w="15" w:type="dxa"/>
            <w:left w:w="15" w:type="dxa"/>
            <w:bottom w:w="15" w:type="dxa"/>
            <w:right w:w="15" w:type="dxa"/>
          </w:tblCellMar>
        </w:tblPrEx>
        <w:trPr>
          <w:trHeight w:val="471" w:hRule="atLeast"/>
          <w:jc w:val="center"/>
        </w:trPr>
        <w:tc>
          <w:tcPr>
            <w:tcW w:w="9087" w:type="dxa"/>
            <w:gridSpan w:val="7"/>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 xml:space="preserve">评价机构全称（盖章）：  </w:t>
            </w:r>
            <w:r>
              <w:rPr>
                <w:rFonts w:hint="eastAsia" w:ascii="仿宋_GB2312" w:hAnsi="仿宋_GB2312" w:eastAsia="仿宋_GB2312" w:cs="仿宋_GB2312"/>
                <w:kern w:val="2"/>
                <w:sz w:val="22"/>
                <w:szCs w:val="22"/>
              </w:rPr>
              <w:t>新疆智汇铭宸科技咨询有限公司</w:t>
            </w:r>
          </w:p>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 xml:space="preserve">   </w:t>
            </w:r>
          </w:p>
        </w:tc>
      </w:tr>
      <w:tr>
        <w:tblPrEx>
          <w:tblCellMar>
            <w:top w:w="15" w:type="dxa"/>
            <w:left w:w="15" w:type="dxa"/>
            <w:bottom w:w="15" w:type="dxa"/>
            <w:right w:w="15" w:type="dxa"/>
          </w:tblCellMar>
        </w:tblPrEx>
        <w:trPr>
          <w:trHeight w:val="809"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项目名称</w:t>
            </w:r>
          </w:p>
        </w:tc>
        <w:tc>
          <w:tcPr>
            <w:tcW w:w="5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 xml:space="preserve">沙湾市2024年学前教育发展资金实验幼儿园园舍维修改造项目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评价年度</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2024年度</w:t>
            </w:r>
          </w:p>
        </w:tc>
      </w:tr>
      <w:tr>
        <w:trPr>
          <w:trHeight w:val="665"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财政局</w:t>
            </w:r>
            <w:r>
              <w:rPr>
                <w:rFonts w:ascii="仿宋_GB2312" w:hAnsi="仿宋_GB2312" w:eastAsia="仿宋_GB2312" w:cs="仿宋_GB2312"/>
                <w:kern w:val="2"/>
                <w:sz w:val="22"/>
                <w:szCs w:val="22"/>
              </w:rPr>
              <w:t>分管</w:t>
            </w:r>
          </w:p>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科</w:t>
            </w:r>
            <w:r>
              <w:rPr>
                <w:rFonts w:ascii="仿宋_GB2312" w:hAnsi="仿宋_GB2312" w:eastAsia="仿宋_GB2312" w:cs="仿宋_GB2312"/>
                <w:kern w:val="2"/>
                <w:sz w:val="22"/>
                <w:szCs w:val="22"/>
              </w:rPr>
              <w:t>室</w:t>
            </w:r>
          </w:p>
        </w:tc>
        <w:tc>
          <w:tcPr>
            <w:tcW w:w="77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教科文卫科</w:t>
            </w:r>
          </w:p>
        </w:tc>
      </w:tr>
      <w:tr>
        <w:tblPrEx>
          <w:tblCellMar>
            <w:top w:w="15" w:type="dxa"/>
            <w:left w:w="15" w:type="dxa"/>
            <w:bottom w:w="15" w:type="dxa"/>
            <w:right w:w="15" w:type="dxa"/>
          </w:tblCellMar>
        </w:tblPrEx>
        <w:trPr>
          <w:trHeight w:val="672"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项目主管部门</w:t>
            </w:r>
          </w:p>
        </w:tc>
        <w:tc>
          <w:tcPr>
            <w:tcW w:w="77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沙湾市教体局</w:t>
            </w:r>
          </w:p>
        </w:tc>
      </w:tr>
      <w:tr>
        <w:tblPrEx>
          <w:tblCellMar>
            <w:top w:w="15" w:type="dxa"/>
            <w:left w:w="15" w:type="dxa"/>
            <w:bottom w:w="15" w:type="dxa"/>
            <w:right w:w="15" w:type="dxa"/>
          </w:tblCellMar>
        </w:tblPrEx>
        <w:trPr>
          <w:trHeight w:val="672"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项目实施单位</w:t>
            </w:r>
          </w:p>
        </w:tc>
        <w:tc>
          <w:tcPr>
            <w:tcW w:w="3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沙湾市实验幼儿园</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联系人及联系方式</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金彩霞</w:t>
            </w:r>
            <w:bookmarkStart w:id="28" w:name="_GoBack"/>
            <w:bookmarkEnd w:id="28"/>
          </w:p>
        </w:tc>
      </w:tr>
      <w:tr>
        <w:tblPrEx>
          <w:tblCellMar>
            <w:top w:w="15" w:type="dxa"/>
            <w:left w:w="15" w:type="dxa"/>
            <w:bottom w:w="15" w:type="dxa"/>
            <w:right w:w="15" w:type="dxa"/>
          </w:tblCellMar>
        </w:tblPrEx>
        <w:trPr>
          <w:trHeight w:val="798"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资金来源</w:t>
            </w:r>
          </w:p>
        </w:tc>
        <w:tc>
          <w:tcPr>
            <w:tcW w:w="77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财政拨款</w:t>
            </w:r>
          </w:p>
        </w:tc>
      </w:tr>
      <w:tr>
        <w:tblPrEx>
          <w:tblCellMar>
            <w:top w:w="15" w:type="dxa"/>
            <w:left w:w="15" w:type="dxa"/>
            <w:bottom w:w="15" w:type="dxa"/>
            <w:right w:w="15" w:type="dxa"/>
          </w:tblCellMar>
        </w:tblPrEx>
        <w:trPr>
          <w:trHeight w:val="820" w:hRule="atLeast"/>
          <w:jc w:val="center"/>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2024年</w:t>
            </w:r>
            <w:r>
              <w:rPr>
                <w:rFonts w:ascii="仿宋_GB2312" w:hAnsi="仿宋_GB2312" w:eastAsia="仿宋_GB2312" w:cs="仿宋_GB2312"/>
                <w:kern w:val="2"/>
                <w:sz w:val="22"/>
                <w:szCs w:val="22"/>
              </w:rPr>
              <w:t>投入总额</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66</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2024年执行数</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66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2024年</w:t>
            </w:r>
            <w:r>
              <w:rPr>
                <w:rFonts w:ascii="仿宋_GB2312" w:hAnsi="仿宋_GB2312" w:eastAsia="仿宋_GB2312" w:cs="仿宋_GB2312"/>
                <w:kern w:val="2"/>
                <w:sz w:val="22"/>
                <w:szCs w:val="22"/>
              </w:rPr>
              <w:t>资金</w:t>
            </w:r>
            <w:r>
              <w:rPr>
                <w:rFonts w:hint="eastAsia" w:ascii="仿宋_GB2312" w:hAnsi="仿宋_GB2312" w:eastAsia="仿宋_GB2312" w:cs="仿宋_GB2312"/>
                <w:kern w:val="2"/>
                <w:sz w:val="22"/>
                <w:szCs w:val="22"/>
              </w:rPr>
              <w:t>执行率</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100%</w:t>
            </w:r>
          </w:p>
        </w:tc>
      </w:tr>
      <w:tr>
        <w:tblPrEx>
          <w:tblCellMar>
            <w:top w:w="15" w:type="dxa"/>
            <w:left w:w="15" w:type="dxa"/>
            <w:bottom w:w="15" w:type="dxa"/>
            <w:right w:w="15" w:type="dxa"/>
          </w:tblCellMar>
        </w:tblPrEx>
        <w:trPr>
          <w:trHeight w:val="1009" w:hRule="atLeast"/>
          <w:jc w:val="center"/>
        </w:trPr>
        <w:tc>
          <w:tcPr>
            <w:tcW w:w="129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发放调查</w:t>
            </w:r>
          </w:p>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问卷</w:t>
            </w:r>
          </w:p>
        </w:tc>
        <w:tc>
          <w:tcPr>
            <w:tcW w:w="138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textAlignment w:val="center"/>
              <w:rPr>
                <w:rFonts w:hint="default" w:ascii="仿宋_GB2312" w:hAnsi="仿宋_GB2312" w:eastAsia="仿宋_GB2312" w:cs="仿宋_GB2312"/>
                <w:kern w:val="2"/>
                <w:sz w:val="22"/>
                <w:szCs w:val="22"/>
                <w:lang w:val="en-US" w:eastAsia="zh-CN"/>
              </w:rPr>
            </w:pPr>
            <w:r>
              <w:rPr>
                <w:rFonts w:hint="eastAsia" w:ascii="仿宋_GB2312" w:hAnsi="仿宋_GB2312" w:eastAsia="仿宋_GB2312" w:cs="仿宋_GB2312"/>
                <w:kern w:val="2"/>
                <w:sz w:val="22"/>
                <w:szCs w:val="22"/>
                <w:lang w:val="en-US" w:eastAsia="zh-CN"/>
              </w:rPr>
              <w:t>356</w:t>
            </w:r>
          </w:p>
        </w:tc>
        <w:tc>
          <w:tcPr>
            <w:tcW w:w="136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回收有效问卷</w:t>
            </w:r>
          </w:p>
        </w:tc>
        <w:tc>
          <w:tcPr>
            <w:tcW w:w="100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lang w:val="en-US" w:eastAsia="zh-CN"/>
              </w:rPr>
              <w:t>356</w:t>
            </w:r>
            <w:r>
              <w:rPr>
                <w:rFonts w:hint="eastAsia" w:ascii="仿宋_GB2312" w:hAnsi="仿宋_GB2312" w:eastAsia="仿宋_GB2312" w:cs="仿宋_GB2312"/>
                <w:kern w:val="2"/>
                <w:sz w:val="22"/>
                <w:szCs w:val="22"/>
              </w:rPr>
              <w:t xml:space="preserve"> </w:t>
            </w:r>
          </w:p>
        </w:tc>
        <w:tc>
          <w:tcPr>
            <w:tcW w:w="171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满意度情况</w:t>
            </w:r>
          </w:p>
        </w:tc>
        <w:tc>
          <w:tcPr>
            <w:tcW w:w="231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kern w:val="2"/>
                <w:sz w:val="22"/>
                <w:szCs w:val="22"/>
              </w:rPr>
              <w:t>100%</w:t>
            </w:r>
          </w:p>
        </w:tc>
      </w:tr>
      <w:tr>
        <w:tblPrEx>
          <w:tblCellMar>
            <w:top w:w="15" w:type="dxa"/>
            <w:left w:w="15" w:type="dxa"/>
            <w:bottom w:w="15" w:type="dxa"/>
            <w:right w:w="15" w:type="dxa"/>
          </w:tblCellMar>
        </w:tblPrEx>
        <w:trPr>
          <w:trHeight w:val="1372" w:hRule="atLeast"/>
          <w:jc w:val="center"/>
        </w:trPr>
        <w:tc>
          <w:tcPr>
            <w:tcW w:w="129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采用的评价方法与评价标准</w:t>
            </w:r>
          </w:p>
        </w:tc>
        <w:tc>
          <w:tcPr>
            <w:tcW w:w="7796"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评价方法：成本效益分析法、公众评判法、因素分析法</w:t>
            </w:r>
          </w:p>
          <w:p>
            <w:pPr>
              <w:jc w:val="both"/>
              <w:textAlignment w:val="center"/>
              <w:rPr>
                <w:rFonts w:ascii="仿宋_GB2312" w:hAnsi="仿宋_GB2312" w:eastAsia="仿宋_GB2312" w:cs="仿宋_GB2312"/>
                <w:kern w:val="2"/>
                <w:sz w:val="22"/>
                <w:szCs w:val="22"/>
              </w:rPr>
            </w:pPr>
            <w:r>
              <w:rPr>
                <w:rFonts w:hint="eastAsia" w:ascii="仿宋_GB2312" w:hAnsi="仿宋_GB2312" w:eastAsia="仿宋_GB2312" w:cs="仿宋_GB2312"/>
                <w:sz w:val="22"/>
                <w:szCs w:val="22"/>
              </w:rPr>
              <w:t>评价标准：通用标准、计划标准</w:t>
            </w:r>
          </w:p>
        </w:tc>
      </w:tr>
      <w:tr>
        <w:tblPrEx>
          <w:tblCellMar>
            <w:top w:w="15" w:type="dxa"/>
            <w:left w:w="15" w:type="dxa"/>
            <w:bottom w:w="15" w:type="dxa"/>
            <w:right w:w="15" w:type="dxa"/>
          </w:tblCellMar>
        </w:tblPrEx>
        <w:trPr>
          <w:trHeight w:val="1543" w:hRule="atLeast"/>
          <w:jc w:val="center"/>
        </w:trPr>
        <w:tc>
          <w:tcPr>
            <w:tcW w:w="129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textAlignment w:val="center"/>
              <w:rPr>
                <w:rFonts w:ascii="仿宋_GB2312" w:hAnsi="仿宋_GB2312" w:eastAsia="仿宋_GB2312" w:cs="仿宋_GB2312"/>
                <w:kern w:val="2"/>
                <w:sz w:val="22"/>
                <w:szCs w:val="22"/>
              </w:rPr>
            </w:pPr>
            <w:r>
              <w:rPr>
                <w:rFonts w:ascii="仿宋_GB2312" w:hAnsi="仿宋_GB2312" w:eastAsia="仿宋_GB2312" w:cs="仿宋_GB2312"/>
                <w:kern w:val="2"/>
                <w:sz w:val="22"/>
                <w:szCs w:val="22"/>
              </w:rPr>
              <w:t>绩效评价结果</w:t>
            </w:r>
          </w:p>
        </w:tc>
        <w:tc>
          <w:tcPr>
            <w:tcW w:w="7796"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仿宋_GB2312" w:hAnsi="仿宋_GB2312" w:eastAsia="仿宋_GB2312" w:cs="仿宋_GB2312"/>
                <w:sz w:val="22"/>
                <w:szCs w:val="22"/>
              </w:rPr>
            </w:pPr>
            <w:r>
              <w:rPr>
                <w:rFonts w:ascii="仿宋_GB2312" w:hAnsi="仿宋_GB2312" w:eastAsia="仿宋_GB2312" w:cs="仿宋_GB2312"/>
                <w:sz w:val="22"/>
                <w:szCs w:val="22"/>
              </w:rPr>
              <w:t>运用由评价组研发并通过主管单位确认的评价指标体系及评分标准</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通过基础数据填报、问卷调查和访谈获取的数据及项目单位提供的资料</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评价组对“</w:t>
            </w:r>
            <w:r>
              <w:rPr>
                <w:rFonts w:hint="eastAsia" w:ascii="仿宋_GB2312" w:hAnsi="仿宋_GB2312" w:eastAsia="仿宋_GB2312" w:cs="仿宋_GB2312"/>
                <w:kern w:val="2"/>
                <w:sz w:val="22"/>
                <w:szCs w:val="22"/>
              </w:rPr>
              <w:t>沙湾市2024年学前教育发展资金实验幼儿园园舍维修改造</w:t>
            </w:r>
            <w:r>
              <w:rPr>
                <w:rFonts w:ascii="仿宋_GB2312" w:hAnsi="仿宋_GB2312" w:eastAsia="仿宋_GB2312" w:cs="仿宋_GB2312"/>
                <w:sz w:val="22"/>
                <w:szCs w:val="22"/>
              </w:rPr>
              <w:t>”项目进行了独立客观的评价</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最终评分结果为</w:t>
            </w:r>
            <w:r>
              <w:rPr>
                <w:rFonts w:hint="eastAsia" w:ascii="仿宋_GB2312" w:hAnsi="仿宋_GB2312" w:eastAsia="仿宋_GB2312" w:cs="仿宋_GB2312"/>
                <w:sz w:val="22"/>
                <w:szCs w:val="22"/>
              </w:rPr>
              <w:t>100</w:t>
            </w:r>
            <w:r>
              <w:rPr>
                <w:rFonts w:ascii="仿宋_GB2312" w:hAnsi="仿宋_GB2312" w:eastAsia="仿宋_GB2312" w:cs="仿宋_GB2312"/>
                <w:sz w:val="22"/>
                <w:szCs w:val="22"/>
              </w:rPr>
              <w:t>分</w:t>
            </w:r>
            <w:r>
              <w:rPr>
                <w:rFonts w:hint="eastAsia" w:ascii="仿宋_GB2312" w:hAnsi="仿宋_GB2312" w:eastAsia="仿宋_GB2312" w:cs="仿宋_GB2312"/>
                <w:sz w:val="22"/>
                <w:szCs w:val="22"/>
              </w:rPr>
              <w:t>，</w:t>
            </w:r>
            <w:r>
              <w:rPr>
                <w:rFonts w:ascii="仿宋_GB2312" w:hAnsi="仿宋_GB2312" w:eastAsia="仿宋_GB2312" w:cs="仿宋_GB2312"/>
                <w:sz w:val="22"/>
                <w:szCs w:val="22"/>
              </w:rPr>
              <w:t>评价等级为“</w:t>
            </w:r>
            <w:r>
              <w:rPr>
                <w:rFonts w:hint="eastAsia" w:ascii="仿宋_GB2312" w:hAnsi="仿宋_GB2312" w:eastAsia="仿宋_GB2312" w:cs="仿宋_GB2312"/>
                <w:sz w:val="22"/>
                <w:szCs w:val="22"/>
              </w:rPr>
              <w:t>优</w:t>
            </w:r>
            <w:r>
              <w:rPr>
                <w:rFonts w:ascii="仿宋_GB2312" w:hAnsi="仿宋_GB2312" w:eastAsia="仿宋_GB2312" w:cs="仿宋_GB2312"/>
                <w:sz w:val="22"/>
                <w:szCs w:val="22"/>
              </w:rPr>
              <w:t>”。</w:t>
            </w:r>
          </w:p>
          <w:p>
            <w:pPr>
              <w:jc w:val="both"/>
              <w:textAlignment w:val="center"/>
              <w:rPr>
                <w:rFonts w:ascii="仿宋_GB2312" w:hAnsi="仿宋_GB2312" w:eastAsia="仿宋_GB2312" w:cs="仿宋_GB2312"/>
                <w:kern w:val="2"/>
                <w:sz w:val="22"/>
                <w:szCs w:val="22"/>
              </w:rPr>
            </w:pPr>
          </w:p>
        </w:tc>
      </w:tr>
      <w:tr>
        <w:tblPrEx>
          <w:tblCellMar>
            <w:top w:w="15" w:type="dxa"/>
            <w:left w:w="15" w:type="dxa"/>
            <w:bottom w:w="15" w:type="dxa"/>
            <w:right w:w="15" w:type="dxa"/>
          </w:tblCellMar>
        </w:tblPrEx>
        <w:trPr>
          <w:trHeight w:val="761"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textAlignment w:val="center"/>
              <w:rPr>
                <w:rFonts w:ascii="Times New Roman" w:hAnsi="Times New Roman" w:eastAsia="黑体"/>
                <w:sz w:val="20"/>
                <w:szCs w:val="20"/>
              </w:rPr>
            </w:pPr>
            <w:r>
              <w:rPr>
                <w:rFonts w:ascii="Times New Roman" w:hAnsi="Times New Roman" w:eastAsia="黑体"/>
                <w:sz w:val="20"/>
                <w:szCs w:val="20"/>
              </w:rPr>
              <w:t>项目主评人（签字）</w:t>
            </w:r>
          </w:p>
        </w:tc>
        <w:tc>
          <w:tcPr>
            <w:tcW w:w="77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textAlignment w:val="center"/>
              <w:rPr>
                <w:rFonts w:ascii="Times New Roman" w:hAnsi="Times New Roman" w:eastAsia="仿宋_GB2312"/>
                <w:sz w:val="20"/>
                <w:szCs w:val="20"/>
              </w:rPr>
            </w:pPr>
          </w:p>
        </w:tc>
      </w:tr>
    </w:tbl>
    <w:p>
      <w:pPr>
        <w:spacing w:before="100" w:beforeAutospacing="1" w:after="100" w:afterAutospacing="1"/>
        <w:rPr>
          <w:rFonts w:ascii="Times New Roman" w:hAnsi="Times New Roman"/>
          <w:b/>
          <w:bCs/>
          <w:sz w:val="27"/>
          <w:szCs w:val="27"/>
          <w:lang w:bidi="ar"/>
        </w:rPr>
        <w:sectPr>
          <w:pgSz w:w="11906" w:h="16838"/>
          <w:pgMar w:top="1440" w:right="1800" w:bottom="1440" w:left="1800" w:header="851" w:footer="992" w:gutter="0"/>
          <w:cols w:space="720" w:num="1"/>
          <w:docGrid w:type="lines" w:linePitch="312" w:charSpace="0"/>
        </w:sectPr>
      </w:pPr>
    </w:p>
    <w:p>
      <w:pPr>
        <w:widowControl w:val="0"/>
        <w:jc w:val="center"/>
        <w:outlineLvl w:val="0"/>
        <w:rPr>
          <w:rStyle w:val="15"/>
          <w:rFonts w:ascii="Times New Roman" w:hAnsi="Times New Roman" w:eastAsia="黑体"/>
          <w:b/>
          <w:sz w:val="44"/>
          <w:szCs w:val="44"/>
          <w:lang w:bidi="ar-SA"/>
        </w:rPr>
      </w:pPr>
      <w:bookmarkStart w:id="3" w:name="_Toc11681"/>
      <w:bookmarkStart w:id="4" w:name="_Toc8001"/>
      <w:bookmarkStart w:id="5" w:name="_Toc5178"/>
      <w:r>
        <w:rPr>
          <w:rStyle w:val="15"/>
          <w:rFonts w:ascii="Times New Roman" w:hAnsi="Times New Roman" w:eastAsia="黑体"/>
          <w:b/>
          <w:sz w:val="44"/>
          <w:szCs w:val="44"/>
          <w:lang w:bidi="ar-SA"/>
        </w:rPr>
        <w:t>摘</w:t>
      </w:r>
      <w:r>
        <w:rPr>
          <w:rStyle w:val="15"/>
          <w:rFonts w:hint="eastAsia" w:ascii="Times New Roman" w:hAnsi="Times New Roman" w:eastAsia="黑体"/>
          <w:b/>
          <w:sz w:val="44"/>
          <w:szCs w:val="44"/>
          <w:lang w:bidi="ar-SA"/>
        </w:rPr>
        <w:t xml:space="preserve">  </w:t>
      </w:r>
      <w:r>
        <w:rPr>
          <w:rStyle w:val="15"/>
          <w:rFonts w:ascii="Times New Roman" w:hAnsi="Times New Roman" w:eastAsia="黑体"/>
          <w:b/>
          <w:sz w:val="44"/>
          <w:szCs w:val="44"/>
          <w:lang w:bidi="ar-SA"/>
        </w:rPr>
        <w:t>要</w:t>
      </w:r>
      <w:bookmarkEnd w:id="3"/>
      <w:bookmarkEnd w:id="4"/>
      <w:bookmarkEnd w:id="5"/>
    </w:p>
    <w:p>
      <w:pPr>
        <w:pStyle w:val="25"/>
        <w:spacing w:line="540" w:lineRule="exact"/>
        <w:ind w:firstLine="830" w:firstLineChars="250"/>
        <w:jc w:val="both"/>
        <w:outlineLvl w:val="0"/>
        <w:rPr>
          <w:rStyle w:val="15"/>
          <w:rFonts w:ascii="黑体" w:hAnsi="黑体" w:eastAsia="黑体"/>
          <w:kern w:val="2"/>
          <w:sz w:val="32"/>
          <w:lang w:bidi="ar-SA"/>
        </w:rPr>
      </w:pPr>
      <w:bookmarkStart w:id="6" w:name="_Toc21206"/>
      <w:bookmarkStart w:id="7" w:name="_Toc29039"/>
      <w:r>
        <w:rPr>
          <w:rFonts w:hint="eastAsia" w:ascii="方正黑体_GBK" w:hAnsi="方正黑体_GBK" w:eastAsia="方正黑体_GBK" w:cs="方正黑体_GBK"/>
          <w:spacing w:val="6"/>
          <w:kern w:val="2"/>
          <w:szCs w:val="32"/>
        </w:rPr>
        <w:t>一、</w:t>
      </w:r>
      <w:r>
        <w:rPr>
          <w:rFonts w:ascii="方正黑体_GBK" w:hAnsi="方正黑体_GBK" w:eastAsia="方正黑体_GBK" w:cs="方正黑体_GBK"/>
          <w:spacing w:val="6"/>
          <w:kern w:val="2"/>
          <w:szCs w:val="32"/>
        </w:rPr>
        <w:t>项目概述</w:t>
      </w:r>
      <w:bookmarkEnd w:id="6"/>
      <w:bookmarkEnd w:id="7"/>
    </w:p>
    <w:p>
      <w:pPr>
        <w:widowControl w:val="0"/>
        <w:spacing w:line="560" w:lineRule="exact"/>
        <w:ind w:firstLine="667" w:firstLineChars="200"/>
        <w:outlineLvl w:val="1"/>
        <w:rPr>
          <w:rFonts w:ascii="Times New Roman" w:hAnsi="Times New Roman" w:eastAsia="楷体"/>
          <w:b/>
          <w:bCs/>
          <w:sz w:val="32"/>
          <w:szCs w:val="32"/>
        </w:rPr>
      </w:pPr>
      <w:bookmarkStart w:id="8" w:name="_Toc26147"/>
      <w:r>
        <w:rPr>
          <w:rStyle w:val="15"/>
          <w:rFonts w:hint="eastAsia" w:ascii="方正楷体_GBK" w:hAnsi="方正楷体_GBK" w:eastAsia="方正楷体_GBK" w:cs="方正楷体_GBK"/>
          <w:b/>
          <w:spacing w:val="6"/>
          <w:sz w:val="32"/>
          <w:szCs w:val="32"/>
          <w:lang w:bidi="ar-SA"/>
        </w:rPr>
        <w:t>（一）</w:t>
      </w:r>
      <w:r>
        <w:rPr>
          <w:rStyle w:val="15"/>
          <w:rFonts w:ascii="方正楷体_GBK" w:hAnsi="方正楷体_GBK" w:eastAsia="方正楷体_GBK" w:cs="方正楷体_GBK"/>
          <w:b/>
          <w:spacing w:val="6"/>
          <w:sz w:val="32"/>
          <w:szCs w:val="32"/>
          <w:lang w:bidi="ar-SA"/>
        </w:rPr>
        <w:t>项目概述</w:t>
      </w:r>
      <w:bookmarkEnd w:id="8"/>
    </w:p>
    <w:p>
      <w:pPr>
        <w:spacing w:before="149" w:line="330" w:lineRule="auto"/>
        <w:ind w:left="75" w:right="86" w:firstLine="649"/>
        <w:rPr>
          <w:rFonts w:ascii="仿宋" w:hAnsi="仿宋" w:eastAsia="仿宋" w:cs="仿宋"/>
          <w:sz w:val="32"/>
          <w:szCs w:val="32"/>
        </w:rPr>
      </w:pPr>
      <w:r>
        <w:rPr>
          <w:rFonts w:hint="eastAsia" w:ascii="仿宋_GB2312" w:hAnsi="仿宋_GB2312" w:eastAsia="仿宋_GB2312" w:cs="仿宋_GB2312"/>
          <w:sz w:val="32"/>
          <w:szCs w:val="48"/>
          <w:shd w:val="clear" w:color="auto" w:fill="FFFFFF"/>
          <w:lang w:bidi="ar"/>
        </w:rPr>
        <w:t>根据</w:t>
      </w:r>
      <w:r>
        <w:rPr>
          <w:rFonts w:hint="eastAsia" w:ascii="仿宋_GB2312" w:hAnsi="仿宋_GB2312" w:eastAsia="仿宋_GB2312" w:cs="仿宋_GB2312"/>
          <w:sz w:val="32"/>
          <w:szCs w:val="48"/>
          <w:shd w:val="clear" w:color="auto" w:fill="FFFFFF"/>
          <w:lang w:eastAsia="zh-CN" w:bidi="ar"/>
        </w:rPr>
        <w:t>《塔</w:t>
      </w:r>
      <w:r>
        <w:rPr>
          <w:rFonts w:hint="eastAsia" w:ascii="仿宋_GB2312" w:hAnsi="仿宋_GB2312" w:eastAsia="仿宋_GB2312" w:cs="仿宋_GB2312"/>
          <w:sz w:val="32"/>
          <w:szCs w:val="48"/>
          <w:shd w:val="clear" w:color="auto" w:fill="FFFFFF"/>
          <w:lang w:bidi="ar"/>
        </w:rPr>
        <w:t>地财教〔2024〕31号沙财教〔2024〕35号—2024年支持学前教育发展资金（第二批</w:t>
      </w:r>
      <w:r>
        <w:rPr>
          <w:rFonts w:hint="eastAsia" w:ascii="仿宋_GB2312" w:hAnsi="仿宋_GB2312" w:eastAsia="仿宋_GB2312" w:cs="仿宋_GB2312"/>
          <w:sz w:val="32"/>
          <w:szCs w:val="48"/>
          <w:shd w:val="clear" w:color="auto" w:fill="FFFFFF"/>
          <w:lang w:eastAsia="zh-CN" w:bidi="ar"/>
        </w:rPr>
        <w:t>）》</w:t>
      </w:r>
      <w:r>
        <w:rPr>
          <w:rFonts w:hint="eastAsia" w:ascii="仿宋_GB2312" w:hAnsi="仿宋_GB2312" w:eastAsia="仿宋_GB2312" w:cs="仿宋_GB2312"/>
          <w:sz w:val="32"/>
          <w:szCs w:val="48"/>
          <w:shd w:val="clear" w:color="auto" w:fill="FFFFFF"/>
          <w:lang w:bidi="ar"/>
        </w:rPr>
        <w:t>文件，进一步加快学前教育发展，完善学前教育办园设施，提高办园质量。按要求和部署，精心组织，有序推进，要把大力发展学前教育作为社会保障和改善民生的重要举措，作为推进新时期教育事业科学发展的重要任务。</w:t>
      </w:r>
      <w:r>
        <w:rPr>
          <w:rFonts w:hint="eastAsia" w:ascii="仿宋" w:hAnsi="仿宋" w:eastAsia="仿宋" w:cs="仿宋"/>
          <w:spacing w:val="-13"/>
          <w:sz w:val="32"/>
          <w:szCs w:val="32"/>
        </w:rPr>
        <w:t xml:space="preserve"> </w:t>
      </w:r>
    </w:p>
    <w:p>
      <w:pPr>
        <w:widowControl w:val="0"/>
        <w:spacing w:line="560" w:lineRule="exact"/>
        <w:ind w:firstLine="667" w:firstLineChars="200"/>
        <w:outlineLvl w:val="1"/>
        <w:rPr>
          <w:rStyle w:val="15"/>
          <w:rFonts w:ascii="方正楷体_GBK" w:hAnsi="方正楷体_GBK" w:eastAsia="方正楷体_GBK" w:cs="方正楷体_GBK"/>
          <w:b/>
          <w:spacing w:val="6"/>
          <w:sz w:val="32"/>
          <w:szCs w:val="32"/>
          <w:lang w:bidi="ar-SA"/>
        </w:rPr>
      </w:pPr>
      <w:bookmarkStart w:id="9" w:name="_Toc3202"/>
      <w:r>
        <w:rPr>
          <w:rStyle w:val="15"/>
          <w:rFonts w:hint="eastAsia" w:ascii="方正楷体_GBK" w:hAnsi="方正楷体_GBK" w:eastAsia="方正楷体_GBK" w:cs="方正楷体_GBK"/>
          <w:b/>
          <w:spacing w:val="6"/>
          <w:sz w:val="32"/>
          <w:szCs w:val="32"/>
          <w:lang w:bidi="ar-SA"/>
        </w:rPr>
        <w:t>（二）</w:t>
      </w:r>
      <w:r>
        <w:rPr>
          <w:rStyle w:val="15"/>
          <w:rFonts w:ascii="方正楷体_GBK" w:hAnsi="方正楷体_GBK" w:eastAsia="方正楷体_GBK" w:cs="方正楷体_GBK"/>
          <w:b/>
          <w:spacing w:val="6"/>
          <w:sz w:val="32"/>
          <w:szCs w:val="32"/>
          <w:lang w:bidi="ar-SA"/>
        </w:rPr>
        <w:t>项目实施情况</w:t>
      </w:r>
      <w:bookmarkEnd w:id="9"/>
    </w:p>
    <w:p>
      <w:pPr>
        <w:widowControl w:val="0"/>
        <w:spacing w:line="560" w:lineRule="exact"/>
        <w:ind w:firstLine="640" w:firstLineChars="200"/>
        <w:rPr>
          <w:rFonts w:ascii="仿宋" w:hAnsi="仿宋" w:eastAsia="仿宋" w:cs="仿宋"/>
          <w:b/>
          <w:bCs/>
          <w:spacing w:val="8"/>
          <w:sz w:val="31"/>
          <w:szCs w:val="31"/>
        </w:rPr>
      </w:pPr>
      <w:r>
        <w:rPr>
          <w:rFonts w:hint="eastAsia" w:ascii="仿宋_GB2312" w:hAnsi="仿宋_GB2312" w:eastAsia="仿宋_GB2312" w:cs="仿宋_GB2312"/>
          <w:sz w:val="32"/>
          <w:szCs w:val="48"/>
          <w:shd w:val="clear" w:color="auto" w:fill="FFFFFF"/>
          <w:lang w:bidi="ar"/>
        </w:rPr>
        <w:t>项目实施情况：截至2024年12月31日已支付66万元， 预算执行率为100%，完成1个园舍维修改造项目，工程已完成验收，通过项目的实施达到了</w:t>
      </w:r>
      <w:r>
        <w:rPr>
          <w:rFonts w:hint="eastAsia" w:ascii="仿宋_GB2312" w:hAnsi="仿宋_GB2312" w:eastAsia="仿宋_GB2312" w:cs="仿宋_GB2312"/>
          <w:sz w:val="32"/>
          <w:szCs w:val="48"/>
          <w:shd w:val="clear" w:color="auto" w:fill="FFFFFF"/>
          <w:lang w:val="en-US" w:eastAsia="zh-CN" w:bidi="ar"/>
        </w:rPr>
        <w:t>增加</w:t>
      </w:r>
      <w:r>
        <w:rPr>
          <w:rFonts w:hint="eastAsia" w:ascii="仿宋_GB2312" w:hAnsi="仿宋_GB2312" w:eastAsia="仿宋_GB2312" w:cs="仿宋_GB2312"/>
          <w:sz w:val="32"/>
          <w:szCs w:val="48"/>
          <w:shd w:val="clear" w:color="auto" w:fill="FFFFFF"/>
          <w:lang w:bidi="ar"/>
        </w:rPr>
        <w:t>幼儿园园舍环境的效果并且提升了学习和工作的积极性，增强对园所的认同感和归属感，进而为教育活动的开展创造更积极的氛围。</w:t>
      </w:r>
      <w:r>
        <w:rPr>
          <w:rFonts w:hint="eastAsia" w:ascii="仿宋_GB2312" w:hAnsi="仿宋_GB2312" w:eastAsia="仿宋_GB2312" w:cs="仿宋_GB2312"/>
          <w:sz w:val="32"/>
          <w:szCs w:val="48"/>
          <w:shd w:val="clear" w:color="auto" w:fill="FFFFFF"/>
          <w:lang w:bidi="ar"/>
        </w:rPr>
        <w:br w:type="textWrapping"/>
      </w:r>
      <w:r>
        <w:rPr>
          <w:rFonts w:hint="eastAsia" w:ascii="仿宋" w:hAnsi="仿宋" w:eastAsia="仿宋" w:cs="仿宋"/>
          <w:spacing w:val="-5"/>
          <w:sz w:val="32"/>
          <w:szCs w:val="32"/>
        </w:rPr>
        <w:t xml:space="preserve">   </w:t>
      </w:r>
      <w:r>
        <w:rPr>
          <w:rStyle w:val="15"/>
          <w:rFonts w:ascii="方正楷体_GBK" w:hAnsi="方正楷体_GBK" w:eastAsia="方正楷体_GBK" w:cs="方正楷体_GBK"/>
          <w:b/>
          <w:spacing w:val="6"/>
          <w:sz w:val="32"/>
          <w:szCs w:val="32"/>
          <w:lang w:bidi="ar-SA"/>
        </w:rPr>
        <w:t>（三）绩效目标</w:t>
      </w:r>
      <w:r>
        <w:rPr>
          <w:rStyle w:val="15"/>
          <w:rFonts w:ascii="方正楷体_GBK" w:hAnsi="方正楷体_GBK" w:eastAsia="方正楷体_GBK" w:cs="方正楷体_GBK"/>
          <w:b/>
          <w:spacing w:val="6"/>
          <w:sz w:val="32"/>
          <w:szCs w:val="32"/>
          <w:lang w:bidi="ar-SA"/>
        </w:rPr>
        <w:br w:type="textWrapping"/>
      </w:r>
      <w:r>
        <w:rPr>
          <w:rFonts w:hint="eastAsia"/>
        </w:rPr>
        <w:t xml:space="preserve">   </w:t>
      </w:r>
      <w:r>
        <w:rPr>
          <w:rFonts w:hint="eastAsia" w:ascii="仿宋_GB2312" w:hAnsi="仿宋_GB2312" w:eastAsia="仿宋_GB2312" w:cs="仿宋_GB2312"/>
          <w:sz w:val="32"/>
          <w:szCs w:val="48"/>
          <w:shd w:val="clear" w:color="auto" w:fill="FFFFFF"/>
          <w:lang w:bidi="ar"/>
        </w:rPr>
        <w:t xml:space="preserve">  </w:t>
      </w:r>
      <w:r>
        <w:rPr>
          <w:rFonts w:ascii="仿宋_GB2312" w:hAnsi="仿宋_GB2312" w:eastAsia="仿宋_GB2312" w:cs="仿宋_GB2312"/>
          <w:b/>
          <w:bCs/>
          <w:sz w:val="32"/>
          <w:szCs w:val="48"/>
          <w:shd w:val="clear" w:color="auto" w:fill="FFFFFF"/>
          <w:lang w:bidi="ar"/>
        </w:rPr>
        <w:t>1.总目标</w:t>
      </w:r>
      <w:r>
        <w:rPr>
          <w:rFonts w:ascii="仿宋_GB2312" w:hAnsi="仿宋_GB2312" w:eastAsia="仿宋_GB2312" w:cs="仿宋_GB2312"/>
          <w:sz w:val="32"/>
          <w:szCs w:val="48"/>
          <w:shd w:val="clear" w:color="auto" w:fill="FFFFFF"/>
          <w:lang w:bidi="ar"/>
        </w:rPr>
        <w:br w:type="textWrapping"/>
      </w:r>
      <w:r>
        <w:rPr>
          <w:rFonts w:hint="eastAsia" w:ascii="仿宋_GB2312" w:hAnsi="仿宋_GB2312" w:eastAsia="仿宋_GB2312" w:cs="仿宋_GB2312"/>
          <w:sz w:val="32"/>
          <w:szCs w:val="48"/>
          <w:shd w:val="clear" w:color="auto" w:fill="FFFFFF"/>
          <w:lang w:bidi="ar"/>
        </w:rPr>
        <w:t xml:space="preserve">   沙湾市实验幼儿园于2024年12月20日前支付66万元，项目完成1个园舍维修改造项目，工程验收合格率100%，资金支付及时率100%。通过该项目的实施达到增强对园所的认同感和归属感，进而为教育活动的开展创造更积极的氛围。</w:t>
      </w:r>
      <w:r>
        <w:rPr>
          <w:rFonts w:hint="eastAsia" w:ascii="仿宋_GB2312" w:hAnsi="仿宋_GB2312" w:eastAsia="仿宋_GB2312" w:cs="仿宋_GB2312"/>
          <w:sz w:val="32"/>
          <w:szCs w:val="48"/>
          <w:shd w:val="clear" w:color="auto" w:fill="FFFFFF"/>
          <w:lang w:val="en-US" w:eastAsia="zh-CN" w:bidi="ar"/>
        </w:rPr>
        <w:t xml:space="preserve"> </w:t>
      </w:r>
      <w:r>
        <w:rPr>
          <w:rFonts w:hint="eastAsia" w:ascii="仿宋" w:hAnsi="仿宋" w:eastAsia="仿宋" w:cs="仿宋"/>
          <w:b/>
          <w:bCs/>
          <w:spacing w:val="8"/>
          <w:sz w:val="31"/>
          <w:szCs w:val="31"/>
        </w:rPr>
        <w:t xml:space="preserve"> </w:t>
      </w:r>
    </w:p>
    <w:p>
      <w:pPr>
        <w:widowControl w:val="0"/>
        <w:spacing w:line="560" w:lineRule="exact"/>
        <w:ind w:firstLine="643" w:firstLineChars="200"/>
        <w:outlineLvl w:val="2"/>
        <w:rPr>
          <w:rFonts w:ascii="Times New Roman" w:hAnsi="Times New Roman" w:eastAsia="仿宋_GB2312"/>
          <w:b/>
          <w:bCs/>
          <w:sz w:val="32"/>
          <w:szCs w:val="32"/>
          <w:lang w:bidi="ar"/>
        </w:rPr>
      </w:pPr>
      <w:r>
        <w:rPr>
          <w:rFonts w:ascii="Times New Roman" w:hAnsi="Times New Roman" w:eastAsia="仿宋_GB2312"/>
          <w:b/>
          <w:bCs/>
          <w:sz w:val="32"/>
          <w:szCs w:val="32"/>
          <w:lang w:bidi="ar"/>
        </w:rPr>
        <w:t>2.年度绩效目标</w:t>
      </w:r>
    </w:p>
    <w:p>
      <w:pPr>
        <w:pStyle w:val="2"/>
        <w:spacing w:before="0" w:beforeAutospacing="0" w:after="0" w:afterAutospacing="0" w:line="560" w:lineRule="exact"/>
        <w:ind w:firstLine="640" w:firstLineChars="200"/>
        <w:outlineLvl w:val="9"/>
        <w:rPr>
          <w:rFonts w:ascii="方正黑体_GBK" w:hAnsi="方正黑体_GBK" w:eastAsia="方正黑体_GBK" w:cs="方正黑体_GBK"/>
          <w:b w:val="0"/>
          <w:bCs w:val="0"/>
          <w:spacing w:val="6"/>
          <w:kern w:val="2"/>
          <w:sz w:val="32"/>
          <w:szCs w:val="32"/>
        </w:rPr>
      </w:pPr>
      <w:r>
        <w:rPr>
          <w:rFonts w:ascii="Times New Roman" w:hAnsi="Times New Roman" w:eastAsia="仿宋_GB2312" w:cs="Times New Roman"/>
          <w:b w:val="0"/>
          <w:sz w:val="32"/>
          <w:szCs w:val="32"/>
          <w:lang w:bidi="ar"/>
        </w:rPr>
        <w:t>该项目于2024年8月10日开工，</w:t>
      </w:r>
      <w:r>
        <w:rPr>
          <w:rFonts w:hint="eastAsia" w:ascii="Times New Roman" w:hAnsi="Times New Roman" w:eastAsia="仿宋_GB2312" w:cs="Times New Roman"/>
          <w:b w:val="0"/>
          <w:sz w:val="32"/>
          <w:szCs w:val="32"/>
          <w:lang w:eastAsia="zh-CN" w:bidi="ar"/>
        </w:rPr>
        <w:t>于2024年8月22日</w:t>
      </w:r>
      <w:r>
        <w:rPr>
          <w:rFonts w:ascii="Times New Roman" w:hAnsi="Times New Roman" w:eastAsia="仿宋_GB2312" w:cs="Times New Roman"/>
          <w:b w:val="0"/>
          <w:sz w:val="32"/>
          <w:szCs w:val="32"/>
          <w:lang w:bidi="ar"/>
        </w:rPr>
        <w:t>完成总工程量的66%</w:t>
      </w:r>
      <w:r>
        <w:rPr>
          <w:rFonts w:hint="eastAsia" w:ascii="Times New Roman" w:hAnsi="Times New Roman" w:eastAsia="仿宋_GB2312" w:cs="Times New Roman"/>
          <w:b w:val="0"/>
          <w:sz w:val="32"/>
          <w:szCs w:val="32"/>
          <w:lang w:bidi="ar"/>
        </w:rPr>
        <w:t>，</w:t>
      </w:r>
      <w:r>
        <w:rPr>
          <w:rFonts w:ascii="Times New Roman" w:hAnsi="Times New Roman" w:eastAsia="仿宋_GB2312" w:cs="Times New Roman"/>
          <w:b w:val="0"/>
          <w:sz w:val="32"/>
          <w:szCs w:val="32"/>
          <w:lang w:bidi="ar"/>
        </w:rPr>
        <w:t>于2024年8月31日</w:t>
      </w:r>
      <w:r>
        <w:rPr>
          <w:rFonts w:hint="eastAsia" w:ascii="Times New Roman" w:hAnsi="Times New Roman" w:eastAsia="仿宋_GB2312" w:cs="Times New Roman"/>
          <w:b w:val="0"/>
          <w:sz w:val="32"/>
          <w:szCs w:val="32"/>
          <w:lang w:bidi="ar"/>
        </w:rPr>
        <w:t>全部</w:t>
      </w:r>
      <w:r>
        <w:rPr>
          <w:rFonts w:ascii="Times New Roman" w:hAnsi="Times New Roman" w:eastAsia="仿宋_GB2312" w:cs="Times New Roman"/>
          <w:b w:val="0"/>
          <w:sz w:val="32"/>
          <w:szCs w:val="32"/>
          <w:lang w:bidi="ar"/>
        </w:rPr>
        <w:t>完工，资金支付分3次完成，支付率为100%。通过项目的实施达到了</w:t>
      </w:r>
      <w:r>
        <w:rPr>
          <w:rFonts w:hint="eastAsia" w:ascii="Times New Roman" w:hAnsi="Times New Roman" w:eastAsia="仿宋_GB2312" w:cs="Times New Roman"/>
          <w:b w:val="0"/>
          <w:sz w:val="32"/>
          <w:szCs w:val="32"/>
          <w:lang w:val="en-US" w:eastAsia="zh-CN" w:bidi="ar"/>
        </w:rPr>
        <w:t>增加</w:t>
      </w:r>
      <w:r>
        <w:rPr>
          <w:rFonts w:ascii="Times New Roman" w:hAnsi="Times New Roman" w:eastAsia="仿宋_GB2312" w:cs="Times New Roman"/>
          <w:b w:val="0"/>
          <w:sz w:val="32"/>
          <w:szCs w:val="32"/>
          <w:lang w:bidi="ar"/>
        </w:rPr>
        <w:t>幼儿园园舍环境的效果。</w:t>
      </w:r>
      <w:r>
        <w:rPr>
          <w:rFonts w:ascii="Times New Roman" w:hAnsi="Times New Roman" w:eastAsia="仿宋_GB2312" w:cs="Times New Roman"/>
          <w:b w:val="0"/>
          <w:sz w:val="32"/>
          <w:szCs w:val="32"/>
          <w:lang w:bidi="ar"/>
        </w:rPr>
        <w:br w:type="textWrapping"/>
      </w:r>
      <w:r>
        <w:rPr>
          <w:rFonts w:hint="eastAsia" w:ascii="Times New Roman" w:hAnsi="Times New Roman" w:eastAsia="仿宋_GB2312" w:cs="Times New Roman"/>
          <w:b w:val="0"/>
          <w:sz w:val="32"/>
          <w:szCs w:val="32"/>
          <w:lang w:bidi="ar"/>
        </w:rPr>
        <w:t xml:space="preserve">  </w:t>
      </w:r>
      <w:r>
        <w:rPr>
          <w:rFonts w:hint="eastAsia" w:ascii="方正黑体_GBK" w:hAnsi="方正黑体_GBK" w:eastAsia="方正黑体_GBK" w:cs="方正黑体_GBK"/>
          <w:b w:val="0"/>
          <w:bCs w:val="0"/>
          <w:spacing w:val="6"/>
          <w:kern w:val="2"/>
          <w:sz w:val="32"/>
          <w:szCs w:val="32"/>
        </w:rPr>
        <w:t xml:space="preserve"> </w:t>
      </w:r>
      <w:r>
        <w:rPr>
          <w:rFonts w:ascii="方正黑体_GBK" w:hAnsi="方正黑体_GBK" w:eastAsia="方正黑体_GBK" w:cs="方正黑体_GBK"/>
          <w:b w:val="0"/>
          <w:bCs w:val="0"/>
          <w:spacing w:val="6"/>
          <w:kern w:val="2"/>
          <w:sz w:val="32"/>
          <w:szCs w:val="32"/>
        </w:rPr>
        <w:t>二、绩效评价情况</w:t>
      </w:r>
    </w:p>
    <w:p>
      <w:pPr>
        <w:pStyle w:val="2"/>
        <w:spacing w:before="0" w:beforeAutospacing="0" w:after="0" w:afterAutospacing="0" w:line="560" w:lineRule="exact"/>
        <w:ind w:firstLine="667" w:firstLineChars="200"/>
        <w:outlineLvl w:val="1"/>
        <w:rPr>
          <w:rStyle w:val="15"/>
          <w:rFonts w:ascii="方正楷体_GBK" w:hAnsi="方正楷体_GBK" w:eastAsia="方正楷体_GBK" w:cs="方正楷体_GBK"/>
          <w:bCs w:val="0"/>
          <w:spacing w:val="6"/>
          <w:sz w:val="32"/>
          <w:szCs w:val="32"/>
          <w:lang w:bidi="ar-SA"/>
        </w:rPr>
      </w:pPr>
      <w:bookmarkStart w:id="10" w:name="_Toc31070"/>
      <w:r>
        <w:rPr>
          <w:rStyle w:val="15"/>
          <w:rFonts w:ascii="方正楷体_GBK" w:hAnsi="方正楷体_GBK" w:eastAsia="方正楷体_GBK" w:cs="方正楷体_GBK"/>
          <w:bCs w:val="0"/>
          <w:spacing w:val="6"/>
          <w:sz w:val="32"/>
          <w:szCs w:val="32"/>
          <w:lang w:bidi="ar-SA"/>
        </w:rPr>
        <w:t>（一）评价结论</w:t>
      </w:r>
      <w:bookmarkEnd w:id="10"/>
    </w:p>
    <w:p>
      <w:pPr>
        <w:ind w:firstLine="640" w:firstLineChars="200"/>
        <w:jc w:val="both"/>
        <w:rPr>
          <w:rStyle w:val="15"/>
          <w:rFonts w:ascii="方正楷体_GBK" w:hAnsi="方正楷体_GBK" w:eastAsia="方正楷体_GBK" w:cs="方正楷体_GBK"/>
          <w:b/>
          <w:spacing w:val="6"/>
          <w:sz w:val="32"/>
          <w:szCs w:val="32"/>
          <w:lang w:bidi="ar-SA"/>
        </w:rPr>
      </w:pPr>
      <w:r>
        <w:rPr>
          <w:rFonts w:ascii="Times New Roman" w:hAnsi="Times New Roman" w:eastAsia="仿宋_GB2312"/>
          <w:bCs/>
          <w:sz w:val="32"/>
          <w:szCs w:val="32"/>
          <w:lang w:bidi="ar"/>
        </w:rPr>
        <w:t>运用绩效评价组制定的评价指标体系以及财政部《项目支出绩效评价管理办法》</w:t>
      </w:r>
      <w:r>
        <w:rPr>
          <w:rFonts w:hint="eastAsia" w:ascii="Times New Roman" w:hAnsi="Times New Roman" w:eastAsia="仿宋_GB2312"/>
          <w:bCs/>
          <w:sz w:val="32"/>
          <w:szCs w:val="32"/>
          <w:lang w:bidi="ar"/>
        </w:rPr>
        <w:t>（</w:t>
      </w:r>
      <w:r>
        <w:rPr>
          <w:rFonts w:ascii="Times New Roman" w:hAnsi="Times New Roman" w:eastAsia="仿宋_GB2312"/>
          <w:bCs/>
          <w:sz w:val="32"/>
          <w:szCs w:val="32"/>
          <w:lang w:bidi="ar"/>
        </w:rPr>
        <w:t>财预〔2020〕10号</w:t>
      </w:r>
      <w:r>
        <w:rPr>
          <w:rFonts w:hint="eastAsia" w:ascii="Times New Roman" w:hAnsi="Times New Roman" w:eastAsia="仿宋_GB2312"/>
          <w:bCs/>
          <w:sz w:val="32"/>
          <w:szCs w:val="32"/>
          <w:lang w:bidi="ar"/>
        </w:rPr>
        <w:t>）</w:t>
      </w:r>
      <w:r>
        <w:rPr>
          <w:rFonts w:ascii="Times New Roman" w:hAnsi="Times New Roman" w:eastAsia="仿宋_GB2312"/>
          <w:bCs/>
          <w:sz w:val="32"/>
          <w:szCs w:val="32"/>
          <w:lang w:bidi="ar"/>
        </w:rPr>
        <w:t>的评分标准，通过数据采集、问卷调查及访谈等方式，对本项目进行客观评价，最终评分结果：总得分为100分，属于“优”。其中，项目决策类指标权重为20分，得分为20分，得分率为100%。项目过程类指标权重为20分，得分为20分，</w:t>
      </w:r>
      <w:r>
        <w:rPr>
          <w:rFonts w:hint="eastAsia" w:ascii="Times New Roman" w:hAnsi="Times New Roman" w:eastAsia="仿宋_GB2312"/>
          <w:bCs/>
          <w:sz w:val="32"/>
          <w:szCs w:val="32"/>
          <w:lang w:eastAsia="zh-CN" w:bidi="ar"/>
        </w:rPr>
        <w:t>得分率为100%</w:t>
      </w:r>
      <w:r>
        <w:rPr>
          <w:rFonts w:ascii="Times New Roman" w:hAnsi="Times New Roman" w:eastAsia="仿宋_GB2312"/>
          <w:bCs/>
          <w:sz w:val="32"/>
          <w:szCs w:val="32"/>
          <w:lang w:bidi="ar"/>
        </w:rPr>
        <w:t>。项目产出类指标权重为40分，得分为40分，</w:t>
      </w:r>
      <w:r>
        <w:rPr>
          <w:rFonts w:hint="eastAsia" w:ascii="Times New Roman" w:hAnsi="Times New Roman" w:eastAsia="仿宋_GB2312"/>
          <w:bCs/>
          <w:sz w:val="32"/>
          <w:szCs w:val="32"/>
          <w:lang w:eastAsia="zh-CN" w:bidi="ar"/>
        </w:rPr>
        <w:t>得分率为100%</w:t>
      </w:r>
      <w:r>
        <w:rPr>
          <w:rFonts w:ascii="Times New Roman" w:hAnsi="Times New Roman" w:eastAsia="仿宋_GB2312"/>
          <w:bCs/>
          <w:sz w:val="32"/>
          <w:szCs w:val="32"/>
          <w:lang w:bidi="ar"/>
        </w:rPr>
        <w:t>。项目效益类指标权重为20分，得分为20分，得分率为100%。</w:t>
      </w:r>
      <w:r>
        <w:rPr>
          <w:rFonts w:ascii="Times New Roman" w:hAnsi="Times New Roman" w:eastAsia="仿宋_GB2312"/>
          <w:bCs/>
          <w:sz w:val="32"/>
          <w:szCs w:val="32"/>
          <w:lang w:bidi="ar"/>
        </w:rPr>
        <w:br w:type="textWrapping"/>
      </w:r>
      <w:r>
        <w:rPr>
          <w:rFonts w:hint="eastAsia" w:ascii="仿宋" w:hAnsi="仿宋" w:eastAsia="仿宋" w:cs="仿宋"/>
          <w:spacing w:val="9"/>
          <w:sz w:val="32"/>
          <w:szCs w:val="32"/>
        </w:rPr>
        <w:t xml:space="preserve">   </w:t>
      </w:r>
      <w:r>
        <w:rPr>
          <w:rStyle w:val="15"/>
          <w:rFonts w:ascii="方正楷体_GBK" w:hAnsi="方正楷体_GBK" w:eastAsia="方正楷体_GBK" w:cs="方正楷体_GBK"/>
          <w:b/>
          <w:spacing w:val="6"/>
          <w:sz w:val="32"/>
          <w:szCs w:val="32"/>
          <w:lang w:bidi="ar-SA"/>
        </w:rPr>
        <w:t>（二）预算执行情况</w:t>
      </w:r>
    </w:p>
    <w:p>
      <w:pPr>
        <w:ind w:firstLine="640" w:firstLineChars="200"/>
        <w:jc w:val="both"/>
        <w:rPr>
          <w:rFonts w:ascii="Times New Roman" w:hAnsi="Times New Roman" w:eastAsia="仿宋_GB2312"/>
          <w:bCs/>
          <w:sz w:val="32"/>
          <w:szCs w:val="32"/>
          <w:lang w:bidi="ar"/>
        </w:rPr>
      </w:pPr>
      <w:r>
        <w:rPr>
          <w:rFonts w:ascii="Times New Roman" w:hAnsi="Times New Roman" w:eastAsia="仿宋_GB2312"/>
          <w:bCs/>
          <w:sz w:val="32"/>
          <w:szCs w:val="32"/>
          <w:lang w:bidi="ar"/>
        </w:rPr>
        <w:t>该项目年初预算数66万元，全年预算数66万元</w:t>
      </w:r>
      <w:r>
        <w:rPr>
          <w:rFonts w:hint="eastAsia" w:ascii="Times New Roman" w:hAnsi="Times New Roman" w:eastAsia="仿宋_GB2312"/>
          <w:bCs/>
          <w:sz w:val="32"/>
          <w:szCs w:val="32"/>
          <w:lang w:bidi="ar"/>
        </w:rPr>
        <w:t>，</w:t>
      </w:r>
      <w:r>
        <w:rPr>
          <w:rFonts w:ascii="Times New Roman" w:hAnsi="Times New Roman" w:eastAsia="仿宋_GB2312"/>
          <w:bCs/>
          <w:sz w:val="32"/>
          <w:szCs w:val="32"/>
          <w:lang w:bidi="ar"/>
        </w:rPr>
        <w:t>全年执行数66万元，预算执行率为100%</w:t>
      </w:r>
      <w:r>
        <w:rPr>
          <w:rFonts w:hint="eastAsia" w:ascii="Times New Roman" w:hAnsi="Times New Roman" w:eastAsia="仿宋_GB2312"/>
          <w:bCs/>
          <w:sz w:val="32"/>
          <w:szCs w:val="32"/>
          <w:lang w:bidi="ar"/>
        </w:rPr>
        <w:t>，</w:t>
      </w:r>
      <w:r>
        <w:rPr>
          <w:rFonts w:ascii="Times New Roman" w:hAnsi="Times New Roman" w:eastAsia="仿宋_GB2312"/>
          <w:bCs/>
          <w:sz w:val="32"/>
          <w:szCs w:val="32"/>
          <w:lang w:bidi="ar"/>
        </w:rPr>
        <w:t>主要用于：沙湾市实验幼儿园园舍维修及改造。</w:t>
      </w:r>
    </w:p>
    <w:p>
      <w:pPr>
        <w:pStyle w:val="2"/>
        <w:spacing w:before="0" w:beforeAutospacing="0" w:after="0" w:afterAutospacing="0" w:line="560" w:lineRule="exact"/>
        <w:ind w:firstLine="667" w:firstLineChars="200"/>
        <w:outlineLvl w:val="1"/>
        <w:rPr>
          <w:rStyle w:val="15"/>
          <w:rFonts w:ascii="方正楷体_GBK" w:hAnsi="方正楷体_GBK" w:eastAsia="方正楷体_GBK" w:cs="方正楷体_GBK"/>
          <w:bCs w:val="0"/>
          <w:spacing w:val="6"/>
          <w:sz w:val="32"/>
          <w:szCs w:val="32"/>
          <w:lang w:bidi="ar-SA"/>
        </w:rPr>
      </w:pPr>
      <w:bookmarkStart w:id="11" w:name="_Toc2701"/>
      <w:r>
        <w:rPr>
          <w:rStyle w:val="15"/>
          <w:rFonts w:ascii="方正楷体_GBK" w:hAnsi="方正楷体_GBK" w:eastAsia="方正楷体_GBK" w:cs="方正楷体_GBK"/>
          <w:bCs w:val="0"/>
          <w:spacing w:val="6"/>
          <w:sz w:val="32"/>
          <w:szCs w:val="32"/>
          <w:lang w:bidi="ar-SA"/>
        </w:rPr>
        <w:t>（三）项目绩效情况</w:t>
      </w:r>
      <w:bookmarkEnd w:id="11"/>
    </w:p>
    <w:p>
      <w:pPr>
        <w:pStyle w:val="16"/>
        <w:spacing w:line="560" w:lineRule="exact"/>
        <w:ind w:firstLine="640" w:firstLineChars="200"/>
        <w:jc w:val="both"/>
        <w:rPr>
          <w:rStyle w:val="15"/>
          <w:rFonts w:ascii="黑体" w:hAnsi="黑体" w:eastAsia="黑体"/>
          <w:kern w:val="2"/>
          <w:sz w:val="32"/>
          <w:lang w:bidi="ar-SA"/>
        </w:rPr>
      </w:pPr>
      <w:r>
        <w:rPr>
          <w:rFonts w:hint="eastAsia" w:ascii="Times New Roman" w:hAnsi="Times New Roman" w:eastAsia="仿宋_GB2312" w:cs="Times New Roman"/>
          <w:bCs/>
          <w:sz w:val="32"/>
          <w:szCs w:val="32"/>
          <w:lang w:val="en-US" w:eastAsia="zh-CN" w:bidi="ar"/>
        </w:rPr>
        <w:t>截至</w:t>
      </w:r>
      <w:r>
        <w:rPr>
          <w:rFonts w:ascii="Times New Roman" w:hAnsi="Times New Roman" w:eastAsia="仿宋_GB2312" w:cs="Times New Roman"/>
          <w:bCs/>
          <w:sz w:val="32"/>
          <w:szCs w:val="32"/>
          <w:lang w:val="en-US" w:eastAsia="zh-CN" w:bidi="ar"/>
        </w:rPr>
        <w:t>2024年12月31日已支付66万元， 预算执行率为100%</w:t>
      </w:r>
      <w:r>
        <w:rPr>
          <w:rFonts w:hint="eastAsia" w:ascii="Times New Roman" w:hAnsi="Times New Roman" w:eastAsia="仿宋_GB2312" w:cs="Times New Roman"/>
          <w:bCs/>
          <w:sz w:val="32"/>
          <w:szCs w:val="32"/>
          <w:lang w:val="en-US" w:eastAsia="zh-CN" w:bidi="ar"/>
        </w:rPr>
        <w:t>，</w:t>
      </w:r>
      <w:r>
        <w:rPr>
          <w:rFonts w:ascii="Times New Roman" w:hAnsi="Times New Roman" w:eastAsia="仿宋_GB2312" w:cs="Times New Roman"/>
          <w:bCs/>
          <w:sz w:val="32"/>
          <w:szCs w:val="32"/>
          <w:lang w:val="en-US" w:eastAsia="zh-CN" w:bidi="ar"/>
        </w:rPr>
        <w:t>项目完成1个园舍维修改造项目，资金支付及时率100%</w:t>
      </w:r>
      <w:r>
        <w:rPr>
          <w:rFonts w:hint="eastAsia" w:ascii="Times New Roman" w:hAnsi="Times New Roman" w:eastAsia="仿宋_GB2312" w:cs="Times New Roman"/>
          <w:bCs/>
          <w:sz w:val="32"/>
          <w:szCs w:val="32"/>
          <w:lang w:val="en-US" w:eastAsia="zh-CN" w:bidi="ar"/>
        </w:rPr>
        <w:t>，</w:t>
      </w:r>
      <w:r>
        <w:rPr>
          <w:rFonts w:ascii="Times New Roman" w:hAnsi="Times New Roman" w:eastAsia="仿宋_GB2312" w:cs="Times New Roman"/>
          <w:bCs/>
          <w:sz w:val="32"/>
          <w:szCs w:val="32"/>
          <w:lang w:val="en-US" w:eastAsia="zh-CN" w:bidi="ar"/>
        </w:rPr>
        <w:t>工程已完成验收，通过项目的实施达到了</w:t>
      </w:r>
      <w:r>
        <w:rPr>
          <w:rFonts w:hint="eastAsia" w:ascii="Times New Roman" w:hAnsi="Times New Roman" w:eastAsia="仿宋_GB2312" w:cs="Times New Roman"/>
          <w:bCs/>
          <w:sz w:val="32"/>
          <w:szCs w:val="32"/>
          <w:lang w:val="en-US" w:eastAsia="zh-CN" w:bidi="ar"/>
        </w:rPr>
        <w:t>增加</w:t>
      </w:r>
      <w:r>
        <w:rPr>
          <w:rFonts w:ascii="Times New Roman" w:hAnsi="Times New Roman" w:eastAsia="仿宋_GB2312" w:cs="Times New Roman"/>
          <w:bCs/>
          <w:sz w:val="32"/>
          <w:szCs w:val="32"/>
          <w:lang w:val="en-US" w:eastAsia="zh-CN" w:bidi="ar"/>
        </w:rPr>
        <w:t>幼儿园园舍环境的效果。</w:t>
      </w:r>
      <w:r>
        <w:rPr>
          <w:rFonts w:ascii="Times New Roman" w:hAnsi="Times New Roman" w:eastAsia="仿宋_GB2312" w:cs="Times New Roman"/>
          <w:bCs/>
          <w:sz w:val="32"/>
          <w:szCs w:val="32"/>
          <w:lang w:val="en-US" w:eastAsia="zh-CN" w:bidi="ar"/>
        </w:rPr>
        <w:br w:type="textWrapping"/>
      </w:r>
      <w:r>
        <w:rPr>
          <w:rFonts w:hint="eastAsia" w:ascii="Times New Roman" w:hAnsi="Times New Roman" w:eastAsia="仿宋_GB2312" w:cs="Times New Roman"/>
          <w:bCs/>
          <w:sz w:val="32"/>
          <w:szCs w:val="32"/>
          <w:lang w:val="en-US" w:eastAsia="zh-CN" w:bidi="ar"/>
        </w:rPr>
        <w:t xml:space="preserve">    </w:t>
      </w:r>
      <w:r>
        <w:rPr>
          <w:rFonts w:ascii="方正黑体_GBK" w:hAnsi="方正黑体_GBK" w:eastAsia="方正黑体_GBK" w:cs="方正黑体_GBK"/>
          <w:spacing w:val="6"/>
          <w:kern w:val="2"/>
          <w:sz w:val="32"/>
          <w:szCs w:val="32"/>
          <w:lang w:val="en-US" w:eastAsia="zh-CN" w:bidi="ar-SA"/>
        </w:rPr>
        <w:t>三、经验、问题和建议</w:t>
      </w:r>
    </w:p>
    <w:p>
      <w:pPr>
        <w:spacing w:line="570" w:lineRule="atLeast"/>
        <w:ind w:firstLine="667" w:firstLineChars="200"/>
        <w:jc w:val="both"/>
        <w:textAlignment w:val="baseline"/>
        <w:outlineLvl w:val="1"/>
        <w:rPr>
          <w:rStyle w:val="15"/>
          <w:rFonts w:ascii="方正楷体_GBK" w:hAnsi="方正楷体_GBK" w:eastAsia="方正楷体_GBK" w:cs="方正楷体_GBK"/>
          <w:b/>
          <w:spacing w:val="6"/>
          <w:sz w:val="32"/>
          <w:szCs w:val="32"/>
          <w:lang w:bidi="ar-SA"/>
        </w:rPr>
      </w:pPr>
      <w:bookmarkStart w:id="12" w:name="_Toc10413"/>
      <w:r>
        <w:rPr>
          <w:rStyle w:val="15"/>
          <w:rFonts w:ascii="方正楷体_GBK" w:hAnsi="方正楷体_GBK" w:eastAsia="方正楷体_GBK" w:cs="方正楷体_GBK"/>
          <w:b/>
          <w:spacing w:val="6"/>
          <w:sz w:val="32"/>
          <w:szCs w:val="32"/>
          <w:lang w:bidi="ar-SA"/>
        </w:rPr>
        <w:t>（一）主要经验及做法</w:t>
      </w:r>
      <w:bookmarkEnd w:id="12"/>
    </w:p>
    <w:p>
      <w:pPr>
        <w:ind w:firstLine="640" w:firstLineChars="200"/>
        <w:jc w:val="both"/>
        <w:rPr>
          <w:rFonts w:ascii="Times New Roman" w:hAnsi="Times New Roman" w:eastAsia="仿宋_GB2312"/>
          <w:bCs/>
          <w:sz w:val="32"/>
          <w:szCs w:val="32"/>
          <w:lang w:bidi="ar"/>
        </w:rPr>
      </w:pPr>
      <w:r>
        <w:rPr>
          <w:rFonts w:ascii="Times New Roman" w:hAnsi="Times New Roman" w:eastAsia="仿宋_GB2312"/>
          <w:bCs/>
          <w:sz w:val="32"/>
          <w:szCs w:val="32"/>
          <w:lang w:bidi="ar"/>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制定园舍日常维护管理制度，定期对设施设备进行检查、保养和维修，及时发现并处理小问题，延长园舍使用寿命。</w:t>
      </w:r>
    </w:p>
    <w:p>
      <w:pPr>
        <w:pStyle w:val="16"/>
        <w:spacing w:line="560" w:lineRule="exact"/>
        <w:ind w:firstLine="667" w:firstLineChars="200"/>
        <w:jc w:val="both"/>
        <w:outlineLvl w:val="1"/>
        <w:rPr>
          <w:rStyle w:val="15"/>
          <w:rFonts w:ascii="方正楷体_GBK" w:hAnsi="方正楷体_GBK" w:eastAsia="方正楷体_GBK" w:cs="方正楷体_GBK"/>
          <w:b/>
          <w:spacing w:val="6"/>
          <w:sz w:val="32"/>
          <w:szCs w:val="32"/>
          <w:lang w:bidi="ar-SA"/>
        </w:rPr>
      </w:pPr>
      <w:bookmarkStart w:id="13" w:name="_Toc3706"/>
      <w:r>
        <w:rPr>
          <w:rStyle w:val="15"/>
          <w:rFonts w:ascii="方正楷体_GBK" w:hAnsi="方正楷体_GBK" w:eastAsia="方正楷体_GBK" w:cs="方正楷体_GBK"/>
          <w:b/>
          <w:spacing w:val="6"/>
          <w:sz w:val="32"/>
          <w:szCs w:val="32"/>
          <w:lang w:bidi="ar-SA"/>
        </w:rPr>
        <w:t>（二）存在问题与不足</w:t>
      </w:r>
      <w:bookmarkEnd w:id="13"/>
    </w:p>
    <w:p>
      <w:pPr>
        <w:ind w:firstLine="640" w:firstLineChars="200"/>
        <w:jc w:val="both"/>
        <w:rPr>
          <w:rFonts w:ascii="Times New Roman" w:hAnsi="Times New Roman" w:eastAsia="仿宋_GB2312" w:cs="Times New Roman"/>
          <w:bCs/>
          <w:sz w:val="32"/>
          <w:szCs w:val="32"/>
          <w:lang w:bidi="ar"/>
        </w:rPr>
      </w:pPr>
      <w:r>
        <w:rPr>
          <w:rFonts w:ascii="Times New Roman" w:hAnsi="Times New Roman" w:eastAsia="仿宋_GB2312" w:cs="Times New Roman"/>
          <w:bCs/>
          <w:sz w:val="32"/>
          <w:szCs w:val="32"/>
          <w:lang w:bidi="ar"/>
        </w:rPr>
        <w:t>相关绩效管理方面专业知识的系统性学习有待加强。各项指标的设置要进一步优化、完善，主要在细化、量化上改进</w:t>
      </w:r>
      <w:r>
        <w:rPr>
          <w:rFonts w:hint="eastAsia" w:ascii="Times New Roman" w:hAnsi="Times New Roman" w:eastAsia="仿宋_GB2312" w:cs="Times New Roman"/>
          <w:bCs/>
          <w:sz w:val="32"/>
          <w:szCs w:val="32"/>
          <w:lang w:bidi="ar"/>
        </w:rPr>
        <w:t>。</w:t>
      </w:r>
      <w:r>
        <w:rPr>
          <w:rFonts w:ascii="Times New Roman" w:hAnsi="Times New Roman" w:eastAsia="仿宋_GB2312" w:cs="Times New Roman"/>
          <w:bCs/>
          <w:sz w:val="32"/>
          <w:szCs w:val="32"/>
          <w:lang w:bidi="ar"/>
        </w:rPr>
        <w:t>在绩效自评过程中，由于部分人员缺乏相关绩效管理专业知识，自评价工作还存在局限性，影响评价质量。</w:t>
      </w:r>
    </w:p>
    <w:p>
      <w:pPr>
        <w:pStyle w:val="16"/>
        <w:spacing w:line="560" w:lineRule="exact"/>
        <w:ind w:firstLine="667" w:firstLineChars="200"/>
        <w:jc w:val="both"/>
        <w:outlineLvl w:val="1"/>
        <w:rPr>
          <w:rFonts w:ascii="Times New Roman" w:hAnsi="Times New Roman" w:eastAsia="楷体" w:cs="Times New Roman"/>
          <w:b/>
          <w:bCs/>
          <w:sz w:val="32"/>
          <w:szCs w:val="32"/>
          <w:lang w:val="en-US" w:eastAsia="zh-CN" w:bidi="en-US"/>
        </w:rPr>
      </w:pPr>
      <w:bookmarkStart w:id="14" w:name="_Toc15610"/>
      <w:r>
        <w:rPr>
          <w:rStyle w:val="15"/>
          <w:rFonts w:ascii="方正楷体_GBK" w:hAnsi="方正楷体_GBK" w:eastAsia="方正楷体_GBK" w:cs="方正楷体_GBK"/>
          <w:b/>
          <w:spacing w:val="6"/>
          <w:sz w:val="32"/>
          <w:szCs w:val="32"/>
          <w:lang w:bidi="ar-SA"/>
        </w:rPr>
        <w:t>（三）建议和改进措施</w:t>
      </w:r>
      <w:bookmarkEnd w:id="14"/>
    </w:p>
    <w:p>
      <w:pPr>
        <w:ind w:firstLine="640" w:firstLineChars="200"/>
        <w:jc w:val="both"/>
        <w:rPr>
          <w:rFonts w:ascii="Times New Roman" w:hAnsi="Times New Roman" w:eastAsia="仿宋_GB2312" w:cs="Times New Roman"/>
          <w:bCs/>
          <w:sz w:val="32"/>
          <w:szCs w:val="32"/>
          <w:lang w:bidi="ar"/>
        </w:rPr>
        <w:sectPr>
          <w:footerReference r:id="rId4"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bCs/>
          <w:sz w:val="32"/>
          <w:szCs w:val="32"/>
          <w:lang w:bidi="ar"/>
        </w:rPr>
        <w:t>进行有关绩效管理工作方面的培训。将绩效管理知识学习纳入</w:t>
      </w:r>
      <w:r>
        <w:rPr>
          <w:rFonts w:hint="eastAsia" w:ascii="Times New Roman" w:hAnsi="Times New Roman" w:eastAsia="仿宋_GB2312" w:cs="Times New Roman"/>
          <w:bCs/>
          <w:sz w:val="32"/>
          <w:szCs w:val="32"/>
          <w:lang w:bidi="ar"/>
        </w:rPr>
        <w:t>年度培训计划，</w:t>
      </w:r>
      <w:r>
        <w:rPr>
          <w:rFonts w:ascii="Times New Roman" w:hAnsi="Times New Roman" w:eastAsia="仿宋_GB2312" w:cs="Times New Roman"/>
          <w:bCs/>
          <w:sz w:val="32"/>
          <w:szCs w:val="32"/>
          <w:lang w:bidi="ar"/>
        </w:rPr>
        <w:t>聘请绩效管理顾问作为项目长期指导专家，在关键节点（如绩效目标制定、最终绩效评价</w:t>
      </w:r>
      <w:r>
        <w:rPr>
          <w:rFonts w:hint="eastAsia" w:ascii="Times New Roman" w:hAnsi="Times New Roman" w:eastAsia="仿宋_GB2312" w:cs="Times New Roman"/>
          <w:bCs/>
          <w:sz w:val="32"/>
          <w:szCs w:val="32"/>
          <w:lang w:bidi="ar"/>
        </w:rPr>
        <w:t>等</w:t>
      </w:r>
      <w:r>
        <w:rPr>
          <w:rFonts w:ascii="Times New Roman" w:hAnsi="Times New Roman" w:eastAsia="仿宋_GB2312" w:cs="Times New Roman"/>
          <w:bCs/>
          <w:sz w:val="32"/>
          <w:szCs w:val="32"/>
          <w:lang w:bidi="ar"/>
        </w:rPr>
        <w:t>）提供专业咨询，帮助</w:t>
      </w:r>
      <w:r>
        <w:rPr>
          <w:rFonts w:hint="eastAsia" w:ascii="Times New Roman" w:hAnsi="Times New Roman" w:eastAsia="仿宋_GB2312" w:cs="Times New Roman"/>
          <w:bCs/>
          <w:sz w:val="32"/>
          <w:szCs w:val="32"/>
          <w:lang w:bidi="ar"/>
        </w:rPr>
        <w:t>绩效人员</w:t>
      </w:r>
      <w:r>
        <w:rPr>
          <w:rFonts w:ascii="Times New Roman" w:hAnsi="Times New Roman" w:eastAsia="仿宋_GB2312" w:cs="Times New Roman"/>
          <w:bCs/>
          <w:sz w:val="32"/>
          <w:szCs w:val="32"/>
          <w:lang w:bidi="ar"/>
        </w:rPr>
        <w:t>将理论知识转化为实际管理能力，同时针对学习中出现的共性问题提供定制化辅导。</w:t>
      </w:r>
      <w:r>
        <w:rPr>
          <w:rFonts w:ascii="Times New Roman" w:hAnsi="Times New Roman" w:eastAsia="仿宋_GB2312" w:cs="Times New Roman"/>
          <w:bCs/>
          <w:sz w:val="32"/>
          <w:szCs w:val="32"/>
          <w:lang w:bidi="ar"/>
        </w:rPr>
        <w:br w:type="textWrapping"/>
      </w:r>
    </w:p>
    <w:p>
      <w:pPr>
        <w:ind w:firstLine="640" w:firstLineChars="200"/>
        <w:jc w:val="both"/>
        <w:rPr>
          <w:rFonts w:ascii="Times New Roman" w:hAnsi="Times New Roman" w:eastAsia="仿宋_GB2312" w:cs="Times New Roman"/>
          <w:bCs/>
          <w:sz w:val="32"/>
          <w:szCs w:val="32"/>
          <w:lang w:bidi="ar"/>
        </w:rPr>
      </w:pPr>
      <w:r>
        <w:rPr>
          <w:rFonts w:ascii="Times New Roman" w:hAnsi="Times New Roman" w:eastAsia="仿宋_GB2312" w:cs="Times New Roman"/>
          <w:bCs/>
          <w:sz w:val="32"/>
          <w:szCs w:val="32"/>
          <w:lang w:bidi="ar"/>
        </w:rPr>
        <w:br w:type="textWrapping"/>
      </w:r>
      <w:r>
        <w:rPr>
          <w:rFonts w:ascii="Times New Roman" w:hAnsi="Times New Roman" w:eastAsia="仿宋_GB2312" w:cs="Times New Roman"/>
          <w:bCs/>
          <w:sz w:val="32"/>
          <w:szCs w:val="32"/>
          <w:lang w:bidi="ar"/>
        </w:rPr>
        <w:br w:type="textWrapping"/>
      </w:r>
    </w:p>
    <w:p>
      <w:pPr>
        <w:pStyle w:val="16"/>
        <w:spacing w:line="240" w:lineRule="auto"/>
        <w:ind w:firstLine="0"/>
        <w:jc w:val="center"/>
        <w:rPr>
          <w:rFonts w:ascii="Times New Roman" w:hAnsi="Times New Roman" w:eastAsia="仿宋_GB2312" w:cs="Times New Roman"/>
          <w:bCs/>
          <w:sz w:val="32"/>
          <w:szCs w:val="32"/>
          <w:lang w:val="en-US" w:eastAsia="zh-CN" w:bidi="ar"/>
        </w:rPr>
      </w:pPr>
      <w:r>
        <w:rPr>
          <w:rFonts w:ascii="Times New Roman" w:hAnsi="Times New Roman" w:eastAsia="黑体" w:cs="Times New Roman"/>
          <w:sz w:val="44"/>
          <w:szCs w:val="44"/>
        </w:rPr>
        <w:br w:type="textWrapping"/>
      </w:r>
    </w:p>
    <w:p>
      <w:pPr>
        <w:spacing w:before="0" w:beforeLines="0" w:after="0" w:afterLines="0" w:line="240" w:lineRule="auto"/>
        <w:ind w:left="0" w:leftChars="0" w:right="0" w:rightChars="0" w:firstLine="0" w:firstLineChars="0"/>
        <w:jc w:val="center"/>
      </w:pPr>
      <w:sdt>
        <w:sdtPr>
          <w:rPr>
            <w:rFonts w:ascii="Times New Roman" w:hAnsi="Times New Roman" w:eastAsia="仿宋_GB2312" w:cs="Times New Roman"/>
            <w:bCs/>
            <w:sz w:val="32"/>
            <w:szCs w:val="32"/>
            <w:lang w:val="en-US" w:eastAsia="zh-CN" w:bidi="ar"/>
          </w:rPr>
          <w:id w:val="147459835"/>
          <w:showingPlcHdr/>
          <w15:color w:val="DBDBDB"/>
          <w:docPartObj>
            <w:docPartGallery w:val="Table of Contents"/>
            <w:docPartUnique/>
          </w:docPartObj>
        </w:sdtPr>
        <w:sdtEndPr>
          <w:rPr>
            <w:rFonts w:ascii="Times New Roman" w:hAnsi="Times New Roman" w:eastAsia="黑体" w:cs="Times New Roman"/>
            <w:bCs/>
            <w:sz w:val="28"/>
            <w:szCs w:val="44"/>
            <w:lang w:val="zh-TW" w:eastAsia="zh-TW" w:bidi="zh-TW"/>
          </w:rPr>
        </w:sdtEndPr>
        <w:sdtContent>
          <w:bookmarkStart w:id="15" w:name="_Toc9723"/>
          <w:bookmarkStart w:id="16" w:name="_Toc28067"/>
          <w:bookmarkStart w:id="17" w:name="_Toc29211"/>
          <w:bookmarkStart w:id="18" w:name="_Toc17295"/>
          <w:bookmarkStart w:id="19" w:name="_Toc14656"/>
          <w:bookmarkStart w:id="20" w:name="_Toc31778"/>
          <w:bookmarkStart w:id="21" w:name="_Toc3194"/>
          <w:bookmarkStart w:id="22" w:name="_Toc3793"/>
          <w:bookmarkStart w:id="23" w:name="_Toc29938"/>
          <w:r>
            <w:rPr>
              <w:rFonts w:hint="eastAsia" w:ascii="Times New Roman" w:hAnsi="Times New Roman" w:eastAsia="仿宋_GB2312" w:cs="Times New Roman"/>
              <w:bCs/>
              <w:sz w:val="32"/>
              <w:szCs w:val="32"/>
              <w:lang w:val="en-US" w:eastAsia="zh-CN" w:bidi="ar"/>
            </w:rPr>
            <w:t xml:space="preserve">     </w:t>
          </w:r>
        </w:sdtContent>
      </w:sdt>
    </w:p>
    <w:p>
      <w:pPr>
        <w:spacing w:line="560" w:lineRule="exact"/>
        <w:outlineLvl w:val="0"/>
        <w:rPr>
          <w:rFonts w:ascii="Times New Roman" w:hAnsi="Times New Roman" w:eastAsia="仿宋_GB2312"/>
          <w:bCs/>
          <w:sz w:val="32"/>
          <w:szCs w:val="32"/>
        </w:rPr>
      </w:pPr>
      <w:r>
        <w:rPr>
          <w:rFonts w:ascii="Times New Roman" w:hAnsi="Times New Roman" w:eastAsia="黑体"/>
          <w:b/>
          <w:sz w:val="32"/>
          <w:szCs w:val="32"/>
        </w:rPr>
        <w:t xml:space="preserve">附件1 </w:t>
      </w:r>
      <w:bookmarkEnd w:id="15"/>
      <w:bookmarkEnd w:id="16"/>
      <w:bookmarkEnd w:id="17"/>
      <w:bookmarkEnd w:id="18"/>
      <w:bookmarkEnd w:id="19"/>
      <w:bookmarkEnd w:id="20"/>
      <w:bookmarkEnd w:id="21"/>
      <w:r>
        <w:rPr>
          <w:rFonts w:hint="eastAsia" w:ascii="Times New Roman" w:hAnsi="Times New Roman" w:eastAsia="黑体"/>
          <w:b/>
          <w:sz w:val="32"/>
          <w:szCs w:val="32"/>
        </w:rPr>
        <w:t>评价指标体系</w:t>
      </w:r>
      <w:bookmarkEnd w:id="22"/>
      <w:bookmarkEnd w:id="23"/>
    </w:p>
    <w:tbl>
      <w:tblPr>
        <w:tblStyle w:val="12"/>
        <w:tblW w:w="15838" w:type="dxa"/>
        <w:jc w:val="center"/>
        <w:tblLayout w:type="autofit"/>
        <w:tblCellMar>
          <w:top w:w="40" w:type="dxa"/>
          <w:left w:w="64" w:type="dxa"/>
          <w:bottom w:w="40" w:type="dxa"/>
          <w:right w:w="64" w:type="dxa"/>
        </w:tblCellMar>
      </w:tblPr>
      <w:tblGrid>
        <w:gridCol w:w="888"/>
        <w:gridCol w:w="897"/>
        <w:gridCol w:w="1490"/>
        <w:gridCol w:w="688"/>
        <w:gridCol w:w="2319"/>
        <w:gridCol w:w="899"/>
        <w:gridCol w:w="443"/>
        <w:gridCol w:w="2938"/>
        <w:gridCol w:w="3679"/>
        <w:gridCol w:w="688"/>
        <w:gridCol w:w="909"/>
      </w:tblGrid>
      <w:tr>
        <w:tblPrEx>
          <w:tblCellMar>
            <w:top w:w="40" w:type="dxa"/>
            <w:left w:w="64" w:type="dxa"/>
            <w:bottom w:w="40" w:type="dxa"/>
            <w:right w:w="64" w:type="dxa"/>
          </w:tblCellMar>
        </w:tblPrEx>
        <w:trPr>
          <w:trHeight w:val="0" w:hRule="atLeast"/>
          <w:tblHeader/>
          <w:jc w:val="center"/>
        </w:trPr>
        <w:tc>
          <w:tcPr>
            <w:tcW w:w="888" w:type="dxa"/>
            <w:tcBorders>
              <w:top w:val="single" w:color="000000" w:sz="4" w:space="0"/>
              <w:left w:val="single" w:color="000000" w:sz="4" w:space="0"/>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sz w:val="22"/>
                <w:szCs w:val="22"/>
                <w:lang w:eastAsia="zh-CN"/>
              </w:rPr>
            </w:pPr>
            <w:r>
              <w:rPr>
                <w:rFonts w:hint="eastAsia" w:ascii="Times New Roman" w:hAnsi="Times New Roman" w:eastAsia="仿宋_GB2312"/>
                <w:b/>
                <w:sz w:val="22"/>
                <w:szCs w:val="22"/>
                <w:lang w:eastAsia="zh-CN"/>
              </w:rPr>
              <w:t>一级指标</w:t>
            </w:r>
          </w:p>
        </w:tc>
        <w:tc>
          <w:tcPr>
            <w:tcW w:w="897" w:type="dxa"/>
            <w:tcBorders>
              <w:top w:val="single" w:color="000000" w:sz="4" w:space="0"/>
              <w:left w:val="nil"/>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sz w:val="22"/>
                <w:szCs w:val="22"/>
                <w:lang w:eastAsia="zh-CN"/>
              </w:rPr>
            </w:pPr>
            <w:r>
              <w:rPr>
                <w:rFonts w:hint="eastAsia" w:ascii="Times New Roman" w:hAnsi="Times New Roman" w:eastAsia="仿宋_GB2312"/>
                <w:b/>
                <w:sz w:val="22"/>
                <w:szCs w:val="22"/>
                <w:lang w:eastAsia="zh-CN"/>
              </w:rPr>
              <w:t>二级指标</w:t>
            </w:r>
          </w:p>
        </w:tc>
        <w:tc>
          <w:tcPr>
            <w:tcW w:w="1490" w:type="dxa"/>
            <w:tcBorders>
              <w:top w:val="single" w:color="000000" w:sz="4" w:space="0"/>
              <w:left w:val="nil"/>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sz w:val="22"/>
                <w:szCs w:val="22"/>
                <w:lang w:eastAsia="zh-CN"/>
              </w:rPr>
            </w:pPr>
            <w:r>
              <w:rPr>
                <w:rFonts w:hint="eastAsia" w:ascii="Times New Roman" w:hAnsi="Times New Roman" w:eastAsia="仿宋_GB2312"/>
                <w:b/>
                <w:sz w:val="22"/>
                <w:szCs w:val="22"/>
                <w:lang w:eastAsia="zh-CN"/>
              </w:rPr>
              <w:t>三级指标</w:t>
            </w:r>
          </w:p>
        </w:tc>
        <w:tc>
          <w:tcPr>
            <w:tcW w:w="688" w:type="dxa"/>
            <w:tcBorders>
              <w:top w:val="single" w:color="000000" w:sz="4" w:space="0"/>
              <w:left w:val="nil"/>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sz w:val="22"/>
                <w:szCs w:val="22"/>
                <w:lang w:eastAsia="zh-CN"/>
              </w:rPr>
            </w:pPr>
            <w:r>
              <w:rPr>
                <w:rFonts w:hint="eastAsia" w:ascii="Times New Roman" w:hAnsi="Times New Roman" w:eastAsia="仿宋_GB2312"/>
                <w:b/>
                <w:sz w:val="22"/>
                <w:szCs w:val="22"/>
                <w:lang w:eastAsia="zh-CN"/>
              </w:rPr>
              <w:t>权重</w:t>
            </w:r>
          </w:p>
        </w:tc>
        <w:tc>
          <w:tcPr>
            <w:tcW w:w="2319" w:type="dxa"/>
            <w:tcBorders>
              <w:top w:val="single" w:color="000000" w:sz="4" w:space="0"/>
              <w:left w:val="nil"/>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sz w:val="22"/>
                <w:szCs w:val="22"/>
                <w:lang w:eastAsia="zh-CN"/>
              </w:rPr>
            </w:pPr>
            <w:r>
              <w:rPr>
                <w:rFonts w:hint="eastAsia" w:ascii="Times New Roman" w:hAnsi="Times New Roman" w:eastAsia="仿宋_GB2312"/>
                <w:b/>
                <w:sz w:val="22"/>
                <w:szCs w:val="22"/>
                <w:lang w:eastAsia="zh-CN"/>
              </w:rPr>
              <w:t>指标解释</w:t>
            </w:r>
          </w:p>
        </w:tc>
        <w:tc>
          <w:tcPr>
            <w:tcW w:w="899" w:type="dxa"/>
            <w:tcBorders>
              <w:top w:val="single" w:color="000000" w:sz="4" w:space="0"/>
              <w:left w:val="nil"/>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sz w:val="22"/>
                <w:szCs w:val="22"/>
                <w:lang w:eastAsia="zh-CN"/>
              </w:rPr>
            </w:pPr>
            <w:r>
              <w:rPr>
                <w:rFonts w:hint="eastAsia" w:ascii="Times New Roman" w:hAnsi="Times New Roman" w:eastAsia="仿宋_GB2312"/>
                <w:b/>
                <w:sz w:val="22"/>
                <w:szCs w:val="22"/>
                <w:lang w:eastAsia="zh-CN"/>
              </w:rPr>
              <w:t>标杆值</w:t>
            </w:r>
          </w:p>
        </w:tc>
        <w:tc>
          <w:tcPr>
            <w:tcW w:w="443" w:type="dxa"/>
            <w:tcBorders>
              <w:top w:val="single" w:color="000000" w:sz="4" w:space="0"/>
              <w:left w:val="nil"/>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sz w:val="22"/>
                <w:szCs w:val="22"/>
                <w:lang w:eastAsia="zh-CN"/>
              </w:rPr>
            </w:pPr>
            <w:r>
              <w:rPr>
                <w:rFonts w:hint="eastAsia" w:ascii="Times New Roman" w:hAnsi="Times New Roman" w:eastAsia="仿宋_GB2312"/>
                <w:b/>
                <w:sz w:val="22"/>
                <w:szCs w:val="22"/>
                <w:lang w:eastAsia="zh-CN"/>
              </w:rPr>
              <w:t>评分依据</w:t>
            </w:r>
          </w:p>
        </w:tc>
        <w:tc>
          <w:tcPr>
            <w:tcW w:w="2938" w:type="dxa"/>
            <w:tcBorders>
              <w:top w:val="single" w:color="000000" w:sz="4" w:space="0"/>
              <w:left w:val="nil"/>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sz w:val="22"/>
                <w:szCs w:val="22"/>
                <w:lang w:eastAsia="zh-CN"/>
              </w:rPr>
            </w:pPr>
            <w:r>
              <w:rPr>
                <w:rFonts w:hint="eastAsia" w:ascii="Times New Roman" w:hAnsi="Times New Roman" w:eastAsia="仿宋_GB2312"/>
                <w:b/>
                <w:sz w:val="22"/>
                <w:szCs w:val="22"/>
                <w:lang w:eastAsia="zh-CN"/>
              </w:rPr>
              <w:t>评价标准</w:t>
            </w:r>
          </w:p>
        </w:tc>
        <w:tc>
          <w:tcPr>
            <w:tcW w:w="3679" w:type="dxa"/>
            <w:tcBorders>
              <w:top w:val="single" w:color="000000" w:sz="4" w:space="0"/>
              <w:left w:val="nil"/>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sz w:val="22"/>
                <w:szCs w:val="22"/>
                <w:lang w:eastAsia="zh-CN"/>
              </w:rPr>
            </w:pPr>
            <w:r>
              <w:rPr>
                <w:rFonts w:hint="eastAsia" w:ascii="Times New Roman" w:hAnsi="Times New Roman" w:eastAsia="仿宋_GB2312"/>
                <w:b/>
                <w:sz w:val="22"/>
                <w:szCs w:val="22"/>
                <w:lang w:eastAsia="zh-CN"/>
              </w:rPr>
              <w:t>评分过程</w:t>
            </w:r>
          </w:p>
        </w:tc>
        <w:tc>
          <w:tcPr>
            <w:tcW w:w="688" w:type="dxa"/>
            <w:tcBorders>
              <w:top w:val="single" w:color="000000" w:sz="4" w:space="0"/>
              <w:left w:val="nil"/>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color w:val="000000"/>
                <w:kern w:val="2"/>
                <w:sz w:val="22"/>
                <w:szCs w:val="22"/>
                <w:lang w:eastAsia="zh-CN"/>
              </w:rPr>
            </w:pPr>
            <w:r>
              <w:rPr>
                <w:rFonts w:hint="eastAsia" w:ascii="Times New Roman" w:hAnsi="Times New Roman" w:eastAsia="仿宋_GB2312"/>
                <w:b/>
                <w:color w:val="000000"/>
                <w:sz w:val="22"/>
                <w:szCs w:val="22"/>
                <w:lang w:eastAsia="zh-CN"/>
              </w:rPr>
              <w:t>得分</w:t>
            </w:r>
          </w:p>
        </w:tc>
        <w:tc>
          <w:tcPr>
            <w:tcW w:w="909" w:type="dxa"/>
            <w:tcBorders>
              <w:top w:val="single" w:color="000000" w:sz="4" w:space="0"/>
              <w:left w:val="nil"/>
              <w:bottom w:val="single" w:color="auto" w:sz="4" w:space="0"/>
              <w:right w:val="single" w:color="000000" w:sz="4" w:space="0"/>
            </w:tcBorders>
            <w:shd w:val="clear" w:color="auto" w:fill="BEBEBE"/>
            <w:vAlign w:val="center"/>
          </w:tcPr>
          <w:p>
            <w:pPr>
              <w:autoSpaceDE w:val="0"/>
              <w:snapToGrid w:val="0"/>
              <w:jc w:val="center"/>
              <w:textAlignment w:val="center"/>
              <w:rPr>
                <w:rFonts w:hint="eastAsia" w:ascii="Times New Roman" w:hAnsi="Times New Roman" w:eastAsia="仿宋_GB2312"/>
                <w:b/>
                <w:color w:val="000000"/>
                <w:kern w:val="2"/>
                <w:sz w:val="22"/>
                <w:szCs w:val="22"/>
                <w:lang w:eastAsia="zh-CN"/>
              </w:rPr>
            </w:pPr>
            <w:r>
              <w:rPr>
                <w:rFonts w:hint="eastAsia" w:ascii="Times New Roman" w:hAnsi="Times New Roman" w:eastAsia="仿宋_GB2312"/>
                <w:b/>
                <w:color w:val="000000"/>
                <w:sz w:val="22"/>
                <w:szCs w:val="22"/>
                <w:lang w:eastAsia="zh-CN"/>
              </w:rPr>
              <w:t>得分率</w:t>
            </w:r>
          </w:p>
        </w:tc>
      </w:tr>
      <w:tr>
        <w:tblPrEx>
          <w:tblCellMar>
            <w:top w:w="40" w:type="dxa"/>
            <w:left w:w="64" w:type="dxa"/>
            <w:bottom w:w="40" w:type="dxa"/>
            <w:right w:w="64" w:type="dxa"/>
          </w:tblCellMar>
        </w:tblPrEx>
        <w:trPr>
          <w:trHeight w:val="0" w:hRule="atLeast"/>
          <w:jc w:val="center"/>
        </w:trPr>
        <w:tc>
          <w:tcPr>
            <w:tcW w:w="888" w:type="dxa"/>
            <w:vMerge w:val="restart"/>
            <w:tcBorders>
              <w:top w:val="single" w:color="auto" w:sz="4" w:space="0"/>
              <w:left w:val="single" w:color="auto"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A项目决策（</w:t>
            </w:r>
            <w:r>
              <w:rPr>
                <w:rFonts w:hint="eastAsia" w:ascii="Times New Roman" w:hAnsi="Times New Roman" w:eastAsia="仿宋"/>
                <w:sz w:val="22"/>
                <w:szCs w:val="22"/>
                <w:lang w:bidi="ar"/>
              </w:rPr>
              <w:t>20</w:t>
            </w:r>
            <w:r>
              <w:rPr>
                <w:rFonts w:ascii="Times New Roman" w:hAnsi="Times New Roman" w:eastAsia="仿宋"/>
                <w:sz w:val="22"/>
                <w:szCs w:val="22"/>
                <w:lang w:bidi="ar"/>
              </w:rPr>
              <w:t>）</w:t>
            </w:r>
          </w:p>
        </w:tc>
        <w:tc>
          <w:tcPr>
            <w:tcW w:w="897" w:type="dxa"/>
            <w:vMerge w:val="restart"/>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A1项目立项（</w:t>
            </w:r>
            <w:r>
              <w:rPr>
                <w:rFonts w:hint="eastAsia" w:ascii="Times New Roman" w:hAnsi="Times New Roman" w:eastAsia="仿宋"/>
                <w:sz w:val="22"/>
                <w:szCs w:val="22"/>
                <w:lang w:bidi="ar"/>
              </w:rPr>
              <w:t>7</w:t>
            </w:r>
            <w:r>
              <w:rPr>
                <w:rFonts w:ascii="Times New Roman" w:hAnsi="Times New Roman" w:eastAsia="仿宋"/>
                <w:sz w:val="22"/>
                <w:szCs w:val="22"/>
                <w:lang w:bidi="ar"/>
              </w:rPr>
              <w:t>）</w:t>
            </w:r>
          </w:p>
        </w:tc>
        <w:tc>
          <w:tcPr>
            <w:tcW w:w="1490"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A101 立项依据充分性</w:t>
            </w:r>
          </w:p>
        </w:tc>
        <w:tc>
          <w:tcPr>
            <w:tcW w:w="688"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4</w:t>
            </w:r>
          </w:p>
        </w:tc>
        <w:tc>
          <w:tcPr>
            <w:tcW w:w="2319" w:type="dxa"/>
            <w:tcBorders>
              <w:top w:val="single" w:color="auto"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ascii="Times New Roman" w:hAnsi="Times New Roman" w:eastAsia="仿宋"/>
                <w:sz w:val="22"/>
                <w:szCs w:val="22"/>
                <w:lang w:bidi="ar"/>
              </w:rPr>
              <w:t>考察项目立项的依据文件是否充分，是否与国家和地区的战略目标、发展计划以及部门的基本职能和工作计划相适应。</w:t>
            </w:r>
          </w:p>
        </w:tc>
        <w:tc>
          <w:tcPr>
            <w:tcW w:w="899"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充分</w:t>
            </w:r>
          </w:p>
        </w:tc>
        <w:tc>
          <w:tcPr>
            <w:tcW w:w="443"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考察①</w:t>
            </w:r>
            <w:r>
              <w:rPr>
                <w:rFonts w:hint="eastAsia" w:ascii="Times New Roman" w:hAnsi="Times New Roman" w:eastAsia="仿宋"/>
                <w:sz w:val="22"/>
                <w:szCs w:val="22"/>
                <w:lang w:bidi="ar"/>
              </w:rPr>
              <w:t>是否</w:t>
            </w:r>
            <w:r>
              <w:rPr>
                <w:rFonts w:ascii="Times New Roman" w:hAnsi="Times New Roman" w:eastAsia="仿宋"/>
                <w:sz w:val="22"/>
                <w:szCs w:val="22"/>
                <w:lang w:bidi="ar"/>
              </w:rPr>
              <w:t>有相关政策依据（国家、省部级或市级政策依据）；②项目与国家和地区的战略目标、发展规划、工作计划</w:t>
            </w:r>
            <w:r>
              <w:rPr>
                <w:rFonts w:hint="eastAsia" w:ascii="Times New Roman" w:hAnsi="Times New Roman" w:eastAsia="仿宋"/>
                <w:sz w:val="22"/>
                <w:szCs w:val="22"/>
                <w:lang w:bidi="ar"/>
              </w:rPr>
              <w:t>是否</w:t>
            </w:r>
            <w:r>
              <w:rPr>
                <w:rFonts w:ascii="Times New Roman" w:hAnsi="Times New Roman" w:eastAsia="仿宋"/>
                <w:sz w:val="22"/>
                <w:szCs w:val="22"/>
                <w:lang w:bidi="ar"/>
              </w:rPr>
              <w:t>相匹配；③项目与项目单位职责</w:t>
            </w:r>
            <w:r>
              <w:rPr>
                <w:rFonts w:hint="eastAsia" w:ascii="Times New Roman" w:hAnsi="Times New Roman" w:eastAsia="仿宋"/>
                <w:sz w:val="22"/>
                <w:szCs w:val="22"/>
                <w:lang w:bidi="ar"/>
              </w:rPr>
              <w:t>是否</w:t>
            </w:r>
            <w:r>
              <w:rPr>
                <w:rFonts w:ascii="Times New Roman" w:hAnsi="Times New Roman" w:eastAsia="仿宋"/>
                <w:sz w:val="22"/>
                <w:szCs w:val="22"/>
                <w:lang w:bidi="ar"/>
              </w:rPr>
              <w:t>密切相关。以上三项各占1/3权重分，符合得该项权重分，不符合不得分。</w:t>
            </w:r>
          </w:p>
        </w:tc>
        <w:tc>
          <w:tcPr>
            <w:tcW w:w="3679"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根据塔地财教〔2024〕31号沙财教〔2024〕35号—2024年支持学前教育发展资金（第二批）文件，</w:t>
            </w:r>
            <w:r>
              <w:rPr>
                <w:rFonts w:ascii="Times New Roman" w:hAnsi="Times New Roman" w:eastAsia="仿宋"/>
                <w:sz w:val="22"/>
                <w:szCs w:val="22"/>
                <w:lang w:bidi="ar"/>
              </w:rPr>
              <w:t>该项目立项符合国家相关法律法规及发展政策，符合行业规划要求，围绕本年度工作重点和工作计划制定经费预算，属于公共财政支持范围</w:t>
            </w:r>
            <w:r>
              <w:rPr>
                <w:rFonts w:hint="eastAsia" w:ascii="Times New Roman" w:hAnsi="Times New Roman" w:eastAsia="仿宋"/>
                <w:sz w:val="22"/>
                <w:szCs w:val="22"/>
                <w:lang w:bidi="ar"/>
              </w:rPr>
              <w:t>，得4分</w:t>
            </w:r>
          </w:p>
        </w:tc>
        <w:tc>
          <w:tcPr>
            <w:tcW w:w="688"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rPr>
              <w:t>4</w:t>
            </w:r>
          </w:p>
        </w:tc>
        <w:tc>
          <w:tcPr>
            <w:tcW w:w="909" w:type="dxa"/>
            <w:tcBorders>
              <w:top w:val="single" w:color="auto" w:sz="4" w:space="0"/>
              <w:left w:val="nil"/>
              <w:bottom w:val="single" w:color="000000" w:sz="4" w:space="0"/>
              <w:right w:val="single" w:color="auto"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rPr>
              <w:t>100%</w:t>
            </w:r>
            <w:r>
              <w:rPr>
                <w:rFonts w:ascii="Times New Roman" w:hAnsi="Times New Roman" w:eastAsia="仿宋"/>
                <w:sz w:val="22"/>
                <w:szCs w:val="22"/>
              </w:rPr>
              <w:t xml:space="preserve">        </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vAlign w:val="center"/>
          </w:tcPr>
          <w:p>
            <w:pPr>
              <w:snapToGrid w:val="0"/>
              <w:jc w:val="center"/>
              <w:rPr>
                <w:rFonts w:ascii="Times New Roman" w:hAnsi="Times New Roman" w:eastAsia="仿宋"/>
                <w:sz w:val="22"/>
                <w:szCs w:val="22"/>
              </w:rPr>
            </w:pPr>
          </w:p>
        </w:tc>
        <w:tc>
          <w:tcPr>
            <w:tcW w:w="897" w:type="dxa"/>
            <w:vMerge w:val="continue"/>
            <w:tcBorders>
              <w:top w:val="nil"/>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p>
        </w:tc>
        <w:tc>
          <w:tcPr>
            <w:tcW w:w="1490"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A102 立项</w:t>
            </w:r>
            <w:r>
              <w:rPr>
                <w:rFonts w:hint="eastAsia" w:ascii="Times New Roman" w:hAnsi="Times New Roman" w:eastAsia="仿宋"/>
                <w:sz w:val="22"/>
                <w:szCs w:val="22"/>
                <w:lang w:bidi="ar"/>
              </w:rPr>
              <w:t>程序</w:t>
            </w:r>
            <w:r>
              <w:rPr>
                <w:rFonts w:ascii="Times New Roman" w:hAnsi="Times New Roman" w:eastAsia="仿宋"/>
                <w:sz w:val="22"/>
                <w:szCs w:val="22"/>
                <w:lang w:bidi="ar"/>
              </w:rPr>
              <w:t>规范性</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3</w:t>
            </w:r>
          </w:p>
        </w:tc>
        <w:tc>
          <w:tcPr>
            <w:tcW w:w="231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ascii="Times New Roman" w:hAnsi="Times New Roman" w:eastAsia="仿宋"/>
                <w:sz w:val="22"/>
                <w:szCs w:val="22"/>
                <w:lang w:bidi="ar"/>
              </w:rPr>
              <w:t>项目的申请、设立过程是否符合相关要求，用以反映和考核项目立项的规范情况。</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规范</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考察三点：①立项前是否已经过必要的可行性研究、专家论证、风险评估、集体决策等；②项目立项是否符合规定程序；③审批文件和材料是否合规完整。①②③齐全得权重分的100%，缺①扣权重分的40%，缺②扣权重分的30%，缺③扣权重分的30%。</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项目申请、设立过程符合相关要求，严格按照审批流程准备符合要求的文件、材料；根据决算依据编制工作计划和经费预算，经过与部门项目分管领导沟通、筛选确定经费预算计划，确定最终预算方案。项目的审批文件、材料符合相关要求，项目事前经过必要的可行性研究、专家论证、风险评估、绩效评估、集体决策</w:t>
            </w:r>
            <w:r>
              <w:rPr>
                <w:rFonts w:hint="eastAsia" w:ascii="Times New Roman" w:hAnsi="Times New Roman" w:eastAsia="仿宋"/>
                <w:sz w:val="22"/>
                <w:szCs w:val="22"/>
                <w:lang w:bidi="ar"/>
              </w:rPr>
              <w:t>。得3分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rPr>
              <w:t>3</w:t>
            </w:r>
          </w:p>
        </w:tc>
        <w:tc>
          <w:tcPr>
            <w:tcW w:w="909" w:type="dxa"/>
            <w:tcBorders>
              <w:top w:val="single" w:color="000000" w:sz="4" w:space="0"/>
              <w:left w:val="nil"/>
              <w:bottom w:val="single" w:color="000000" w:sz="4" w:space="0"/>
              <w:right w:val="single" w:color="auto" w:sz="4" w:space="0"/>
            </w:tcBorders>
            <w:vAlign w:val="center"/>
          </w:tcPr>
          <w:p>
            <w:pPr>
              <w:autoSpaceDE w:val="0"/>
              <w:snapToGrid w:val="0"/>
              <w:jc w:val="right"/>
              <w:textAlignment w:val="center"/>
              <w:rPr>
                <w:rFonts w:ascii="Times New Roman" w:hAnsi="Times New Roman" w:eastAsia="仿宋"/>
                <w:sz w:val="22"/>
                <w:szCs w:val="22"/>
              </w:rPr>
            </w:pPr>
            <w:r>
              <w:rPr>
                <w:rFonts w:ascii="Times New Roman" w:hAnsi="Times New Roman" w:eastAsia="仿宋"/>
                <w:sz w:val="22"/>
                <w:szCs w:val="22"/>
              </w:rPr>
              <w:t xml:space="preserve">  </w:t>
            </w:r>
            <w:r>
              <w:rPr>
                <w:rFonts w:hint="eastAsia" w:ascii="Times New Roman" w:hAnsi="Times New Roman" w:eastAsia="仿宋"/>
                <w:sz w:val="22"/>
                <w:szCs w:val="22"/>
              </w:rPr>
              <w:t>100%</w:t>
            </w:r>
            <w:r>
              <w:rPr>
                <w:rFonts w:ascii="Times New Roman" w:hAnsi="Times New Roman" w:eastAsia="仿宋"/>
                <w:sz w:val="22"/>
                <w:szCs w:val="22"/>
              </w:rPr>
              <w:t xml:space="preserve">       </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vAlign w:val="center"/>
          </w:tcPr>
          <w:p>
            <w:pPr>
              <w:snapToGrid w:val="0"/>
              <w:jc w:val="center"/>
              <w:rPr>
                <w:rFonts w:ascii="Times New Roman" w:hAnsi="Times New Roman" w:eastAsia="仿宋"/>
                <w:sz w:val="22"/>
                <w:szCs w:val="22"/>
              </w:rPr>
            </w:pPr>
          </w:p>
        </w:tc>
        <w:tc>
          <w:tcPr>
            <w:tcW w:w="897" w:type="dxa"/>
            <w:vMerge w:val="restart"/>
            <w:tcBorders>
              <w:top w:val="single" w:color="000000" w:sz="4" w:space="0"/>
              <w:left w:val="nil"/>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 xml:space="preserve">A2 </w:t>
            </w:r>
            <w:r>
              <w:rPr>
                <w:rFonts w:hint="eastAsia" w:ascii="Times New Roman" w:hAnsi="Times New Roman" w:eastAsia="仿宋"/>
                <w:sz w:val="22"/>
                <w:szCs w:val="22"/>
                <w:lang w:bidi="ar"/>
              </w:rPr>
              <w:t>绩效目标</w:t>
            </w:r>
            <w:r>
              <w:rPr>
                <w:rFonts w:ascii="Times New Roman" w:hAnsi="Times New Roman" w:eastAsia="仿宋"/>
                <w:sz w:val="22"/>
                <w:szCs w:val="22"/>
                <w:lang w:bidi="ar"/>
              </w:rPr>
              <w:t>（</w:t>
            </w:r>
            <w:r>
              <w:rPr>
                <w:rFonts w:hint="eastAsia" w:ascii="Times New Roman" w:hAnsi="Times New Roman" w:eastAsia="仿宋"/>
                <w:sz w:val="22"/>
                <w:szCs w:val="22"/>
                <w:lang w:bidi="ar"/>
              </w:rPr>
              <w:t>6</w:t>
            </w:r>
            <w:r>
              <w:rPr>
                <w:rFonts w:ascii="Times New Roman" w:hAnsi="Times New Roman" w:eastAsia="仿宋"/>
                <w:sz w:val="22"/>
                <w:szCs w:val="22"/>
                <w:lang w:bidi="ar"/>
              </w:rPr>
              <w:t>）</w:t>
            </w:r>
          </w:p>
        </w:tc>
        <w:tc>
          <w:tcPr>
            <w:tcW w:w="1490"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 xml:space="preserve">A201 </w:t>
            </w:r>
            <w:r>
              <w:rPr>
                <w:rFonts w:hint="eastAsia" w:ascii="Times New Roman" w:hAnsi="Times New Roman" w:eastAsia="仿宋"/>
                <w:sz w:val="22"/>
                <w:szCs w:val="22"/>
                <w:lang w:bidi="ar"/>
              </w:rPr>
              <w:t>绩效目标合理性</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3</w:t>
            </w:r>
          </w:p>
        </w:tc>
        <w:tc>
          <w:tcPr>
            <w:tcW w:w="231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ascii="Times New Roman" w:hAnsi="Times New Roman" w:eastAsia="仿宋"/>
                <w:sz w:val="22"/>
                <w:szCs w:val="22"/>
                <w:lang w:bidi="ar"/>
              </w:rPr>
              <w:t>考察是否设立了项目总目标及年度目标，以及项目年度目标的完整性、明确性、可衡量性、可实现性、相关性和时限性。</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合理</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①设立了总目标和年度目标先得20%的权重分（两项各占10%的权重分）；②再根据项目年度目标是否完整、明确、合理、可衡量、可实现和总目标相关、是否有时间限制，每符合一项，再得1/6的剩余权重分。</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年初结合实际工作内容设定绩效目标，绩效目标依据充分，符合客观实际，能反映和考核项目绩效目标与项目实施</w:t>
            </w:r>
            <w:r>
              <w:rPr>
                <w:rFonts w:hint="eastAsia" w:ascii="Times New Roman" w:hAnsi="Times New Roman" w:eastAsia="仿宋"/>
                <w:sz w:val="22"/>
                <w:szCs w:val="22"/>
                <w:lang w:bidi="ar"/>
              </w:rPr>
              <w:t>的</w:t>
            </w:r>
            <w:r>
              <w:rPr>
                <w:rFonts w:ascii="Times New Roman" w:hAnsi="Times New Roman" w:eastAsia="仿宋"/>
                <w:sz w:val="22"/>
                <w:szCs w:val="22"/>
                <w:lang w:bidi="ar"/>
              </w:rPr>
              <w:t>相符情况，依据绩效目标设定的绩效指标清晰、细化、可衡量， 能反映和考核项目绩效目标</w:t>
            </w:r>
            <w:r>
              <w:rPr>
                <w:rFonts w:hint="eastAsia" w:ascii="Times New Roman" w:hAnsi="Times New Roman" w:eastAsia="仿宋"/>
                <w:sz w:val="22"/>
                <w:szCs w:val="22"/>
                <w:lang w:bidi="ar"/>
              </w:rPr>
              <w:t>的</w:t>
            </w:r>
            <w:r>
              <w:rPr>
                <w:rFonts w:ascii="Times New Roman" w:hAnsi="Times New Roman" w:eastAsia="仿宋"/>
                <w:sz w:val="22"/>
                <w:szCs w:val="22"/>
                <w:lang w:bidi="ar"/>
              </w:rPr>
              <w:t>细化情况。绩效目标表经过审核，绩效目标与实际工作内容具有相关性，预算与确定的项目投资额相匹配，对项目任务进行了详细分解。</w:t>
            </w:r>
            <w:r>
              <w:rPr>
                <w:rFonts w:hint="eastAsia" w:ascii="Times New Roman" w:hAnsi="Times New Roman" w:eastAsia="仿宋"/>
                <w:sz w:val="22"/>
                <w:szCs w:val="22"/>
                <w:lang w:bidi="ar"/>
              </w:rPr>
              <w:t>得3分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rPr>
              <w:t>3</w:t>
            </w:r>
          </w:p>
        </w:tc>
        <w:tc>
          <w:tcPr>
            <w:tcW w:w="909" w:type="dxa"/>
            <w:tcBorders>
              <w:top w:val="single" w:color="000000" w:sz="4" w:space="0"/>
              <w:left w:val="nil"/>
              <w:bottom w:val="single" w:color="000000" w:sz="4" w:space="0"/>
              <w:right w:val="single" w:color="auto" w:sz="4" w:space="0"/>
            </w:tcBorders>
            <w:vAlign w:val="center"/>
          </w:tcPr>
          <w:p>
            <w:pPr>
              <w:autoSpaceDE w:val="0"/>
              <w:snapToGrid w:val="0"/>
              <w:jc w:val="right"/>
              <w:textAlignment w:val="center"/>
              <w:rPr>
                <w:rFonts w:ascii="Times New Roman" w:hAnsi="Times New Roman" w:eastAsia="仿宋"/>
                <w:b/>
                <w:bCs/>
                <w:sz w:val="22"/>
                <w:szCs w:val="22"/>
              </w:rPr>
            </w:pPr>
            <w:r>
              <w:rPr>
                <w:rFonts w:hint="eastAsia" w:ascii="Times New Roman" w:hAnsi="Times New Roman" w:eastAsia="仿宋"/>
                <w:sz w:val="22"/>
                <w:szCs w:val="22"/>
              </w:rPr>
              <w:t>100%</w:t>
            </w:r>
            <w:r>
              <w:rPr>
                <w:rFonts w:ascii="Times New Roman" w:hAnsi="Times New Roman" w:eastAsia="仿宋"/>
                <w:sz w:val="22"/>
                <w:szCs w:val="22"/>
              </w:rPr>
              <w:t xml:space="preserve"> </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vAlign w:val="center"/>
          </w:tcPr>
          <w:p>
            <w:pPr>
              <w:snapToGrid w:val="0"/>
              <w:jc w:val="center"/>
              <w:rPr>
                <w:rFonts w:ascii="Times New Roman" w:hAnsi="Times New Roman" w:eastAsia="仿宋"/>
                <w:sz w:val="22"/>
                <w:szCs w:val="22"/>
              </w:rPr>
            </w:pPr>
          </w:p>
        </w:tc>
        <w:tc>
          <w:tcPr>
            <w:tcW w:w="897" w:type="dxa"/>
            <w:vMerge w:val="continue"/>
            <w:tcBorders>
              <w:left w:val="nil"/>
              <w:bottom w:val="single" w:color="auto"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p>
        </w:tc>
        <w:tc>
          <w:tcPr>
            <w:tcW w:w="1490" w:type="dxa"/>
            <w:tcBorders>
              <w:top w:val="single" w:color="000000" w:sz="4" w:space="0"/>
              <w:left w:val="nil"/>
              <w:bottom w:val="single" w:color="auto"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A202绩效指标明确性</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3</w:t>
            </w:r>
          </w:p>
        </w:tc>
        <w:tc>
          <w:tcPr>
            <w:tcW w:w="231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依据绩效目标设定的绩效指标是否清晰、细化、可衡量等，用以反映和考核项目绩效目标的明确细化情况。</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明确</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①是否将项目绩效目标细化分解为具体的绩效指标，满足得30%权重分，否则不得分；</w:t>
            </w:r>
            <w:r>
              <w:rPr>
                <w:rFonts w:hint="eastAsia" w:ascii="Times New Roman" w:hAnsi="Times New Roman" w:eastAsia="仿宋"/>
                <w:sz w:val="22"/>
                <w:szCs w:val="22"/>
                <w:lang w:bidi="ar"/>
              </w:rPr>
              <w:br w:type="textWrapping"/>
            </w:r>
            <w:r>
              <w:rPr>
                <w:rFonts w:hint="eastAsia" w:ascii="Times New Roman" w:hAnsi="Times New Roman" w:eastAsia="仿宋"/>
                <w:sz w:val="22"/>
                <w:szCs w:val="22"/>
                <w:lang w:bidi="ar"/>
              </w:rPr>
              <w:t>②是否通过清晰、可衡量的指标值予以体现，满足得40%权重分，否则不得分；</w:t>
            </w:r>
            <w:r>
              <w:rPr>
                <w:rFonts w:hint="eastAsia" w:ascii="Times New Roman" w:hAnsi="Times New Roman" w:eastAsia="仿宋"/>
                <w:sz w:val="22"/>
                <w:szCs w:val="22"/>
                <w:lang w:bidi="ar"/>
              </w:rPr>
              <w:br w:type="textWrapping"/>
            </w:r>
            <w:r>
              <w:rPr>
                <w:rFonts w:hint="eastAsia" w:ascii="Times New Roman" w:hAnsi="Times New Roman" w:eastAsia="仿宋"/>
                <w:sz w:val="22"/>
                <w:szCs w:val="22"/>
                <w:lang w:bidi="ar"/>
              </w:rPr>
              <w:t>③是否与项目目标任务数或计划数相对应，满足得30%权重分，否则不得分。</w:t>
            </w:r>
            <w:r>
              <w:rPr>
                <w:rFonts w:hint="eastAsia" w:ascii="Times New Roman" w:hAnsi="Times New Roman" w:eastAsia="仿宋"/>
                <w:sz w:val="22"/>
                <w:szCs w:val="22"/>
                <w:lang w:bidi="ar"/>
              </w:rPr>
              <w:br w:type="textWrapping"/>
            </w:r>
            <w:r>
              <w:rPr>
                <w:rFonts w:hint="eastAsia" w:ascii="Times New Roman" w:hAnsi="Times New Roman" w:eastAsia="仿宋"/>
                <w:sz w:val="22"/>
                <w:szCs w:val="22"/>
                <w:lang w:bidi="ar"/>
              </w:rPr>
              <w:br w:type="textWrapping"/>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highlight w:val="red"/>
              </w:rPr>
            </w:pPr>
            <w:r>
              <w:rPr>
                <w:rFonts w:hint="eastAsia" w:ascii="Times New Roman" w:hAnsi="Times New Roman" w:eastAsia="仿宋"/>
                <w:sz w:val="22"/>
                <w:szCs w:val="22"/>
                <w:lang w:bidi="ar"/>
              </w:rPr>
              <w:t>根据《项目绩效目标表》该</w:t>
            </w:r>
            <w:r>
              <w:rPr>
                <w:rFonts w:ascii="Times New Roman" w:hAnsi="Times New Roman" w:eastAsia="仿宋"/>
                <w:sz w:val="22"/>
                <w:szCs w:val="22"/>
                <w:lang w:bidi="ar"/>
              </w:rPr>
              <w:t>项目设置了明确的预期产出效益和效果，将绩效目标细化分解为具体的绩效指标，绩效目标与项目目标任务数相对应，绩效目标设定的绩效指标清晰、细化、可衡量。</w:t>
            </w:r>
            <w:r>
              <w:rPr>
                <w:rFonts w:hint="eastAsia" w:ascii="Times New Roman" w:hAnsi="Times New Roman" w:eastAsia="仿宋"/>
                <w:sz w:val="22"/>
                <w:szCs w:val="22"/>
                <w:lang w:bidi="ar"/>
              </w:rPr>
              <w:t>得3分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highlight w:val="red"/>
              </w:rPr>
            </w:pPr>
            <w:r>
              <w:rPr>
                <w:rFonts w:hint="eastAsia" w:ascii="Times New Roman" w:hAnsi="Times New Roman" w:eastAsia="仿宋"/>
                <w:sz w:val="22"/>
                <w:szCs w:val="22"/>
              </w:rPr>
              <w:t>3</w:t>
            </w:r>
          </w:p>
        </w:tc>
        <w:tc>
          <w:tcPr>
            <w:tcW w:w="909" w:type="dxa"/>
            <w:tcBorders>
              <w:top w:val="single" w:color="000000" w:sz="4" w:space="0"/>
              <w:left w:val="nil"/>
              <w:bottom w:val="single" w:color="000000" w:sz="4" w:space="0"/>
              <w:right w:val="single" w:color="auto" w:sz="4" w:space="0"/>
            </w:tcBorders>
            <w:vAlign w:val="center"/>
          </w:tcPr>
          <w:p>
            <w:pPr>
              <w:autoSpaceDE w:val="0"/>
              <w:snapToGrid w:val="0"/>
              <w:jc w:val="right"/>
              <w:textAlignment w:val="center"/>
              <w:rPr>
                <w:rFonts w:ascii="Times New Roman" w:hAnsi="Times New Roman" w:eastAsia="仿宋"/>
                <w:b/>
                <w:bCs/>
                <w:sz w:val="22"/>
                <w:szCs w:val="22"/>
                <w:highlight w:val="red"/>
              </w:rPr>
            </w:pPr>
            <w:r>
              <w:rPr>
                <w:rFonts w:hint="eastAsia" w:ascii="Times New Roman" w:hAnsi="Times New Roman" w:eastAsia="仿宋"/>
                <w:sz w:val="22"/>
                <w:szCs w:val="22"/>
              </w:rPr>
              <w:t>100%</w:t>
            </w:r>
            <w:r>
              <w:rPr>
                <w:rFonts w:ascii="Times New Roman" w:hAnsi="Times New Roman" w:eastAsia="仿宋"/>
                <w:sz w:val="22"/>
                <w:szCs w:val="22"/>
              </w:rPr>
              <w:t xml:space="preserve"> </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p>
        </w:tc>
        <w:tc>
          <w:tcPr>
            <w:tcW w:w="897" w:type="dxa"/>
            <w:vMerge w:val="restart"/>
            <w:tcBorders>
              <w:top w:val="single" w:color="auto" w:sz="4" w:space="0"/>
              <w:left w:val="single" w:color="auto" w:sz="4" w:space="0"/>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A3资金</w:t>
            </w:r>
            <w:r>
              <w:rPr>
                <w:rFonts w:ascii="Times New Roman" w:hAnsi="Times New Roman" w:eastAsia="仿宋"/>
                <w:sz w:val="22"/>
                <w:szCs w:val="22"/>
                <w:lang w:bidi="ar"/>
              </w:rPr>
              <w:t>投入（</w:t>
            </w:r>
            <w:r>
              <w:rPr>
                <w:rFonts w:hint="eastAsia" w:ascii="Times New Roman" w:hAnsi="Times New Roman" w:eastAsia="仿宋"/>
                <w:sz w:val="22"/>
                <w:szCs w:val="22"/>
                <w:lang w:bidi="ar"/>
              </w:rPr>
              <w:t>7</w:t>
            </w:r>
            <w:r>
              <w:rPr>
                <w:rFonts w:ascii="Times New Roman" w:hAnsi="Times New Roman" w:eastAsia="仿宋"/>
                <w:sz w:val="22"/>
                <w:szCs w:val="22"/>
                <w:lang w:bidi="ar"/>
              </w:rPr>
              <w:t>）</w:t>
            </w:r>
          </w:p>
        </w:tc>
        <w:tc>
          <w:tcPr>
            <w:tcW w:w="1490" w:type="dxa"/>
            <w:tcBorders>
              <w:top w:val="single" w:color="auto" w:sz="4" w:space="0"/>
              <w:left w:val="nil"/>
              <w:bottom w:val="single" w:color="000000"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A3</w:t>
            </w:r>
            <w:r>
              <w:rPr>
                <w:rFonts w:ascii="Times New Roman" w:hAnsi="Times New Roman" w:eastAsia="仿宋"/>
                <w:sz w:val="22"/>
                <w:szCs w:val="22"/>
                <w:lang w:bidi="ar"/>
              </w:rPr>
              <w:t>01 预算编制</w:t>
            </w:r>
            <w:r>
              <w:rPr>
                <w:rFonts w:hint="eastAsia" w:ascii="Times New Roman" w:hAnsi="Times New Roman" w:eastAsia="仿宋"/>
                <w:sz w:val="22"/>
                <w:szCs w:val="22"/>
                <w:lang w:bidi="ar"/>
              </w:rPr>
              <w:t>科学</w:t>
            </w:r>
            <w:r>
              <w:rPr>
                <w:rFonts w:ascii="Times New Roman" w:hAnsi="Times New Roman" w:eastAsia="仿宋"/>
                <w:sz w:val="22"/>
                <w:szCs w:val="22"/>
                <w:lang w:bidi="ar"/>
              </w:rPr>
              <w:t>性</w:t>
            </w:r>
          </w:p>
        </w:tc>
        <w:tc>
          <w:tcPr>
            <w:tcW w:w="688" w:type="dxa"/>
            <w:tcBorders>
              <w:top w:val="single" w:color="000000" w:sz="4" w:space="0"/>
              <w:left w:val="single" w:color="auto" w:sz="4" w:space="0"/>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3</w:t>
            </w:r>
          </w:p>
        </w:tc>
        <w:tc>
          <w:tcPr>
            <w:tcW w:w="231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ascii="Times New Roman" w:hAnsi="Times New Roman" w:eastAsia="仿宋"/>
                <w:sz w:val="22"/>
                <w:szCs w:val="22"/>
                <w:lang w:bidi="ar"/>
              </w:rPr>
              <w:t>考察预算编制是否科学、合理，是否存在明显不合理之处。</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科学</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000000" w:sz="4" w:space="0"/>
              <w:left w:val="nil"/>
              <w:bottom w:val="single" w:color="000000" w:sz="4" w:space="0"/>
              <w:right w:val="single" w:color="000000" w:sz="4" w:space="0"/>
            </w:tcBorders>
            <w:vAlign w:val="center"/>
          </w:tcPr>
          <w:p>
            <w:pPr>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考察①预算编制依据充分、合理；②预算编制细化；以上两项各占50%的权重分，满足则得</w:t>
            </w:r>
            <w:r>
              <w:rPr>
                <w:rFonts w:hint="eastAsia" w:ascii="Times New Roman" w:hAnsi="Times New Roman" w:eastAsia="仿宋"/>
                <w:sz w:val="22"/>
                <w:szCs w:val="22"/>
                <w:lang w:bidi="ar"/>
              </w:rPr>
              <w:t>对应权重</w:t>
            </w:r>
            <w:r>
              <w:rPr>
                <w:rFonts w:ascii="Times New Roman" w:hAnsi="Times New Roman" w:eastAsia="仿宋"/>
                <w:sz w:val="22"/>
                <w:szCs w:val="22"/>
                <w:lang w:bidi="ar"/>
              </w:rPr>
              <w:t>分，否则扣除对应权重分。</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r>
              <w:rPr>
                <w:rFonts w:hint="eastAsia" w:ascii="Times New Roman" w:hAnsi="Times New Roman" w:eastAsia="仿宋"/>
                <w:sz w:val="22"/>
                <w:szCs w:val="22"/>
                <w:lang w:bidi="ar"/>
              </w:rPr>
              <w:t>得3分</w:t>
            </w:r>
            <w:r>
              <w:rPr>
                <w:rFonts w:ascii="Times New Roman" w:hAnsi="Times New Roman" w:eastAsia="仿宋"/>
                <w:sz w:val="22"/>
                <w:szCs w:val="22"/>
                <w:lang w:bidi="ar"/>
              </w:rPr>
              <w:br w:type="textWrapping"/>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rPr>
              <w:t>3</w:t>
            </w:r>
          </w:p>
        </w:tc>
        <w:tc>
          <w:tcPr>
            <w:tcW w:w="909" w:type="dxa"/>
            <w:tcBorders>
              <w:top w:val="single" w:color="000000" w:sz="4" w:space="0"/>
              <w:left w:val="nil"/>
              <w:bottom w:val="single" w:color="000000" w:sz="4" w:space="0"/>
              <w:right w:val="single" w:color="auto"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rPr>
              <w:t>100%</w:t>
            </w:r>
            <w:r>
              <w:rPr>
                <w:rFonts w:ascii="Times New Roman" w:hAnsi="Times New Roman" w:eastAsia="仿宋"/>
                <w:sz w:val="22"/>
                <w:szCs w:val="22"/>
              </w:rPr>
              <w:t xml:space="preserve"> </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bottom w:val="single" w:color="auto"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p>
        </w:tc>
        <w:tc>
          <w:tcPr>
            <w:tcW w:w="897" w:type="dxa"/>
            <w:vMerge w:val="continue"/>
            <w:tcBorders>
              <w:left w:val="single" w:color="auto" w:sz="4" w:space="0"/>
              <w:bottom w:val="single" w:color="auto"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p>
        </w:tc>
        <w:tc>
          <w:tcPr>
            <w:tcW w:w="1490" w:type="dxa"/>
            <w:tcBorders>
              <w:top w:val="single" w:color="000000" w:sz="4" w:space="0"/>
              <w:left w:val="nil"/>
              <w:bottom w:val="single" w:color="auto" w:sz="4" w:space="0"/>
              <w:right w:val="single" w:color="auto" w:sz="4" w:space="0"/>
            </w:tcBorders>
            <w:vAlign w:val="center"/>
          </w:tcPr>
          <w:p>
            <w:pPr>
              <w:snapToGrid w:val="0"/>
              <w:jc w:val="center"/>
              <w:rPr>
                <w:rFonts w:ascii="Times New Roman" w:hAnsi="Times New Roman" w:eastAsia="仿宋"/>
                <w:sz w:val="22"/>
                <w:szCs w:val="22"/>
              </w:rPr>
            </w:pPr>
            <w:r>
              <w:rPr>
                <w:rStyle w:val="22"/>
                <w:rFonts w:ascii="Times New Roman" w:hAnsi="Times New Roman" w:eastAsia="仿宋" w:cs="Times New Roman"/>
                <w:color w:val="auto"/>
                <w:sz w:val="22"/>
              </w:rPr>
              <w:t>A3</w:t>
            </w:r>
            <w:r>
              <w:rPr>
                <w:rStyle w:val="22"/>
                <w:rFonts w:hint="default" w:ascii="Times New Roman" w:hAnsi="Times New Roman" w:eastAsia="仿宋" w:cs="Times New Roman"/>
                <w:color w:val="auto"/>
                <w:sz w:val="22"/>
              </w:rPr>
              <w:t xml:space="preserve">02 </w:t>
            </w:r>
            <w:r>
              <w:rPr>
                <w:rStyle w:val="22"/>
                <w:rFonts w:ascii="Times New Roman" w:hAnsi="Times New Roman" w:eastAsia="仿宋" w:cs="Times New Roman"/>
                <w:color w:val="auto"/>
                <w:sz w:val="22"/>
              </w:rPr>
              <w:t>资金分配合理性</w:t>
            </w:r>
          </w:p>
        </w:tc>
        <w:tc>
          <w:tcPr>
            <w:tcW w:w="688" w:type="dxa"/>
            <w:tcBorders>
              <w:top w:val="single" w:color="000000" w:sz="4" w:space="0"/>
              <w:left w:val="single" w:color="auto" w:sz="4" w:space="0"/>
              <w:bottom w:val="single" w:color="auto"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4</w:t>
            </w:r>
          </w:p>
        </w:tc>
        <w:tc>
          <w:tcPr>
            <w:tcW w:w="2319" w:type="dxa"/>
            <w:tcBorders>
              <w:top w:val="single" w:color="000000" w:sz="4" w:space="0"/>
              <w:left w:val="nil"/>
              <w:bottom w:val="single" w:color="auto"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ascii="Times New Roman" w:hAnsi="Times New Roman" w:eastAsia="仿宋"/>
                <w:sz w:val="22"/>
                <w:szCs w:val="22"/>
                <w:lang w:bidi="ar"/>
              </w:rPr>
              <w:t>考察</w:t>
            </w:r>
            <w:r>
              <w:rPr>
                <w:rFonts w:hint="eastAsia" w:ascii="Times New Roman" w:hAnsi="Times New Roman" w:eastAsia="仿宋"/>
                <w:sz w:val="22"/>
                <w:szCs w:val="22"/>
                <w:lang w:bidi="ar"/>
              </w:rPr>
              <w:t>项目资金分配是否合理</w:t>
            </w:r>
            <w:r>
              <w:rPr>
                <w:rFonts w:ascii="Times New Roman" w:hAnsi="Times New Roman" w:eastAsia="仿宋"/>
                <w:sz w:val="22"/>
                <w:szCs w:val="22"/>
                <w:lang w:bidi="ar"/>
              </w:rPr>
              <w:t>。</w:t>
            </w:r>
          </w:p>
        </w:tc>
        <w:tc>
          <w:tcPr>
            <w:tcW w:w="899" w:type="dxa"/>
            <w:tcBorders>
              <w:top w:val="single" w:color="000000" w:sz="4" w:space="0"/>
              <w:left w:val="nil"/>
              <w:bottom w:val="single" w:color="auto"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合理</w:t>
            </w:r>
          </w:p>
        </w:tc>
        <w:tc>
          <w:tcPr>
            <w:tcW w:w="443" w:type="dxa"/>
            <w:tcBorders>
              <w:top w:val="single" w:color="000000" w:sz="4" w:space="0"/>
              <w:left w:val="nil"/>
              <w:bottom w:val="single" w:color="auto"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000000" w:sz="4" w:space="0"/>
              <w:left w:val="nil"/>
              <w:bottom w:val="single" w:color="auto" w:sz="4" w:space="0"/>
              <w:right w:val="single" w:color="000000" w:sz="4" w:space="0"/>
            </w:tcBorders>
            <w:vAlign w:val="center"/>
          </w:tcPr>
          <w:p>
            <w:pPr>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①预算资金分配依据是否充分；②资金分配额度是否合理，与项目单位或地方实际是否相适应。</w:t>
            </w:r>
            <w:r>
              <w:rPr>
                <w:rFonts w:ascii="Times New Roman" w:hAnsi="Times New Roman" w:eastAsia="仿宋"/>
                <w:sz w:val="22"/>
                <w:szCs w:val="22"/>
                <w:lang w:bidi="ar"/>
              </w:rPr>
              <w:t>以上两项各占50%的权重分，满足则得分，否则扣除对应权重分。</w:t>
            </w:r>
          </w:p>
        </w:tc>
        <w:tc>
          <w:tcPr>
            <w:tcW w:w="3679" w:type="dxa"/>
            <w:tcBorders>
              <w:top w:val="single" w:color="000000" w:sz="4" w:space="0"/>
              <w:left w:val="nil"/>
              <w:bottom w:val="single" w:color="auto" w:sz="4" w:space="0"/>
              <w:right w:val="single" w:color="000000" w:sz="4" w:space="0"/>
            </w:tcBorders>
            <w:vAlign w:val="center"/>
          </w:tcPr>
          <w:p>
            <w:pPr>
              <w:autoSpaceDE w:val="0"/>
              <w:snapToGrid w:val="0"/>
              <w:jc w:val="left"/>
              <w:textAlignment w:val="center"/>
              <w:rPr>
                <w:rFonts w:ascii="Times New Roman" w:hAnsi="Times New Roman" w:eastAsia="仿宋"/>
                <w:sz w:val="22"/>
                <w:szCs w:val="22"/>
                <w:highlight w:val="red"/>
              </w:rPr>
            </w:pPr>
            <w:r>
              <w:rPr>
                <w:rFonts w:ascii="Times New Roman" w:hAnsi="Times New Roman" w:eastAsia="仿宋"/>
                <w:sz w:val="22"/>
                <w:szCs w:val="22"/>
                <w:lang w:bidi="ar"/>
              </w:rPr>
              <w:t>本项目的资金分配遵循了公平、公正、透明的原则，确保了项目资源的合理配置与高效利用。在资金分配过程中充分考虑了项目的实际需求与目标，对不同阶段、不同任务的资金进行了科学的规划与安排。</w:t>
            </w:r>
            <w:r>
              <w:rPr>
                <w:rFonts w:hint="eastAsia" w:ascii="Times New Roman" w:hAnsi="Times New Roman" w:eastAsia="仿宋"/>
                <w:sz w:val="22"/>
                <w:szCs w:val="22"/>
                <w:lang w:bidi="ar"/>
              </w:rPr>
              <w:t>得4分</w:t>
            </w:r>
          </w:p>
        </w:tc>
        <w:tc>
          <w:tcPr>
            <w:tcW w:w="688" w:type="dxa"/>
            <w:tcBorders>
              <w:top w:val="single" w:color="000000" w:sz="4" w:space="0"/>
              <w:left w:val="nil"/>
              <w:bottom w:val="single" w:color="auto" w:sz="4" w:space="0"/>
              <w:right w:val="single" w:color="000000" w:sz="4" w:space="0"/>
            </w:tcBorders>
            <w:vAlign w:val="center"/>
          </w:tcPr>
          <w:p>
            <w:pPr>
              <w:autoSpaceDE w:val="0"/>
              <w:snapToGrid w:val="0"/>
              <w:jc w:val="left"/>
              <w:textAlignment w:val="center"/>
              <w:rPr>
                <w:rFonts w:ascii="Times New Roman" w:hAnsi="Times New Roman" w:eastAsia="仿宋"/>
                <w:sz w:val="22"/>
                <w:szCs w:val="22"/>
                <w:highlight w:val="red"/>
              </w:rPr>
            </w:pPr>
            <w:r>
              <w:rPr>
                <w:rFonts w:hint="eastAsia" w:ascii="Times New Roman" w:hAnsi="Times New Roman" w:eastAsia="仿宋"/>
                <w:sz w:val="22"/>
                <w:szCs w:val="22"/>
              </w:rPr>
              <w:t>4</w:t>
            </w:r>
          </w:p>
        </w:tc>
        <w:tc>
          <w:tcPr>
            <w:tcW w:w="909" w:type="dxa"/>
            <w:tcBorders>
              <w:top w:val="single" w:color="000000" w:sz="4" w:space="0"/>
              <w:left w:val="nil"/>
              <w:bottom w:val="single" w:color="auto" w:sz="4" w:space="0"/>
              <w:right w:val="single" w:color="auto" w:sz="4" w:space="0"/>
            </w:tcBorders>
            <w:vAlign w:val="center"/>
          </w:tcPr>
          <w:p>
            <w:pPr>
              <w:autoSpaceDE w:val="0"/>
              <w:snapToGrid w:val="0"/>
              <w:jc w:val="right"/>
              <w:textAlignment w:val="center"/>
              <w:rPr>
                <w:rFonts w:ascii="Times New Roman" w:hAnsi="Times New Roman" w:eastAsia="仿宋"/>
                <w:sz w:val="22"/>
                <w:szCs w:val="22"/>
                <w:highlight w:val="red"/>
              </w:rPr>
            </w:pPr>
            <w:r>
              <w:rPr>
                <w:rFonts w:hint="eastAsia" w:ascii="Times New Roman" w:hAnsi="Times New Roman" w:eastAsia="仿宋"/>
                <w:sz w:val="22"/>
                <w:szCs w:val="22"/>
              </w:rPr>
              <w:t>100%</w:t>
            </w:r>
            <w:r>
              <w:rPr>
                <w:rFonts w:ascii="Times New Roman" w:hAnsi="Times New Roman" w:eastAsia="仿宋"/>
                <w:sz w:val="22"/>
                <w:szCs w:val="22"/>
              </w:rPr>
              <w:t xml:space="preserve"> </w:t>
            </w:r>
          </w:p>
        </w:tc>
      </w:tr>
      <w:tr>
        <w:tblPrEx>
          <w:tblCellMar>
            <w:top w:w="40" w:type="dxa"/>
            <w:left w:w="64" w:type="dxa"/>
            <w:bottom w:w="40" w:type="dxa"/>
            <w:right w:w="64" w:type="dxa"/>
          </w:tblCellMar>
        </w:tblPrEx>
        <w:trPr>
          <w:trHeight w:val="0" w:hRule="atLeast"/>
          <w:jc w:val="center"/>
        </w:trPr>
        <w:tc>
          <w:tcPr>
            <w:tcW w:w="888" w:type="dxa"/>
            <w:vMerge w:val="restart"/>
            <w:tcBorders>
              <w:top w:val="single" w:color="auto" w:sz="4" w:space="0"/>
              <w:left w:val="single" w:color="auto" w:sz="4" w:space="0"/>
              <w:right w:val="single" w:color="000000" w:sz="4" w:space="0"/>
            </w:tcBorders>
            <w:vAlign w:val="center"/>
          </w:tcPr>
          <w:p>
            <w:pPr>
              <w:snapToGrid w:val="0"/>
              <w:jc w:val="center"/>
              <w:rPr>
                <w:rFonts w:ascii="Times New Roman" w:hAnsi="Times New Roman" w:eastAsia="仿宋"/>
                <w:sz w:val="22"/>
                <w:szCs w:val="22"/>
              </w:rPr>
            </w:pPr>
            <w:r>
              <w:rPr>
                <w:rFonts w:ascii="Times New Roman" w:hAnsi="Times New Roman" w:eastAsia="仿宋"/>
                <w:sz w:val="22"/>
                <w:szCs w:val="22"/>
                <w:lang w:bidi="ar"/>
              </w:rPr>
              <w:t xml:space="preserve">B </w:t>
            </w:r>
            <w:r>
              <w:rPr>
                <w:rFonts w:hint="eastAsia" w:ascii="Times New Roman" w:hAnsi="Times New Roman" w:eastAsia="仿宋"/>
                <w:sz w:val="22"/>
                <w:szCs w:val="22"/>
                <w:lang w:bidi="ar"/>
              </w:rPr>
              <w:t>项目过程</w:t>
            </w:r>
            <w:r>
              <w:rPr>
                <w:rFonts w:ascii="Times New Roman" w:hAnsi="Times New Roman" w:eastAsia="仿宋"/>
                <w:sz w:val="22"/>
                <w:szCs w:val="22"/>
                <w:lang w:bidi="ar"/>
              </w:rPr>
              <w:t>（</w:t>
            </w:r>
            <w:r>
              <w:rPr>
                <w:rFonts w:hint="eastAsia" w:ascii="Times New Roman" w:hAnsi="Times New Roman" w:eastAsia="仿宋"/>
                <w:sz w:val="22"/>
                <w:szCs w:val="22"/>
                <w:lang w:bidi="ar"/>
              </w:rPr>
              <w:t>20</w:t>
            </w:r>
            <w:r>
              <w:rPr>
                <w:rFonts w:ascii="Times New Roman" w:hAnsi="Times New Roman" w:eastAsia="仿宋"/>
                <w:sz w:val="22"/>
                <w:szCs w:val="22"/>
                <w:lang w:bidi="ar"/>
              </w:rPr>
              <w:t>）</w:t>
            </w:r>
          </w:p>
        </w:tc>
        <w:tc>
          <w:tcPr>
            <w:tcW w:w="897" w:type="dxa"/>
            <w:vMerge w:val="restart"/>
            <w:tcBorders>
              <w:top w:val="single" w:color="auto" w:sz="4" w:space="0"/>
              <w:left w:val="nil"/>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B</w:t>
            </w:r>
            <w:r>
              <w:rPr>
                <w:rFonts w:hint="eastAsia" w:ascii="Times New Roman" w:hAnsi="Times New Roman" w:eastAsia="仿宋"/>
                <w:sz w:val="22"/>
                <w:szCs w:val="22"/>
                <w:lang w:bidi="ar"/>
              </w:rPr>
              <w:t>1</w:t>
            </w:r>
            <w:r>
              <w:rPr>
                <w:rFonts w:ascii="Times New Roman" w:hAnsi="Times New Roman" w:eastAsia="仿宋"/>
                <w:sz w:val="22"/>
                <w:szCs w:val="22"/>
                <w:lang w:bidi="ar"/>
              </w:rPr>
              <w:t xml:space="preserve"> </w:t>
            </w:r>
            <w:r>
              <w:rPr>
                <w:rFonts w:hint="eastAsia" w:ascii="Times New Roman" w:hAnsi="Times New Roman" w:eastAsia="仿宋"/>
                <w:sz w:val="22"/>
                <w:szCs w:val="22"/>
                <w:lang w:bidi="ar"/>
              </w:rPr>
              <w:t>资金</w:t>
            </w:r>
            <w:r>
              <w:rPr>
                <w:rFonts w:ascii="Times New Roman" w:hAnsi="Times New Roman" w:eastAsia="仿宋"/>
                <w:sz w:val="22"/>
                <w:szCs w:val="22"/>
                <w:lang w:bidi="ar"/>
              </w:rPr>
              <w:t>管理（</w:t>
            </w:r>
            <w:r>
              <w:rPr>
                <w:rFonts w:hint="eastAsia" w:ascii="Times New Roman" w:hAnsi="Times New Roman" w:eastAsia="仿宋"/>
                <w:sz w:val="22"/>
                <w:szCs w:val="22"/>
                <w:lang w:bidi="ar"/>
              </w:rPr>
              <w:t>10</w:t>
            </w:r>
            <w:r>
              <w:rPr>
                <w:rFonts w:ascii="Times New Roman" w:hAnsi="Times New Roman" w:eastAsia="仿宋"/>
                <w:sz w:val="22"/>
                <w:szCs w:val="22"/>
                <w:lang w:bidi="ar"/>
              </w:rPr>
              <w:t>）</w:t>
            </w:r>
          </w:p>
        </w:tc>
        <w:tc>
          <w:tcPr>
            <w:tcW w:w="1490"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B</w:t>
            </w:r>
            <w:r>
              <w:rPr>
                <w:rFonts w:hint="eastAsia" w:ascii="Times New Roman" w:hAnsi="Times New Roman" w:eastAsia="仿宋"/>
                <w:sz w:val="22"/>
                <w:szCs w:val="22"/>
                <w:lang w:bidi="ar"/>
              </w:rPr>
              <w:t>1</w:t>
            </w:r>
            <w:r>
              <w:rPr>
                <w:rFonts w:ascii="Times New Roman" w:hAnsi="Times New Roman" w:eastAsia="仿宋"/>
                <w:sz w:val="22"/>
                <w:szCs w:val="22"/>
                <w:lang w:bidi="ar"/>
              </w:rPr>
              <w:t xml:space="preserve">01 </w:t>
            </w:r>
            <w:r>
              <w:rPr>
                <w:rFonts w:hint="eastAsia" w:ascii="Times New Roman" w:hAnsi="Times New Roman" w:eastAsia="仿宋"/>
                <w:sz w:val="22"/>
                <w:szCs w:val="22"/>
                <w:lang w:bidi="ar"/>
              </w:rPr>
              <w:t>资金到位率</w:t>
            </w:r>
          </w:p>
        </w:tc>
        <w:tc>
          <w:tcPr>
            <w:tcW w:w="688"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4</w:t>
            </w:r>
          </w:p>
        </w:tc>
        <w:tc>
          <w:tcPr>
            <w:tcW w:w="2319" w:type="dxa"/>
            <w:tcBorders>
              <w:top w:val="single" w:color="auto"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ascii="Times New Roman" w:hAnsi="Times New Roman" w:eastAsia="仿宋"/>
                <w:sz w:val="22"/>
                <w:szCs w:val="22"/>
                <w:lang w:bidi="ar"/>
              </w:rPr>
              <w:t>反映项目预算资金的实际</w:t>
            </w:r>
            <w:r>
              <w:rPr>
                <w:rFonts w:hint="eastAsia" w:ascii="Times New Roman" w:hAnsi="Times New Roman" w:eastAsia="仿宋"/>
                <w:sz w:val="22"/>
                <w:szCs w:val="22"/>
                <w:lang w:bidi="ar"/>
              </w:rPr>
              <w:t>到位</w:t>
            </w:r>
            <w:r>
              <w:rPr>
                <w:rFonts w:ascii="Times New Roman" w:hAnsi="Times New Roman" w:eastAsia="仿宋"/>
                <w:sz w:val="22"/>
                <w:szCs w:val="22"/>
                <w:lang w:bidi="ar"/>
              </w:rPr>
              <w:t>情况；</w:t>
            </w:r>
            <w:r>
              <w:rPr>
                <w:rFonts w:hint="eastAsia" w:ascii="Times New Roman" w:hAnsi="Times New Roman" w:eastAsia="仿宋"/>
                <w:sz w:val="22"/>
                <w:szCs w:val="22"/>
                <w:lang w:bidi="ar"/>
              </w:rPr>
              <w:t>资金到位</w:t>
            </w:r>
            <w:r>
              <w:rPr>
                <w:rFonts w:ascii="Times New Roman" w:hAnsi="Times New Roman" w:eastAsia="仿宋"/>
                <w:sz w:val="22"/>
                <w:szCs w:val="22"/>
                <w:lang w:bidi="ar"/>
              </w:rPr>
              <w:t>率=实际</w:t>
            </w:r>
            <w:r>
              <w:rPr>
                <w:rFonts w:hint="eastAsia" w:ascii="Times New Roman" w:hAnsi="Times New Roman" w:eastAsia="仿宋"/>
                <w:sz w:val="22"/>
                <w:szCs w:val="22"/>
                <w:lang w:bidi="ar"/>
              </w:rPr>
              <w:t>到位</w:t>
            </w:r>
            <w:r>
              <w:rPr>
                <w:rFonts w:ascii="Times New Roman" w:hAnsi="Times New Roman" w:eastAsia="仿宋"/>
                <w:sz w:val="22"/>
                <w:szCs w:val="22"/>
                <w:lang w:bidi="ar"/>
              </w:rPr>
              <w:t>金额/预算批复金额×100%</w:t>
            </w:r>
          </w:p>
        </w:tc>
        <w:tc>
          <w:tcPr>
            <w:tcW w:w="899"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100%</w:t>
            </w:r>
          </w:p>
        </w:tc>
        <w:tc>
          <w:tcPr>
            <w:tcW w:w="443"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资金到位</w:t>
            </w:r>
            <w:r>
              <w:rPr>
                <w:rFonts w:ascii="Times New Roman" w:hAnsi="Times New Roman" w:eastAsia="仿宋"/>
                <w:sz w:val="22"/>
                <w:szCs w:val="22"/>
                <w:lang w:bidi="ar"/>
              </w:rPr>
              <w:t>率达100%则得满分，低于则每降低1%扣相应权重的5%，扣完为止。</w:t>
            </w:r>
          </w:p>
        </w:tc>
        <w:tc>
          <w:tcPr>
            <w:tcW w:w="3679"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本项目总投资66万元，财政资金及时足额到位，到位</w:t>
            </w:r>
            <w:r>
              <w:rPr>
                <w:rFonts w:hint="eastAsia" w:ascii="Times New Roman" w:hAnsi="Times New Roman" w:eastAsia="仿宋"/>
                <w:sz w:val="22"/>
                <w:szCs w:val="22"/>
                <w:lang w:bidi="ar"/>
              </w:rPr>
              <w:t>率</w:t>
            </w:r>
            <w:r>
              <w:rPr>
                <w:rFonts w:ascii="Times New Roman" w:hAnsi="Times New Roman" w:eastAsia="仿宋"/>
                <w:sz w:val="22"/>
                <w:szCs w:val="22"/>
                <w:lang w:bidi="ar"/>
              </w:rPr>
              <w:t>100%</w:t>
            </w:r>
            <w:r>
              <w:rPr>
                <w:rFonts w:hint="eastAsia" w:ascii="Times New Roman" w:hAnsi="Times New Roman" w:eastAsia="仿宋"/>
                <w:sz w:val="22"/>
                <w:szCs w:val="22"/>
                <w:lang w:bidi="ar"/>
              </w:rPr>
              <w:t>。得4分</w:t>
            </w:r>
          </w:p>
        </w:tc>
        <w:tc>
          <w:tcPr>
            <w:tcW w:w="688"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4</w:t>
            </w:r>
          </w:p>
        </w:tc>
        <w:tc>
          <w:tcPr>
            <w:tcW w:w="909" w:type="dxa"/>
            <w:tcBorders>
              <w:top w:val="single" w:color="auto"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rPr>
              <w:t>100%</w:t>
            </w:r>
            <w:r>
              <w:rPr>
                <w:rFonts w:ascii="Times New Roman" w:hAnsi="Times New Roman" w:eastAsia="仿宋"/>
                <w:sz w:val="22"/>
                <w:szCs w:val="22"/>
              </w:rPr>
              <w:t xml:space="preserve"> </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vAlign w:val="center"/>
          </w:tcPr>
          <w:p>
            <w:pPr>
              <w:snapToGrid w:val="0"/>
              <w:jc w:val="center"/>
              <w:rPr>
                <w:rFonts w:ascii="Times New Roman" w:hAnsi="Times New Roman" w:eastAsia="仿宋"/>
                <w:sz w:val="22"/>
                <w:szCs w:val="22"/>
              </w:rPr>
            </w:pPr>
          </w:p>
        </w:tc>
        <w:tc>
          <w:tcPr>
            <w:tcW w:w="897" w:type="dxa"/>
            <w:vMerge w:val="continue"/>
            <w:tcBorders>
              <w:left w:val="nil"/>
              <w:right w:val="single" w:color="000000" w:sz="4" w:space="0"/>
            </w:tcBorders>
            <w:vAlign w:val="center"/>
          </w:tcPr>
          <w:p>
            <w:pPr>
              <w:autoSpaceDE w:val="0"/>
              <w:snapToGrid w:val="0"/>
              <w:jc w:val="center"/>
              <w:textAlignment w:val="center"/>
              <w:rPr>
                <w:rFonts w:ascii="Times New Roman" w:hAnsi="Times New Roman" w:eastAsia="仿宋"/>
                <w:sz w:val="22"/>
                <w:szCs w:val="22"/>
              </w:rPr>
            </w:pPr>
          </w:p>
        </w:tc>
        <w:tc>
          <w:tcPr>
            <w:tcW w:w="1490"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B</w:t>
            </w:r>
            <w:r>
              <w:rPr>
                <w:rFonts w:hint="eastAsia" w:ascii="Times New Roman" w:hAnsi="Times New Roman" w:eastAsia="仿宋"/>
                <w:sz w:val="22"/>
                <w:szCs w:val="22"/>
                <w:lang w:bidi="ar"/>
              </w:rPr>
              <w:t>102</w:t>
            </w:r>
            <w:r>
              <w:rPr>
                <w:rFonts w:ascii="Times New Roman" w:hAnsi="Times New Roman" w:eastAsia="仿宋"/>
                <w:sz w:val="22"/>
                <w:szCs w:val="22"/>
                <w:lang w:bidi="ar"/>
              </w:rPr>
              <w:t>预算执行率</w:t>
            </w:r>
          </w:p>
        </w:tc>
        <w:tc>
          <w:tcPr>
            <w:tcW w:w="688"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3</w:t>
            </w:r>
          </w:p>
        </w:tc>
        <w:tc>
          <w:tcPr>
            <w:tcW w:w="2319" w:type="dxa"/>
            <w:tcBorders>
              <w:top w:val="single" w:color="auto"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ascii="Times New Roman" w:hAnsi="Times New Roman" w:eastAsia="仿宋"/>
                <w:sz w:val="22"/>
                <w:szCs w:val="22"/>
                <w:lang w:bidi="ar"/>
              </w:rPr>
              <w:t>反映项目预算资金的实际执行情况；预算执行率=实际支出金额/预算批复金额×100%</w:t>
            </w:r>
          </w:p>
        </w:tc>
        <w:tc>
          <w:tcPr>
            <w:tcW w:w="899"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100%</w:t>
            </w:r>
          </w:p>
        </w:tc>
        <w:tc>
          <w:tcPr>
            <w:tcW w:w="443"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预算执行率达100%则得满分，低于则每降低1%扣相应权重的5%，扣完为止。</w:t>
            </w:r>
          </w:p>
        </w:tc>
        <w:tc>
          <w:tcPr>
            <w:tcW w:w="3679"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项目总预算66万元，项目支出66万元，执行率100%，得3分</w:t>
            </w:r>
          </w:p>
        </w:tc>
        <w:tc>
          <w:tcPr>
            <w:tcW w:w="688"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3</w:t>
            </w:r>
          </w:p>
        </w:tc>
        <w:tc>
          <w:tcPr>
            <w:tcW w:w="909" w:type="dxa"/>
            <w:tcBorders>
              <w:top w:val="single" w:color="auto"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rPr>
              <w:t>100%</w:t>
            </w:r>
            <w:r>
              <w:rPr>
                <w:rFonts w:ascii="Times New Roman" w:hAnsi="Times New Roman" w:eastAsia="仿宋"/>
                <w:sz w:val="22"/>
                <w:szCs w:val="22"/>
              </w:rPr>
              <w:t xml:space="preserve"> </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000000" w:sz="4" w:space="0"/>
            </w:tcBorders>
            <w:vAlign w:val="center"/>
          </w:tcPr>
          <w:p>
            <w:pPr>
              <w:snapToGrid w:val="0"/>
              <w:jc w:val="center"/>
              <w:rPr>
                <w:rFonts w:ascii="Times New Roman" w:hAnsi="Times New Roman" w:eastAsia="仿宋"/>
                <w:sz w:val="22"/>
                <w:szCs w:val="22"/>
              </w:rPr>
            </w:pPr>
          </w:p>
        </w:tc>
        <w:tc>
          <w:tcPr>
            <w:tcW w:w="897" w:type="dxa"/>
            <w:vMerge w:val="continue"/>
            <w:tcBorders>
              <w:left w:val="nil"/>
              <w:bottom w:val="single" w:color="auto"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p>
        </w:tc>
        <w:tc>
          <w:tcPr>
            <w:tcW w:w="1490" w:type="dxa"/>
            <w:tcBorders>
              <w:top w:val="single" w:color="auto" w:sz="4" w:space="0"/>
              <w:left w:val="nil"/>
              <w:bottom w:val="single" w:color="auto"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B</w:t>
            </w:r>
            <w:r>
              <w:rPr>
                <w:rFonts w:hint="eastAsia" w:ascii="Times New Roman" w:hAnsi="Times New Roman" w:eastAsia="仿宋"/>
                <w:sz w:val="22"/>
                <w:szCs w:val="22"/>
                <w:lang w:bidi="ar"/>
              </w:rPr>
              <w:t>103资金使用合规性</w:t>
            </w:r>
          </w:p>
        </w:tc>
        <w:tc>
          <w:tcPr>
            <w:tcW w:w="688"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3</w:t>
            </w:r>
          </w:p>
        </w:tc>
        <w:tc>
          <w:tcPr>
            <w:tcW w:w="2319" w:type="dxa"/>
            <w:tcBorders>
              <w:top w:val="single" w:color="auto"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反映项目资金使用是否合规</w:t>
            </w:r>
          </w:p>
        </w:tc>
        <w:tc>
          <w:tcPr>
            <w:tcW w:w="899"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合规</w:t>
            </w:r>
          </w:p>
        </w:tc>
        <w:tc>
          <w:tcPr>
            <w:tcW w:w="443" w:type="dxa"/>
            <w:tcBorders>
              <w:top w:val="single" w:color="auto"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①是否符合国家财经法规和财务管理制度以及有关专项资金管理办法的规定；</w:t>
            </w:r>
            <w:r>
              <w:rPr>
                <w:rFonts w:ascii="Times New Roman" w:hAnsi="Times New Roman" w:eastAsia="仿宋"/>
                <w:sz w:val="22"/>
                <w:szCs w:val="22"/>
                <w:lang w:bidi="ar"/>
              </w:rPr>
              <w:br w:type="textWrapping"/>
            </w:r>
            <w:r>
              <w:rPr>
                <w:rFonts w:ascii="Times New Roman" w:hAnsi="Times New Roman" w:eastAsia="仿宋"/>
                <w:sz w:val="22"/>
                <w:szCs w:val="22"/>
                <w:lang w:bidi="ar"/>
              </w:rPr>
              <w:t>②资金的拨付是否有完整的审批程序和手续；</w:t>
            </w:r>
            <w:r>
              <w:rPr>
                <w:rFonts w:ascii="Times New Roman" w:hAnsi="Times New Roman" w:eastAsia="仿宋"/>
                <w:sz w:val="22"/>
                <w:szCs w:val="22"/>
                <w:lang w:bidi="ar"/>
              </w:rPr>
              <w:br w:type="textWrapping"/>
            </w:r>
            <w:r>
              <w:rPr>
                <w:rFonts w:ascii="Times New Roman" w:hAnsi="Times New Roman" w:eastAsia="仿宋"/>
                <w:sz w:val="22"/>
                <w:szCs w:val="22"/>
                <w:lang w:bidi="ar"/>
              </w:rPr>
              <w:t>③是否符合项目预算批复或合同规定的用途；</w:t>
            </w:r>
            <w:r>
              <w:rPr>
                <w:rFonts w:ascii="Times New Roman" w:hAnsi="Times New Roman" w:eastAsia="仿宋"/>
                <w:sz w:val="22"/>
                <w:szCs w:val="22"/>
                <w:lang w:bidi="ar"/>
              </w:rPr>
              <w:br w:type="textWrapping"/>
            </w:r>
            <w:r>
              <w:rPr>
                <w:rFonts w:ascii="Times New Roman" w:hAnsi="Times New Roman" w:eastAsia="仿宋"/>
                <w:sz w:val="22"/>
                <w:szCs w:val="22"/>
                <w:lang w:bidi="ar"/>
              </w:rPr>
              <w:t>④是否存在截留、挤占、挪用、虚列支出等情况。</w:t>
            </w:r>
          </w:p>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以上四项均符合得满分，否则不得分。</w:t>
            </w:r>
          </w:p>
        </w:tc>
        <w:tc>
          <w:tcPr>
            <w:tcW w:w="3679"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本项目的资金使用严格遵循了国家相关法律法规与财务制度，确保了资金的合规性与安全性。在资金使用过程中，我们建立了完善的财务管理体系，对资金的流动进行了全程监控与记录。</w:t>
            </w:r>
            <w:r>
              <w:rPr>
                <w:rFonts w:hint="eastAsia" w:ascii="Times New Roman" w:hAnsi="Times New Roman" w:eastAsia="仿宋"/>
                <w:sz w:val="22"/>
                <w:szCs w:val="22"/>
                <w:lang w:bidi="ar"/>
              </w:rPr>
              <w:t>得3分</w:t>
            </w:r>
          </w:p>
        </w:tc>
        <w:tc>
          <w:tcPr>
            <w:tcW w:w="688" w:type="dxa"/>
            <w:tcBorders>
              <w:top w:val="single" w:color="auto"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3</w:t>
            </w:r>
          </w:p>
        </w:tc>
        <w:tc>
          <w:tcPr>
            <w:tcW w:w="909" w:type="dxa"/>
            <w:tcBorders>
              <w:top w:val="single" w:color="auto"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rPr>
              <w:t>100%</w:t>
            </w:r>
            <w:r>
              <w:rPr>
                <w:rFonts w:ascii="Times New Roman" w:hAnsi="Times New Roman" w:eastAsia="仿宋"/>
                <w:sz w:val="22"/>
                <w:szCs w:val="22"/>
              </w:rPr>
              <w:t xml:space="preserve"> </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vAlign w:val="center"/>
          </w:tcPr>
          <w:p>
            <w:pPr>
              <w:snapToGrid w:val="0"/>
              <w:jc w:val="center"/>
              <w:rPr>
                <w:rFonts w:ascii="Times New Roman" w:hAnsi="Times New Roman" w:eastAsia="仿宋"/>
                <w:sz w:val="22"/>
                <w:szCs w:val="22"/>
              </w:rPr>
            </w:pP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 xml:space="preserve">B2 </w:t>
            </w:r>
            <w:r>
              <w:rPr>
                <w:rFonts w:hint="eastAsia" w:ascii="Times New Roman" w:hAnsi="Times New Roman" w:eastAsia="仿宋"/>
                <w:sz w:val="22"/>
                <w:szCs w:val="22"/>
                <w:lang w:bidi="ar"/>
              </w:rPr>
              <w:t>组织实施</w:t>
            </w:r>
            <w:r>
              <w:rPr>
                <w:rFonts w:ascii="Times New Roman" w:hAnsi="Times New Roman" w:eastAsia="仿宋"/>
                <w:sz w:val="22"/>
                <w:szCs w:val="22"/>
                <w:lang w:bidi="ar"/>
              </w:rPr>
              <w:t>（</w:t>
            </w:r>
            <w:r>
              <w:rPr>
                <w:rFonts w:hint="eastAsia" w:ascii="Times New Roman" w:hAnsi="Times New Roman" w:eastAsia="仿宋"/>
                <w:sz w:val="22"/>
                <w:szCs w:val="22"/>
                <w:lang w:bidi="ar"/>
              </w:rPr>
              <w:t>10</w:t>
            </w:r>
            <w:r>
              <w:rPr>
                <w:rFonts w:ascii="Times New Roman" w:hAnsi="Times New Roman" w:eastAsia="仿宋"/>
                <w:sz w:val="22"/>
                <w:szCs w:val="22"/>
                <w:lang w:bidi="ar"/>
              </w:rPr>
              <w:t>）</w:t>
            </w:r>
          </w:p>
        </w:tc>
        <w:tc>
          <w:tcPr>
            <w:tcW w:w="1490" w:type="dxa"/>
            <w:tcBorders>
              <w:top w:val="single" w:color="auto" w:sz="4" w:space="0"/>
              <w:left w:val="single" w:color="auto" w:sz="4" w:space="0"/>
              <w:bottom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B</w:t>
            </w:r>
            <w:r>
              <w:rPr>
                <w:rFonts w:hint="eastAsia" w:ascii="Times New Roman" w:hAnsi="Times New Roman" w:eastAsia="仿宋"/>
                <w:sz w:val="22"/>
                <w:szCs w:val="22"/>
                <w:lang w:bidi="ar"/>
              </w:rPr>
              <w:t>2</w:t>
            </w:r>
            <w:r>
              <w:rPr>
                <w:rFonts w:ascii="Times New Roman" w:hAnsi="Times New Roman" w:eastAsia="仿宋"/>
                <w:sz w:val="22"/>
                <w:szCs w:val="22"/>
                <w:lang w:bidi="ar"/>
              </w:rPr>
              <w:t>01 管理制度健全性</w:t>
            </w:r>
          </w:p>
        </w:tc>
        <w:tc>
          <w:tcPr>
            <w:tcW w:w="688" w:type="dxa"/>
            <w:tcBorders>
              <w:top w:val="single" w:color="000000" w:sz="4" w:space="0"/>
              <w:left w:val="single" w:color="auto" w:sz="4" w:space="0"/>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5</w:t>
            </w:r>
          </w:p>
        </w:tc>
        <w:tc>
          <w:tcPr>
            <w:tcW w:w="231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ascii="Times New Roman" w:hAnsi="Times New Roman" w:eastAsia="仿宋"/>
                <w:sz w:val="22"/>
                <w:szCs w:val="22"/>
                <w:lang w:bidi="ar"/>
              </w:rPr>
              <w:t>项目实施单位的业务管理制度是否健全，用以反映和考核业务管理制度对项目顺利实施的保障情况。</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健全</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考察实施单位</w:t>
            </w:r>
            <w:r>
              <w:rPr>
                <w:rFonts w:hint="eastAsia" w:ascii="Times New Roman" w:hAnsi="Times New Roman" w:eastAsia="仿宋"/>
                <w:sz w:val="22"/>
                <w:szCs w:val="22"/>
                <w:lang w:bidi="ar"/>
              </w:rPr>
              <w:t>①是否已制定或具有相应的财务和业务管理制度；②财务和业务管理制度是否合法、合规、完整。</w:t>
            </w:r>
            <w:r>
              <w:rPr>
                <w:rFonts w:ascii="Times New Roman" w:hAnsi="Times New Roman" w:eastAsia="仿宋"/>
                <w:sz w:val="22"/>
                <w:szCs w:val="22"/>
                <w:lang w:bidi="ar"/>
              </w:rPr>
              <w:t>以上两项各占50%的权重分，满足则得分，否则扣除对应权重分。</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沙湾市幼儿园建立了《财务管理制度》《内部控制管理制度》</w:t>
            </w:r>
            <w:r>
              <w:rPr>
                <w:rFonts w:ascii="Times New Roman" w:hAnsi="Times New Roman" w:eastAsia="仿宋"/>
                <w:sz w:val="22"/>
                <w:szCs w:val="22"/>
                <w:lang w:bidi="ar"/>
              </w:rPr>
              <w:t>本项目的管理制度是健全的、有效的</w:t>
            </w:r>
            <w:r>
              <w:rPr>
                <w:rFonts w:hint="eastAsia" w:ascii="Times New Roman" w:hAnsi="Times New Roman" w:eastAsia="仿宋"/>
                <w:sz w:val="22"/>
                <w:szCs w:val="22"/>
                <w:lang w:bidi="ar"/>
              </w:rPr>
              <w:t>。得5分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kern w:val="2"/>
                <w:sz w:val="22"/>
                <w:szCs w:val="22"/>
              </w:rPr>
            </w:pPr>
            <w:r>
              <w:rPr>
                <w:rFonts w:hint="eastAsia" w:ascii="Times New Roman" w:hAnsi="Times New Roman" w:eastAsia="仿宋"/>
                <w:kern w:val="2"/>
                <w:sz w:val="22"/>
                <w:szCs w:val="22"/>
              </w:rPr>
              <w:t>5</w:t>
            </w:r>
          </w:p>
        </w:tc>
        <w:tc>
          <w:tcPr>
            <w:tcW w:w="90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kern w:val="2"/>
                <w:sz w:val="22"/>
                <w:szCs w:val="22"/>
              </w:rPr>
            </w:pPr>
            <w:r>
              <w:rPr>
                <w:rFonts w:hint="eastAsia" w:ascii="Times New Roman" w:hAnsi="Times New Roman" w:eastAsia="仿宋"/>
                <w:sz w:val="22"/>
                <w:szCs w:val="22"/>
              </w:rPr>
              <w:t>100%</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仿宋"/>
                <w:sz w:val="22"/>
                <w:szCs w:val="22"/>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p>
        </w:tc>
        <w:tc>
          <w:tcPr>
            <w:tcW w:w="1490" w:type="dxa"/>
            <w:tcBorders>
              <w:top w:val="single" w:color="auto" w:sz="4" w:space="0"/>
              <w:left w:val="single" w:color="auto" w:sz="4" w:space="0"/>
              <w:bottom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B</w:t>
            </w:r>
            <w:r>
              <w:rPr>
                <w:rFonts w:hint="eastAsia" w:ascii="Times New Roman" w:hAnsi="Times New Roman" w:eastAsia="仿宋"/>
                <w:sz w:val="22"/>
                <w:szCs w:val="22"/>
                <w:lang w:bidi="ar"/>
              </w:rPr>
              <w:t>2</w:t>
            </w:r>
            <w:r>
              <w:rPr>
                <w:rFonts w:ascii="Times New Roman" w:hAnsi="Times New Roman" w:eastAsia="仿宋"/>
                <w:sz w:val="22"/>
                <w:szCs w:val="22"/>
                <w:lang w:bidi="ar"/>
              </w:rPr>
              <w:t>02 制度执行有效性</w:t>
            </w:r>
          </w:p>
        </w:tc>
        <w:tc>
          <w:tcPr>
            <w:tcW w:w="688" w:type="dxa"/>
            <w:tcBorders>
              <w:top w:val="single" w:color="000000" w:sz="4" w:space="0"/>
              <w:left w:val="single" w:color="auto" w:sz="4" w:space="0"/>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5</w:t>
            </w:r>
          </w:p>
        </w:tc>
        <w:tc>
          <w:tcPr>
            <w:tcW w:w="231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ascii="Times New Roman" w:hAnsi="Times New Roman" w:eastAsia="仿宋"/>
                <w:sz w:val="22"/>
                <w:szCs w:val="22"/>
                <w:lang w:bidi="ar"/>
              </w:rPr>
              <w:t>项目实施是否符合相关业务管理规定，用以反映和考核业务管理制度的有效执行情况。</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执行且</w:t>
            </w:r>
            <w:r>
              <w:rPr>
                <w:rFonts w:ascii="Times New Roman" w:hAnsi="Times New Roman" w:eastAsia="仿宋"/>
                <w:sz w:val="22"/>
                <w:szCs w:val="22"/>
                <w:lang w:bidi="ar"/>
              </w:rPr>
              <w:t>有效</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通用标准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考察实施单位</w:t>
            </w:r>
            <w:r>
              <w:rPr>
                <w:rFonts w:hint="eastAsia" w:ascii="Times New Roman" w:hAnsi="Times New Roman" w:eastAsia="仿宋"/>
                <w:sz w:val="22"/>
                <w:szCs w:val="22"/>
                <w:lang w:bidi="ar"/>
              </w:rPr>
              <w:t>①是否遵守相关法律法规和相关管理规定；</w:t>
            </w:r>
            <w:r>
              <w:rPr>
                <w:rFonts w:hint="eastAsia" w:ascii="Times New Roman" w:hAnsi="Times New Roman" w:eastAsia="仿宋"/>
                <w:sz w:val="22"/>
                <w:szCs w:val="22"/>
                <w:lang w:bidi="ar"/>
              </w:rPr>
              <w:br w:type="textWrapping"/>
            </w:r>
            <w:r>
              <w:rPr>
                <w:rFonts w:hint="eastAsia" w:ascii="Times New Roman" w:hAnsi="Times New Roman" w:eastAsia="仿宋"/>
                <w:sz w:val="22"/>
                <w:szCs w:val="22"/>
                <w:lang w:bidi="ar"/>
              </w:rPr>
              <w:t>②项目调整及支出调整手续是否完备；</w:t>
            </w:r>
            <w:r>
              <w:rPr>
                <w:rFonts w:hint="eastAsia" w:ascii="Times New Roman" w:hAnsi="Times New Roman" w:eastAsia="仿宋"/>
                <w:sz w:val="22"/>
                <w:szCs w:val="22"/>
                <w:lang w:bidi="ar"/>
              </w:rPr>
              <w:br w:type="textWrapping"/>
            </w:r>
            <w:r>
              <w:rPr>
                <w:rFonts w:hint="eastAsia" w:ascii="Times New Roman" w:hAnsi="Times New Roman" w:eastAsia="仿宋"/>
                <w:sz w:val="22"/>
                <w:szCs w:val="22"/>
                <w:lang w:bidi="ar"/>
              </w:rPr>
              <w:t>③项目合同书、验收报告、技术鉴定等资料是否齐全并及时归档；</w:t>
            </w:r>
            <w:r>
              <w:rPr>
                <w:rFonts w:hint="eastAsia" w:ascii="Times New Roman" w:hAnsi="Times New Roman" w:eastAsia="仿宋"/>
                <w:sz w:val="22"/>
                <w:szCs w:val="22"/>
                <w:lang w:bidi="ar"/>
              </w:rPr>
              <w:br w:type="textWrapping"/>
            </w:r>
            <w:r>
              <w:rPr>
                <w:rFonts w:hint="eastAsia" w:ascii="Times New Roman" w:hAnsi="Times New Roman" w:eastAsia="仿宋"/>
                <w:sz w:val="22"/>
                <w:szCs w:val="22"/>
                <w:lang w:bidi="ar"/>
              </w:rPr>
              <w:t>④项目实施的人员条件、场地设备、信息支撑等是否落实到位。</w:t>
            </w:r>
            <w:r>
              <w:rPr>
                <w:rFonts w:ascii="Times New Roman" w:hAnsi="Times New Roman" w:eastAsia="仿宋"/>
                <w:sz w:val="22"/>
                <w:szCs w:val="22"/>
                <w:lang w:bidi="ar"/>
              </w:rPr>
              <w:t>以上</w:t>
            </w:r>
            <w:r>
              <w:rPr>
                <w:rFonts w:hint="eastAsia" w:ascii="Times New Roman" w:hAnsi="Times New Roman" w:eastAsia="仿宋"/>
                <w:sz w:val="22"/>
                <w:szCs w:val="22"/>
                <w:lang w:bidi="ar"/>
              </w:rPr>
              <w:t>四</w:t>
            </w:r>
            <w:r>
              <w:rPr>
                <w:rFonts w:ascii="Times New Roman" w:hAnsi="Times New Roman" w:eastAsia="仿宋"/>
                <w:sz w:val="22"/>
                <w:szCs w:val="22"/>
                <w:lang w:bidi="ar"/>
              </w:rPr>
              <w:t>项各占</w:t>
            </w:r>
            <w:r>
              <w:rPr>
                <w:rFonts w:hint="eastAsia" w:ascii="Times New Roman" w:hAnsi="Times New Roman" w:eastAsia="仿宋"/>
                <w:sz w:val="22"/>
                <w:szCs w:val="22"/>
                <w:lang w:bidi="ar"/>
              </w:rPr>
              <w:t>25</w:t>
            </w:r>
            <w:r>
              <w:rPr>
                <w:rFonts w:ascii="Times New Roman" w:hAnsi="Times New Roman" w:eastAsia="仿宋"/>
                <w:sz w:val="22"/>
                <w:szCs w:val="22"/>
                <w:lang w:bidi="ar"/>
              </w:rPr>
              <w:t>%的权重分，满足则得分，否则扣除对应权重分。</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szCs w:val="22"/>
                <w:lang w:bidi="ar"/>
              </w:rPr>
              <w:t>项目在执行过程中，管理制度得到了全面、有效</w:t>
            </w:r>
            <w:r>
              <w:rPr>
                <w:rFonts w:hint="eastAsia" w:ascii="Times New Roman" w:hAnsi="Times New Roman" w:eastAsia="仿宋"/>
                <w:sz w:val="22"/>
                <w:szCs w:val="22"/>
                <w:lang w:bidi="ar"/>
              </w:rPr>
              <w:t>地</w:t>
            </w:r>
            <w:r>
              <w:rPr>
                <w:rFonts w:ascii="Times New Roman" w:hAnsi="Times New Roman" w:eastAsia="仿宋"/>
                <w:sz w:val="22"/>
                <w:szCs w:val="22"/>
                <w:lang w:bidi="ar"/>
              </w:rPr>
              <w:t>落实，为确保项目的顺利实施与目标实现提供了坚实的保障。项目单位重视制度执行的重要性，通过明确责任分工、制定详细执行计划、加强监督考核等措施，确保了各项管理制度能够得到</w:t>
            </w:r>
            <w:r>
              <w:rPr>
                <w:rFonts w:hint="eastAsia" w:ascii="Times New Roman" w:hAnsi="Times New Roman" w:eastAsia="仿宋"/>
                <w:sz w:val="22"/>
                <w:szCs w:val="22"/>
                <w:lang w:bidi="ar"/>
              </w:rPr>
              <w:t>有效执行，</w:t>
            </w:r>
            <w:r>
              <w:rPr>
                <w:rFonts w:ascii="Times New Roman" w:hAnsi="Times New Roman" w:eastAsia="仿宋"/>
                <w:sz w:val="22"/>
                <w:szCs w:val="22"/>
                <w:lang w:bidi="ar"/>
              </w:rPr>
              <w:t>在具体执行过程中，项目团队成员严格按照制度要求进行操作。</w:t>
            </w:r>
            <w:r>
              <w:rPr>
                <w:rFonts w:hint="eastAsia" w:ascii="Times New Roman" w:hAnsi="Times New Roman" w:eastAsia="仿宋"/>
                <w:sz w:val="22"/>
                <w:szCs w:val="22"/>
                <w:lang w:bidi="ar"/>
              </w:rPr>
              <w:t>得5分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rPr>
              <w:t>5</w:t>
            </w:r>
          </w:p>
        </w:tc>
        <w:tc>
          <w:tcPr>
            <w:tcW w:w="90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rPr>
              <w:t>100%</w:t>
            </w:r>
          </w:p>
        </w:tc>
      </w:tr>
      <w:tr>
        <w:tblPrEx>
          <w:tblCellMar>
            <w:top w:w="40" w:type="dxa"/>
            <w:left w:w="64" w:type="dxa"/>
            <w:bottom w:w="40" w:type="dxa"/>
            <w:right w:w="64" w:type="dxa"/>
          </w:tblCellMar>
        </w:tblPrEx>
        <w:trPr>
          <w:trHeight w:val="0" w:hRule="atLeast"/>
          <w:jc w:val="center"/>
        </w:trPr>
        <w:tc>
          <w:tcPr>
            <w:tcW w:w="888" w:type="dxa"/>
            <w:vMerge w:val="restart"/>
            <w:tcBorders>
              <w:left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C 项目</w:t>
            </w:r>
            <w:r>
              <w:rPr>
                <w:rFonts w:hint="eastAsia" w:ascii="Times New Roman" w:hAnsi="Times New Roman" w:eastAsia="仿宋"/>
                <w:sz w:val="22"/>
                <w:szCs w:val="22"/>
                <w:lang w:bidi="ar"/>
              </w:rPr>
              <w:t>产出</w:t>
            </w:r>
            <w:r>
              <w:rPr>
                <w:rFonts w:ascii="Times New Roman" w:hAnsi="Times New Roman" w:eastAsia="仿宋"/>
                <w:sz w:val="22"/>
                <w:szCs w:val="22"/>
                <w:lang w:bidi="ar"/>
              </w:rPr>
              <w:t>（</w:t>
            </w:r>
            <w:r>
              <w:rPr>
                <w:rFonts w:hint="eastAsia" w:ascii="Times New Roman" w:hAnsi="Times New Roman" w:eastAsia="仿宋"/>
                <w:sz w:val="22"/>
                <w:szCs w:val="22"/>
                <w:lang w:bidi="ar"/>
              </w:rPr>
              <w:t>40</w:t>
            </w:r>
            <w:r>
              <w:rPr>
                <w:rFonts w:ascii="Times New Roman" w:hAnsi="Times New Roman" w:eastAsia="仿宋"/>
                <w:sz w:val="22"/>
                <w:szCs w:val="22"/>
                <w:lang w:bidi="ar"/>
              </w:rPr>
              <w:t>）</w:t>
            </w:r>
          </w:p>
        </w:tc>
        <w:tc>
          <w:tcPr>
            <w:tcW w:w="897" w:type="dxa"/>
            <w:tcBorders>
              <w:top w:val="single" w:color="auto" w:sz="4" w:space="0"/>
              <w:left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C1产出数量</w:t>
            </w:r>
            <w:r>
              <w:rPr>
                <w:rFonts w:ascii="Times New Roman" w:hAnsi="Times New Roman" w:eastAsia="仿宋"/>
                <w:sz w:val="22"/>
                <w:szCs w:val="22"/>
                <w:lang w:bidi="ar"/>
              </w:rPr>
              <w:t>（</w:t>
            </w:r>
            <w:r>
              <w:rPr>
                <w:rFonts w:hint="eastAsia" w:ascii="Times New Roman" w:hAnsi="Times New Roman" w:eastAsia="仿宋"/>
                <w:sz w:val="22"/>
                <w:szCs w:val="22"/>
                <w:lang w:bidi="ar"/>
              </w:rPr>
              <w:t>10</w:t>
            </w:r>
            <w:r>
              <w:rPr>
                <w:rFonts w:ascii="Times New Roman" w:hAnsi="Times New Roman" w:eastAsia="仿宋"/>
                <w:sz w:val="22"/>
                <w:szCs w:val="22"/>
                <w:lang w:bidi="ar"/>
              </w:rPr>
              <w:t>）</w:t>
            </w:r>
          </w:p>
        </w:tc>
        <w:tc>
          <w:tcPr>
            <w:tcW w:w="1490" w:type="dxa"/>
            <w:tcBorders>
              <w:top w:val="single" w:color="auto" w:sz="4" w:space="0"/>
              <w:left w:val="single" w:color="auto" w:sz="4" w:space="0"/>
              <w:bottom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C101园舍维修工程完成数量（个）</w:t>
            </w:r>
          </w:p>
        </w:tc>
        <w:tc>
          <w:tcPr>
            <w:tcW w:w="688" w:type="dxa"/>
            <w:tcBorders>
              <w:top w:val="single" w:color="000000" w:sz="4" w:space="0"/>
              <w:left w:val="single" w:color="auto" w:sz="4" w:space="0"/>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cs="仿宋"/>
                <w:color w:val="000000"/>
                <w:sz w:val="22"/>
              </w:rPr>
            </w:pPr>
            <w:r>
              <w:rPr>
                <w:rFonts w:hint="eastAsia" w:ascii="Times New Roman" w:hAnsi="Times New Roman" w:eastAsia="仿宋" w:cs="仿宋"/>
                <w:color w:val="000000"/>
                <w:sz w:val="22"/>
                <w:lang w:bidi="ar"/>
              </w:rPr>
              <w:t>10</w:t>
            </w:r>
          </w:p>
        </w:tc>
        <w:tc>
          <w:tcPr>
            <w:tcW w:w="231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cs="仿宋"/>
                <w:color w:val="000000"/>
                <w:sz w:val="22"/>
              </w:rPr>
            </w:pPr>
            <w:r>
              <w:rPr>
                <w:rFonts w:hint="eastAsia" w:ascii="Times New Roman" w:hAnsi="Times New Roman" w:eastAsia="仿宋" w:cs="仿宋"/>
                <w:color w:val="000000"/>
                <w:sz w:val="22"/>
                <w:lang w:bidi="ar"/>
              </w:rPr>
              <w:t>考察项目建设完成数量</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cs="仿宋"/>
                <w:color w:val="000000"/>
                <w:sz w:val="22"/>
              </w:rPr>
            </w:pPr>
            <w:r>
              <w:rPr>
                <w:rFonts w:hint="eastAsia" w:ascii="Times New Roman" w:hAnsi="Times New Roman" w:eastAsia="仿宋" w:cs="仿宋"/>
                <w:color w:val="000000"/>
                <w:sz w:val="22"/>
                <w:lang w:bidi="ar"/>
              </w:rPr>
              <w:t>=1个</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cs="仿宋"/>
                <w:color w:val="000000"/>
                <w:sz w:val="22"/>
              </w:rPr>
            </w:pPr>
            <w:r>
              <w:rPr>
                <w:rFonts w:hint="eastAsia" w:ascii="Times New Roman" w:hAnsi="Times New Roman" w:eastAsia="仿宋" w:cs="仿宋"/>
                <w:color w:val="000000"/>
                <w:sz w:val="22"/>
                <w:lang w:bidi="ar"/>
              </w:rPr>
              <w:t>计划标准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cs="仿宋"/>
                <w:color w:val="000000"/>
                <w:sz w:val="22"/>
                <w:lang w:bidi="ar"/>
              </w:rPr>
              <w:t>根据项目实际完成情况与初设批复情况对比，达到目标值得满分，未达到不得分。</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cs="仿宋"/>
                <w:color w:val="000000"/>
                <w:sz w:val="22"/>
                <w:lang w:bidi="ar"/>
              </w:rPr>
              <w:t>根据实际完成情况与初设批复情况对比，该项目全部完成验收，得10分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rPr>
              <w:t>10</w:t>
            </w:r>
          </w:p>
        </w:tc>
        <w:tc>
          <w:tcPr>
            <w:tcW w:w="90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rPr>
              <w:t>100%</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p>
        </w:tc>
        <w:tc>
          <w:tcPr>
            <w:tcW w:w="897" w:type="dxa"/>
            <w:tcBorders>
              <w:top w:val="single" w:color="auto" w:sz="4" w:space="0"/>
              <w:left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C2产出质量</w:t>
            </w:r>
            <w:r>
              <w:rPr>
                <w:rFonts w:ascii="Times New Roman" w:hAnsi="Times New Roman" w:eastAsia="仿宋"/>
                <w:sz w:val="22"/>
                <w:szCs w:val="22"/>
                <w:lang w:bidi="ar"/>
              </w:rPr>
              <w:t>（</w:t>
            </w:r>
            <w:r>
              <w:rPr>
                <w:rFonts w:hint="eastAsia" w:ascii="Times New Roman" w:hAnsi="Times New Roman" w:eastAsia="仿宋"/>
                <w:sz w:val="22"/>
                <w:szCs w:val="22"/>
                <w:lang w:bidi="ar"/>
              </w:rPr>
              <w:t>10</w:t>
            </w:r>
            <w:r>
              <w:rPr>
                <w:rFonts w:ascii="Times New Roman" w:hAnsi="Times New Roman" w:eastAsia="仿宋"/>
                <w:sz w:val="22"/>
                <w:szCs w:val="22"/>
                <w:lang w:bidi="ar"/>
              </w:rPr>
              <w:t>）</w:t>
            </w:r>
          </w:p>
        </w:tc>
        <w:tc>
          <w:tcPr>
            <w:tcW w:w="1490" w:type="dxa"/>
            <w:tcBorders>
              <w:top w:val="single" w:color="auto" w:sz="4" w:space="0"/>
              <w:left w:val="single" w:color="auto" w:sz="4" w:space="0"/>
              <w:bottom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C201工程完工验收合格率（%）</w:t>
            </w:r>
          </w:p>
        </w:tc>
        <w:tc>
          <w:tcPr>
            <w:tcW w:w="688" w:type="dxa"/>
            <w:tcBorders>
              <w:top w:val="single" w:color="000000" w:sz="4" w:space="0"/>
              <w:left w:val="single" w:color="auto" w:sz="4" w:space="0"/>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10</w:t>
            </w:r>
          </w:p>
        </w:tc>
        <w:tc>
          <w:tcPr>
            <w:tcW w:w="231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考察项目是否按时完成并验收</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=100%</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计划标准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根据项目实际完成情况与验收程序是否达到标准，达到目标值得满分，未达到不得分。</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根据查阅实际完成情况与验收资料，此项目验收符合标准，得10分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10</w:t>
            </w:r>
          </w:p>
        </w:tc>
        <w:tc>
          <w:tcPr>
            <w:tcW w:w="90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100%</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p>
        </w:tc>
        <w:tc>
          <w:tcPr>
            <w:tcW w:w="897" w:type="dxa"/>
            <w:vMerge w:val="restart"/>
            <w:tcBorders>
              <w:top w:val="single" w:color="auto" w:sz="4" w:space="0"/>
              <w:left w:val="single" w:color="auto" w:sz="4" w:space="0"/>
              <w:right w:val="single" w:color="auto"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C3产出时效</w:t>
            </w:r>
            <w:r>
              <w:rPr>
                <w:rFonts w:ascii="Times New Roman" w:hAnsi="Times New Roman" w:eastAsia="仿宋"/>
                <w:sz w:val="22"/>
                <w:szCs w:val="22"/>
                <w:lang w:bidi="ar"/>
              </w:rPr>
              <w:t>（</w:t>
            </w:r>
            <w:r>
              <w:rPr>
                <w:rFonts w:hint="eastAsia" w:ascii="Times New Roman" w:hAnsi="Times New Roman" w:eastAsia="仿宋"/>
                <w:sz w:val="22"/>
                <w:szCs w:val="22"/>
                <w:lang w:bidi="ar"/>
              </w:rPr>
              <w:t>10</w:t>
            </w:r>
            <w:r>
              <w:rPr>
                <w:rFonts w:ascii="Times New Roman" w:hAnsi="Times New Roman" w:eastAsia="仿宋"/>
                <w:sz w:val="22"/>
                <w:szCs w:val="22"/>
                <w:lang w:bidi="ar"/>
              </w:rPr>
              <w:t>）</w:t>
            </w:r>
          </w:p>
        </w:tc>
        <w:tc>
          <w:tcPr>
            <w:tcW w:w="14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
                <w:sz w:val="22"/>
                <w:szCs w:val="22"/>
              </w:rPr>
            </w:pPr>
            <w:r>
              <w:rPr>
                <w:rStyle w:val="21"/>
                <w:rFonts w:hint="eastAsia" w:ascii="Times New Roman" w:eastAsia="仿宋"/>
                <w:color w:val="auto"/>
                <w:sz w:val="22"/>
              </w:rPr>
              <w:t>C301资金支付及时率（%）</w:t>
            </w:r>
          </w:p>
        </w:tc>
        <w:tc>
          <w:tcPr>
            <w:tcW w:w="688" w:type="dxa"/>
            <w:tcBorders>
              <w:top w:val="single" w:color="000000" w:sz="4" w:space="0"/>
              <w:left w:val="single" w:color="auto" w:sz="4" w:space="0"/>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5</w:t>
            </w:r>
          </w:p>
        </w:tc>
        <w:tc>
          <w:tcPr>
            <w:tcW w:w="231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考察项目资金支付实际完成时间与计划完成时间的比较，用以反映和考核项目完成时效目标的实现程度。</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=100%</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计划标准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宋体" w:eastAsia="仿宋" w:cs="仿宋_GB2312"/>
                <w:color w:val="000000"/>
                <w:sz w:val="22"/>
                <w:szCs w:val="22"/>
              </w:rPr>
              <w:t>考察项目是否按计划完工并且支付资金，晚于计划完成日期支付资金一个月扣除10%的权重分，扣完为止。</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宋体" w:eastAsia="仿宋" w:cs="仿宋_GB2312"/>
                <w:color w:val="000000"/>
                <w:sz w:val="22"/>
                <w:szCs w:val="22"/>
              </w:rPr>
              <w:t>查证单位财务资料该项目已按照计划完工并完成验收，资金合同规定及时支付，得分5分。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5</w:t>
            </w:r>
          </w:p>
        </w:tc>
        <w:tc>
          <w:tcPr>
            <w:tcW w:w="90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100%</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p>
        </w:tc>
        <w:tc>
          <w:tcPr>
            <w:tcW w:w="897" w:type="dxa"/>
            <w:vMerge w:val="continue"/>
            <w:tcBorders>
              <w:left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p>
        </w:tc>
        <w:tc>
          <w:tcPr>
            <w:tcW w:w="149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C302项目完成时间（年/月/日）</w:t>
            </w:r>
          </w:p>
        </w:tc>
        <w:tc>
          <w:tcPr>
            <w:tcW w:w="688" w:type="dxa"/>
            <w:tcBorders>
              <w:top w:val="single" w:color="000000" w:sz="4" w:space="0"/>
              <w:left w:val="single" w:color="auto" w:sz="4" w:space="0"/>
              <w:bottom w:val="single" w:color="000000" w:sz="4" w:space="0"/>
              <w:right w:val="single" w:color="000000" w:sz="4" w:space="0"/>
            </w:tcBorders>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5</w:t>
            </w:r>
          </w:p>
        </w:tc>
        <w:tc>
          <w:tcPr>
            <w:tcW w:w="2319" w:type="dxa"/>
            <w:tcBorders>
              <w:top w:val="single" w:color="000000" w:sz="4" w:space="0"/>
              <w:left w:val="nil"/>
              <w:bottom w:val="single" w:color="000000" w:sz="4" w:space="0"/>
              <w:right w:val="single" w:color="000000" w:sz="4" w:space="0"/>
            </w:tcBorders>
            <w:vAlign w:val="center"/>
          </w:tcPr>
          <w:p>
            <w:pPr>
              <w:snapToGrid w:val="0"/>
              <w:jc w:val="right"/>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考察项目计划完成时间与</w:t>
            </w:r>
            <w:r>
              <w:rPr>
                <w:rFonts w:hint="eastAsia" w:ascii="Times New Roman" w:hAnsi="宋体" w:eastAsia="仿宋" w:cs="仿宋_GB2312"/>
                <w:color w:val="000000"/>
                <w:sz w:val="22"/>
                <w:szCs w:val="22"/>
                <w:lang w:eastAsia="zh-CN"/>
              </w:rPr>
              <w:t>实际</w:t>
            </w:r>
            <w:r>
              <w:rPr>
                <w:rFonts w:hint="eastAsia" w:ascii="Times New Roman" w:hAnsi="宋体" w:eastAsia="仿宋" w:cs="仿宋_GB2312"/>
                <w:color w:val="000000"/>
                <w:sz w:val="22"/>
                <w:szCs w:val="22"/>
              </w:rPr>
              <w:t>完成时间的比较，反映项目的执行程度</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2024年12月20日前</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hint="eastAsia" w:ascii="Times New Roman" w:hAnsi="Times New Roman" w:eastAsia="仿宋"/>
                <w:sz w:val="22"/>
                <w:szCs w:val="22"/>
                <w:lang w:bidi="ar"/>
              </w:rPr>
              <w:t>计划标准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宋体" w:eastAsia="仿宋" w:cs="仿宋_GB2312"/>
                <w:color w:val="000000"/>
                <w:sz w:val="22"/>
                <w:szCs w:val="22"/>
              </w:rPr>
              <w:t>考察项目是否按计划完工，晚于计划完成日期一个月扣除10%的权重分，扣完为止。</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查阅项目验收资料该项目按计划完工并验收，得5分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5</w:t>
            </w:r>
          </w:p>
        </w:tc>
        <w:tc>
          <w:tcPr>
            <w:tcW w:w="90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100%</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p>
        </w:tc>
        <w:tc>
          <w:tcPr>
            <w:tcW w:w="897" w:type="dxa"/>
            <w:tcBorders>
              <w:top w:val="single" w:color="auto" w:sz="4" w:space="0"/>
              <w:left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C4产出成本</w:t>
            </w:r>
            <w:r>
              <w:rPr>
                <w:rFonts w:ascii="Times New Roman" w:hAnsi="宋体" w:eastAsia="仿宋" w:cs="仿宋_GB2312"/>
                <w:color w:val="000000"/>
                <w:sz w:val="22"/>
                <w:szCs w:val="22"/>
              </w:rPr>
              <w:t>（</w:t>
            </w:r>
            <w:r>
              <w:rPr>
                <w:rFonts w:hint="eastAsia" w:ascii="Times New Roman" w:hAnsi="宋体" w:eastAsia="仿宋" w:cs="仿宋_GB2312"/>
                <w:color w:val="000000"/>
                <w:sz w:val="22"/>
                <w:szCs w:val="22"/>
              </w:rPr>
              <w:t>10</w:t>
            </w:r>
            <w:r>
              <w:rPr>
                <w:rFonts w:ascii="Times New Roman" w:hAnsi="宋体" w:eastAsia="仿宋" w:cs="仿宋_GB2312"/>
                <w:color w:val="000000"/>
                <w:sz w:val="22"/>
                <w:szCs w:val="22"/>
              </w:rPr>
              <w:t>）</w:t>
            </w:r>
          </w:p>
        </w:tc>
        <w:tc>
          <w:tcPr>
            <w:tcW w:w="149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C401园舍维修支出（万元）</w:t>
            </w:r>
          </w:p>
        </w:tc>
        <w:tc>
          <w:tcPr>
            <w:tcW w:w="688" w:type="dxa"/>
            <w:tcBorders>
              <w:top w:val="single" w:color="000000" w:sz="4" w:space="0"/>
              <w:left w:val="single" w:color="auto" w:sz="4" w:space="0"/>
              <w:bottom w:val="single" w:color="000000" w:sz="4" w:space="0"/>
              <w:right w:val="single" w:color="000000" w:sz="4" w:space="0"/>
            </w:tcBorders>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10</w:t>
            </w:r>
          </w:p>
        </w:tc>
        <w:tc>
          <w:tcPr>
            <w:tcW w:w="2319" w:type="dxa"/>
            <w:tcBorders>
              <w:top w:val="single" w:color="000000" w:sz="4" w:space="0"/>
              <w:left w:val="nil"/>
              <w:bottom w:val="single" w:color="000000" w:sz="4" w:space="0"/>
              <w:right w:val="single" w:color="000000" w:sz="4" w:space="0"/>
            </w:tcBorders>
            <w:vAlign w:val="center"/>
          </w:tcPr>
          <w:p>
            <w:pPr>
              <w:snapToGrid w:val="0"/>
              <w:jc w:val="right"/>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考察项目成本</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rPr>
              <w:t>&lt;=6</w:t>
            </w:r>
            <w:r>
              <w:rPr>
                <w:rFonts w:hint="eastAsia" w:ascii="Times New Roman" w:hAnsi="Times New Roman" w:eastAsia="仿宋"/>
                <w:sz w:val="22"/>
              </w:rPr>
              <w:t>6</w:t>
            </w:r>
            <w:r>
              <w:rPr>
                <w:rFonts w:ascii="Times New Roman" w:hAnsi="Times New Roman" w:eastAsia="仿宋"/>
                <w:sz w:val="22"/>
              </w:rPr>
              <w:t>万元</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预算支出标准</w:t>
            </w:r>
          </w:p>
        </w:tc>
        <w:tc>
          <w:tcPr>
            <w:tcW w:w="2938" w:type="dxa"/>
            <w:tcBorders>
              <w:top w:val="single" w:color="000000" w:sz="4" w:space="0"/>
              <w:left w:val="nil"/>
              <w:bottom w:val="single" w:color="000000" w:sz="4" w:space="0"/>
              <w:right w:val="single" w:color="000000" w:sz="4" w:space="0"/>
            </w:tcBorders>
            <w:shd w:val="clear" w:color="auto" w:fill="auto"/>
            <w:vAlign w:val="center"/>
          </w:tcPr>
          <w:p>
            <w:pPr>
              <w:snapToGrid w:val="0"/>
              <w:jc w:val="left"/>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考察项目成本有没有高于平均市场成本，是否节约成本，成本如虚高该项不得分</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宋体" w:eastAsia="仿宋" w:cs="仿宋_GB2312"/>
                <w:color w:val="000000"/>
                <w:sz w:val="22"/>
                <w:szCs w:val="22"/>
              </w:rPr>
              <w:t>查证单位财务资料该项目成本符合标准，并按时支付66万元，得10分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10</w:t>
            </w:r>
          </w:p>
        </w:tc>
        <w:tc>
          <w:tcPr>
            <w:tcW w:w="90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100%</w:t>
            </w:r>
          </w:p>
        </w:tc>
      </w:tr>
      <w:tr>
        <w:tblPrEx>
          <w:tblCellMar>
            <w:top w:w="40" w:type="dxa"/>
            <w:left w:w="64" w:type="dxa"/>
            <w:bottom w:w="40" w:type="dxa"/>
            <w:right w:w="64" w:type="dxa"/>
          </w:tblCellMar>
        </w:tblPrEx>
        <w:trPr>
          <w:trHeight w:val="0" w:hRule="atLeast"/>
          <w:jc w:val="center"/>
        </w:trPr>
        <w:tc>
          <w:tcPr>
            <w:tcW w:w="888" w:type="dxa"/>
            <w:vMerge w:val="restart"/>
            <w:tcBorders>
              <w:left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r>
              <w:rPr>
                <w:rFonts w:ascii="Times New Roman" w:hAnsi="宋体" w:eastAsia="仿宋" w:cs="仿宋_GB2312"/>
                <w:color w:val="000000"/>
                <w:sz w:val="22"/>
                <w:szCs w:val="22"/>
              </w:rPr>
              <w:t>D 项目</w:t>
            </w:r>
            <w:r>
              <w:rPr>
                <w:rFonts w:hint="eastAsia" w:ascii="Times New Roman" w:hAnsi="宋体" w:eastAsia="仿宋" w:cs="仿宋_GB2312"/>
                <w:color w:val="000000"/>
                <w:sz w:val="22"/>
                <w:szCs w:val="22"/>
              </w:rPr>
              <w:t>效益</w:t>
            </w:r>
            <w:r>
              <w:rPr>
                <w:rFonts w:ascii="Times New Roman" w:hAnsi="宋体" w:eastAsia="仿宋" w:cs="仿宋_GB2312"/>
                <w:color w:val="000000"/>
                <w:sz w:val="22"/>
                <w:szCs w:val="22"/>
              </w:rPr>
              <w:t>（</w:t>
            </w:r>
            <w:r>
              <w:rPr>
                <w:rFonts w:hint="eastAsia" w:ascii="Times New Roman" w:hAnsi="宋体" w:eastAsia="仿宋" w:cs="仿宋_GB2312"/>
                <w:color w:val="000000"/>
                <w:sz w:val="22"/>
                <w:szCs w:val="22"/>
              </w:rPr>
              <w:t>20</w:t>
            </w:r>
            <w:r>
              <w:rPr>
                <w:rFonts w:ascii="Times New Roman" w:hAnsi="宋体" w:eastAsia="仿宋" w:cs="仿宋_GB2312"/>
                <w:color w:val="000000"/>
                <w:sz w:val="22"/>
                <w:szCs w:val="22"/>
              </w:rPr>
              <w:t>）</w:t>
            </w:r>
          </w:p>
        </w:tc>
        <w:tc>
          <w:tcPr>
            <w:tcW w:w="897" w:type="dxa"/>
            <w:tcBorders>
              <w:top w:val="single" w:color="auto" w:sz="4" w:space="0"/>
              <w:left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D1项目效益</w:t>
            </w:r>
            <w:r>
              <w:rPr>
                <w:rFonts w:ascii="Times New Roman" w:hAnsi="宋体" w:eastAsia="仿宋" w:cs="仿宋_GB2312"/>
                <w:color w:val="000000"/>
                <w:sz w:val="22"/>
                <w:szCs w:val="22"/>
              </w:rPr>
              <w:t>（</w:t>
            </w:r>
            <w:r>
              <w:rPr>
                <w:rFonts w:hint="eastAsia" w:ascii="Times New Roman" w:hAnsi="宋体" w:eastAsia="仿宋" w:cs="仿宋_GB2312"/>
                <w:color w:val="000000"/>
                <w:sz w:val="22"/>
                <w:szCs w:val="22"/>
              </w:rPr>
              <w:t>10</w:t>
            </w:r>
            <w:r>
              <w:rPr>
                <w:rFonts w:ascii="Times New Roman" w:hAnsi="宋体" w:eastAsia="仿宋" w:cs="仿宋_GB2312"/>
                <w:color w:val="000000"/>
                <w:sz w:val="22"/>
                <w:szCs w:val="22"/>
              </w:rPr>
              <w:t>）</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D101提高幼儿园园舍环境</w:t>
            </w:r>
          </w:p>
        </w:tc>
        <w:tc>
          <w:tcPr>
            <w:tcW w:w="688" w:type="dxa"/>
            <w:tcBorders>
              <w:top w:val="single" w:color="000000" w:sz="4" w:space="0"/>
              <w:left w:val="single" w:color="auto" w:sz="4" w:space="0"/>
              <w:bottom w:val="single" w:color="000000" w:sz="4" w:space="0"/>
              <w:right w:val="single" w:color="000000" w:sz="4" w:space="0"/>
            </w:tcBorders>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10</w:t>
            </w:r>
          </w:p>
        </w:tc>
        <w:tc>
          <w:tcPr>
            <w:tcW w:w="2319" w:type="dxa"/>
            <w:tcBorders>
              <w:top w:val="single" w:color="000000" w:sz="4" w:space="0"/>
              <w:left w:val="nil"/>
              <w:bottom w:val="single" w:color="000000" w:sz="4" w:space="0"/>
              <w:right w:val="single" w:color="000000" w:sz="4" w:space="0"/>
            </w:tcBorders>
            <w:vAlign w:val="center"/>
          </w:tcPr>
          <w:p>
            <w:pPr>
              <w:snapToGrid w:val="0"/>
              <w:jc w:val="right"/>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考察项目效益</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有效提高</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计划标准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考察项目实施对幼儿园整体教学环境的提高情况</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宋体" w:eastAsia="仿宋" w:cs="仿宋_GB2312"/>
                <w:color w:val="000000"/>
                <w:sz w:val="22"/>
                <w:szCs w:val="22"/>
              </w:rPr>
              <w:t>四项改造从 “硬件安全”“环境舒适”“幼儿适配” 三个核心维度，全面提升了园舍的实用价值和教育支撑能力，得10分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10</w:t>
            </w:r>
          </w:p>
        </w:tc>
        <w:tc>
          <w:tcPr>
            <w:tcW w:w="90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100%</w:t>
            </w:r>
          </w:p>
        </w:tc>
      </w:tr>
      <w:tr>
        <w:tblPrEx>
          <w:tblCellMar>
            <w:top w:w="40" w:type="dxa"/>
            <w:left w:w="64" w:type="dxa"/>
            <w:bottom w:w="40" w:type="dxa"/>
            <w:right w:w="64" w:type="dxa"/>
          </w:tblCellMar>
        </w:tblPrEx>
        <w:trPr>
          <w:trHeight w:val="0" w:hRule="atLeast"/>
          <w:jc w:val="center"/>
        </w:trPr>
        <w:tc>
          <w:tcPr>
            <w:tcW w:w="888" w:type="dxa"/>
            <w:vMerge w:val="continue"/>
            <w:tcBorders>
              <w:left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p>
        </w:tc>
        <w:tc>
          <w:tcPr>
            <w:tcW w:w="897" w:type="dxa"/>
            <w:tcBorders>
              <w:top w:val="single" w:color="auto" w:sz="4" w:space="0"/>
              <w:left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D2满意度</w:t>
            </w:r>
            <w:r>
              <w:rPr>
                <w:rFonts w:ascii="Times New Roman" w:hAnsi="宋体" w:eastAsia="仿宋" w:cs="仿宋_GB2312"/>
                <w:color w:val="000000"/>
                <w:sz w:val="22"/>
                <w:szCs w:val="22"/>
              </w:rPr>
              <w:t>（</w:t>
            </w:r>
            <w:r>
              <w:rPr>
                <w:rFonts w:hint="eastAsia" w:ascii="Times New Roman" w:hAnsi="宋体" w:eastAsia="仿宋" w:cs="仿宋_GB2312"/>
                <w:color w:val="000000"/>
                <w:sz w:val="22"/>
                <w:szCs w:val="22"/>
              </w:rPr>
              <w:t>10</w:t>
            </w:r>
            <w:r>
              <w:rPr>
                <w:rFonts w:ascii="Times New Roman" w:hAnsi="宋体" w:eastAsia="仿宋" w:cs="仿宋_GB2312"/>
                <w:color w:val="000000"/>
                <w:sz w:val="22"/>
                <w:szCs w:val="22"/>
              </w:rPr>
              <w:t>）</w:t>
            </w:r>
          </w:p>
        </w:tc>
        <w:tc>
          <w:tcPr>
            <w:tcW w:w="149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r>
              <w:rPr>
                <w:rStyle w:val="21"/>
                <w:rFonts w:hint="eastAsia" w:ascii="Times New Roman" w:eastAsia="仿宋"/>
                <w:color w:val="auto"/>
                <w:sz w:val="22"/>
              </w:rPr>
              <w:t>D201家长满意度（%）</w:t>
            </w:r>
          </w:p>
        </w:tc>
        <w:tc>
          <w:tcPr>
            <w:tcW w:w="688" w:type="dxa"/>
            <w:tcBorders>
              <w:top w:val="single" w:color="000000" w:sz="4" w:space="0"/>
              <w:left w:val="single" w:color="auto" w:sz="4" w:space="0"/>
              <w:bottom w:val="single" w:color="000000" w:sz="4" w:space="0"/>
              <w:right w:val="single" w:color="000000" w:sz="4" w:space="0"/>
            </w:tcBorders>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10</w:t>
            </w:r>
          </w:p>
        </w:tc>
        <w:tc>
          <w:tcPr>
            <w:tcW w:w="2319" w:type="dxa"/>
            <w:tcBorders>
              <w:top w:val="single" w:color="000000" w:sz="4" w:space="0"/>
              <w:left w:val="nil"/>
              <w:bottom w:val="single" w:color="000000" w:sz="4" w:space="0"/>
              <w:right w:val="single" w:color="000000" w:sz="4" w:space="0"/>
            </w:tcBorders>
            <w:vAlign w:val="center"/>
          </w:tcPr>
          <w:p>
            <w:pPr>
              <w:snapToGrid w:val="0"/>
              <w:jc w:val="right"/>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考察家长满意度情况</w:t>
            </w: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ascii="Times New Roman" w:hAnsi="Times New Roman" w:eastAsia="仿宋"/>
                <w:sz w:val="22"/>
              </w:rPr>
              <w:t>&gt;=95%</w:t>
            </w: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r>
              <w:rPr>
                <w:rFonts w:ascii="Times New Roman" w:hAnsi="Times New Roman" w:eastAsia="仿宋"/>
                <w:sz w:val="22"/>
                <w:szCs w:val="22"/>
                <w:lang w:bidi="ar"/>
              </w:rPr>
              <w:t>计划标准</w:t>
            </w:r>
          </w:p>
        </w:tc>
        <w:tc>
          <w:tcPr>
            <w:tcW w:w="293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宋体" w:eastAsia="仿宋" w:cs="仿宋_GB2312"/>
                <w:color w:val="000000"/>
                <w:sz w:val="22"/>
                <w:szCs w:val="22"/>
              </w:rPr>
              <w:t>考察项目实施家长满意度情况</w:t>
            </w:r>
          </w:p>
        </w:tc>
        <w:tc>
          <w:tcPr>
            <w:tcW w:w="367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宋体" w:eastAsia="仿宋" w:cs="仿宋_GB2312"/>
                <w:color w:val="000000"/>
                <w:sz w:val="22"/>
                <w:szCs w:val="22"/>
              </w:rPr>
              <w:t>调研发放满意度问卷</w:t>
            </w:r>
            <w:r>
              <w:rPr>
                <w:rFonts w:hint="eastAsia" w:ascii="Times New Roman" w:hAnsi="宋体" w:eastAsia="仿宋" w:cs="仿宋_GB2312"/>
                <w:color w:val="000000"/>
                <w:sz w:val="22"/>
                <w:szCs w:val="22"/>
                <w:lang w:val="en-US" w:eastAsia="zh-CN"/>
              </w:rPr>
              <w:t>356</w:t>
            </w:r>
            <w:r>
              <w:rPr>
                <w:rFonts w:hint="eastAsia" w:ascii="Times New Roman" w:hAnsi="宋体" w:eastAsia="仿宋" w:cs="仿宋_GB2312"/>
                <w:color w:val="000000"/>
                <w:sz w:val="22"/>
                <w:szCs w:val="22"/>
              </w:rPr>
              <w:t>份，回收有效问卷</w:t>
            </w:r>
            <w:r>
              <w:rPr>
                <w:rFonts w:hint="eastAsia" w:ascii="Times New Roman" w:hAnsi="宋体" w:eastAsia="仿宋" w:cs="仿宋_GB2312"/>
                <w:color w:val="000000"/>
                <w:sz w:val="22"/>
                <w:szCs w:val="22"/>
                <w:lang w:val="en-US" w:eastAsia="zh-CN"/>
              </w:rPr>
              <w:t>356</w:t>
            </w:r>
            <w:r>
              <w:rPr>
                <w:rFonts w:hint="eastAsia" w:ascii="Times New Roman" w:hAnsi="宋体" w:eastAsia="仿宋" w:cs="仿宋_GB2312"/>
                <w:color w:val="000000"/>
                <w:sz w:val="22"/>
                <w:szCs w:val="22"/>
              </w:rPr>
              <w:t>份，满意度达到100%，得分10分。</w:t>
            </w:r>
          </w:p>
        </w:tc>
        <w:tc>
          <w:tcPr>
            <w:tcW w:w="688"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10</w:t>
            </w:r>
          </w:p>
        </w:tc>
        <w:tc>
          <w:tcPr>
            <w:tcW w:w="909" w:type="dxa"/>
            <w:tcBorders>
              <w:top w:val="single" w:color="000000" w:sz="4" w:space="0"/>
              <w:left w:val="nil"/>
              <w:bottom w:val="single" w:color="000000" w:sz="4" w:space="0"/>
              <w:right w:val="single" w:color="000000"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100%</w:t>
            </w:r>
          </w:p>
        </w:tc>
      </w:tr>
      <w:tr>
        <w:tblPrEx>
          <w:tblCellMar>
            <w:top w:w="40" w:type="dxa"/>
            <w:left w:w="64" w:type="dxa"/>
            <w:bottom w:w="40" w:type="dxa"/>
            <w:right w:w="64" w:type="dxa"/>
          </w:tblCellMar>
        </w:tblPrEx>
        <w:trPr>
          <w:trHeight w:val="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r>
              <w:rPr>
                <w:rFonts w:ascii="Times New Roman" w:hAnsi="宋体" w:eastAsia="仿宋" w:cs="仿宋_GB2312"/>
                <w:color w:val="000000"/>
                <w:sz w:val="22"/>
                <w:szCs w:val="22"/>
              </w:rPr>
              <w:t>总分</w:t>
            </w:r>
          </w:p>
        </w:tc>
        <w:tc>
          <w:tcPr>
            <w:tcW w:w="897"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center"/>
              <w:rPr>
                <w:rFonts w:ascii="Times New Roman" w:hAnsi="宋体" w:eastAsia="仿宋" w:cs="仿宋_GB2312"/>
                <w:color w:val="000000"/>
                <w:sz w:val="22"/>
                <w:szCs w:val="22"/>
              </w:rPr>
            </w:pPr>
            <w:r>
              <w:rPr>
                <w:rFonts w:ascii="Times New Roman" w:hAnsi="宋体" w:eastAsia="仿宋" w:cs="仿宋_GB2312"/>
                <w:color w:val="000000"/>
                <w:sz w:val="22"/>
                <w:szCs w:val="22"/>
              </w:rPr>
              <w:t>100</w:t>
            </w:r>
          </w:p>
        </w:tc>
        <w:tc>
          <w:tcPr>
            <w:tcW w:w="1490" w:type="dxa"/>
            <w:tcBorders>
              <w:top w:val="single" w:color="auto" w:sz="4" w:space="0"/>
              <w:left w:val="single" w:color="auto" w:sz="4" w:space="0"/>
              <w:bottom w:val="single" w:color="auto" w:sz="4" w:space="0"/>
              <w:right w:val="single" w:color="000000" w:sz="4" w:space="0"/>
            </w:tcBorders>
            <w:vAlign w:val="center"/>
          </w:tcPr>
          <w:p>
            <w:pPr>
              <w:snapToGrid w:val="0"/>
              <w:jc w:val="center"/>
              <w:textAlignment w:val="center"/>
              <w:rPr>
                <w:rFonts w:ascii="Times New Roman" w:hAnsi="宋体" w:eastAsia="仿宋" w:cs="仿宋_GB2312"/>
                <w:color w:val="000000"/>
                <w:sz w:val="22"/>
                <w:szCs w:val="22"/>
              </w:rPr>
            </w:pPr>
          </w:p>
        </w:tc>
        <w:tc>
          <w:tcPr>
            <w:tcW w:w="688" w:type="dxa"/>
            <w:tcBorders>
              <w:top w:val="single" w:color="000000" w:sz="4" w:space="0"/>
              <w:left w:val="nil"/>
              <w:bottom w:val="single" w:color="000000" w:sz="4" w:space="0"/>
              <w:right w:val="single" w:color="000000" w:sz="4" w:space="0"/>
            </w:tcBorders>
            <w:vAlign w:val="center"/>
          </w:tcPr>
          <w:p>
            <w:pPr>
              <w:snapToGrid w:val="0"/>
              <w:jc w:val="center"/>
              <w:textAlignment w:val="center"/>
              <w:rPr>
                <w:rFonts w:ascii="Times New Roman" w:hAnsi="宋体" w:eastAsia="仿宋" w:cs="仿宋_GB2312"/>
                <w:color w:val="000000"/>
                <w:sz w:val="22"/>
                <w:szCs w:val="22"/>
              </w:rPr>
            </w:pPr>
            <w:r>
              <w:rPr>
                <w:rFonts w:hint="eastAsia" w:ascii="Times New Roman" w:hAnsi="宋体" w:eastAsia="仿宋" w:cs="仿宋_GB2312"/>
                <w:color w:val="000000"/>
                <w:sz w:val="22"/>
                <w:szCs w:val="22"/>
              </w:rPr>
              <w:t>100</w:t>
            </w:r>
          </w:p>
        </w:tc>
        <w:tc>
          <w:tcPr>
            <w:tcW w:w="2319" w:type="dxa"/>
            <w:tcBorders>
              <w:top w:val="single" w:color="000000" w:sz="4" w:space="0"/>
              <w:left w:val="nil"/>
              <w:bottom w:val="single" w:color="000000" w:sz="4" w:space="0"/>
              <w:right w:val="single" w:color="000000" w:sz="4" w:space="0"/>
            </w:tcBorders>
            <w:vAlign w:val="center"/>
          </w:tcPr>
          <w:p>
            <w:pPr>
              <w:snapToGrid w:val="0"/>
              <w:jc w:val="right"/>
              <w:textAlignment w:val="center"/>
              <w:rPr>
                <w:rFonts w:ascii="Times New Roman" w:hAnsi="宋体" w:eastAsia="仿宋" w:cs="仿宋_GB2312"/>
                <w:color w:val="000000"/>
                <w:sz w:val="22"/>
                <w:szCs w:val="22"/>
              </w:rPr>
            </w:pPr>
          </w:p>
        </w:tc>
        <w:tc>
          <w:tcPr>
            <w:tcW w:w="899" w:type="dxa"/>
            <w:tcBorders>
              <w:top w:val="single" w:color="000000" w:sz="4" w:space="0"/>
              <w:left w:val="nil"/>
              <w:bottom w:val="single" w:color="000000" w:sz="4" w:space="0"/>
              <w:right w:val="single" w:color="000000" w:sz="4" w:space="0"/>
            </w:tcBorders>
            <w:vAlign w:val="center"/>
          </w:tcPr>
          <w:p>
            <w:pPr>
              <w:autoSpaceDE w:val="0"/>
              <w:snapToGrid w:val="0"/>
              <w:jc w:val="left"/>
              <w:textAlignment w:val="center"/>
              <w:rPr>
                <w:rFonts w:ascii="Times New Roman" w:hAnsi="Times New Roman" w:eastAsia="仿宋"/>
                <w:sz w:val="22"/>
                <w:szCs w:val="22"/>
              </w:rPr>
            </w:pPr>
          </w:p>
        </w:tc>
        <w:tc>
          <w:tcPr>
            <w:tcW w:w="443" w:type="dxa"/>
            <w:tcBorders>
              <w:top w:val="single" w:color="000000" w:sz="4" w:space="0"/>
              <w:left w:val="nil"/>
              <w:bottom w:val="single" w:color="000000" w:sz="4" w:space="0"/>
              <w:right w:val="single" w:color="000000" w:sz="4" w:space="0"/>
            </w:tcBorders>
            <w:vAlign w:val="center"/>
          </w:tcPr>
          <w:p>
            <w:pPr>
              <w:autoSpaceDE w:val="0"/>
              <w:snapToGrid w:val="0"/>
              <w:jc w:val="center"/>
              <w:textAlignment w:val="center"/>
              <w:rPr>
                <w:rFonts w:ascii="Times New Roman" w:hAnsi="Times New Roman" w:eastAsia="仿宋"/>
                <w:sz w:val="22"/>
                <w:szCs w:val="22"/>
              </w:rPr>
            </w:pPr>
          </w:p>
        </w:tc>
        <w:tc>
          <w:tcPr>
            <w:tcW w:w="2938" w:type="dxa"/>
            <w:tcBorders>
              <w:top w:val="single" w:color="000000" w:sz="4" w:space="0"/>
              <w:left w:val="nil"/>
              <w:bottom w:val="single" w:color="000000" w:sz="4" w:space="0"/>
              <w:right w:val="single" w:color="auto" w:sz="4" w:space="0"/>
            </w:tcBorders>
            <w:vAlign w:val="center"/>
          </w:tcPr>
          <w:p>
            <w:pPr>
              <w:autoSpaceDE w:val="0"/>
              <w:snapToGrid w:val="0"/>
              <w:jc w:val="left"/>
              <w:textAlignment w:val="center"/>
              <w:rPr>
                <w:rFonts w:ascii="Times New Roman" w:hAnsi="Times New Roman" w:eastAsia="仿宋"/>
                <w:sz w:val="22"/>
                <w:szCs w:val="22"/>
              </w:rPr>
            </w:pPr>
          </w:p>
        </w:tc>
        <w:tc>
          <w:tcPr>
            <w:tcW w:w="3679" w:type="dxa"/>
            <w:tcBorders>
              <w:top w:val="single" w:color="auto" w:sz="4" w:space="0"/>
              <w:left w:val="single" w:color="auto" w:sz="4" w:space="0"/>
              <w:bottom w:val="single" w:color="auto" w:sz="4" w:space="0"/>
              <w:right w:val="single" w:color="auto" w:sz="4" w:space="0"/>
            </w:tcBorders>
            <w:vAlign w:val="center"/>
          </w:tcPr>
          <w:p>
            <w:pPr>
              <w:autoSpaceDE w:val="0"/>
              <w:snapToGrid w:val="0"/>
              <w:jc w:val="left"/>
              <w:textAlignment w:val="center"/>
              <w:rPr>
                <w:rFonts w:ascii="Times New Roman" w:hAnsi="Times New Roman" w:eastAsia="仿宋"/>
                <w:sz w:val="22"/>
                <w:szCs w:val="22"/>
              </w:rPr>
            </w:pPr>
          </w:p>
        </w:tc>
        <w:tc>
          <w:tcPr>
            <w:tcW w:w="688" w:type="dxa"/>
            <w:tcBorders>
              <w:top w:val="single" w:color="auto" w:sz="4" w:space="0"/>
              <w:left w:val="single" w:color="auto" w:sz="4" w:space="0"/>
              <w:bottom w:val="single" w:color="auto" w:sz="4" w:space="0"/>
              <w:right w:val="single" w:color="auto" w:sz="4" w:space="0"/>
            </w:tcBorders>
            <w:vAlign w:val="center"/>
          </w:tcPr>
          <w:p>
            <w:pPr>
              <w:autoSpaceDE w:val="0"/>
              <w:snapToGrid w:val="0"/>
              <w:jc w:val="left"/>
              <w:textAlignment w:val="center"/>
              <w:rPr>
                <w:rFonts w:ascii="Times New Roman" w:hAnsi="Times New Roman" w:eastAsia="仿宋"/>
                <w:sz w:val="22"/>
                <w:szCs w:val="22"/>
              </w:rPr>
            </w:pPr>
            <w:r>
              <w:rPr>
                <w:rFonts w:hint="eastAsia" w:ascii="Times New Roman" w:hAnsi="Times New Roman" w:eastAsia="仿宋"/>
                <w:sz w:val="22"/>
                <w:szCs w:val="22"/>
                <w:lang w:bidi="ar"/>
              </w:rPr>
              <w:t>100</w:t>
            </w:r>
          </w:p>
        </w:tc>
        <w:tc>
          <w:tcPr>
            <w:tcW w:w="909" w:type="dxa"/>
            <w:tcBorders>
              <w:top w:val="single" w:color="auto" w:sz="4" w:space="0"/>
              <w:left w:val="single" w:color="auto" w:sz="4" w:space="0"/>
              <w:bottom w:val="single" w:color="auto" w:sz="4" w:space="0"/>
              <w:right w:val="single" w:color="auto" w:sz="4" w:space="0"/>
            </w:tcBorders>
            <w:vAlign w:val="center"/>
          </w:tcPr>
          <w:p>
            <w:pPr>
              <w:autoSpaceDE w:val="0"/>
              <w:snapToGrid w:val="0"/>
              <w:jc w:val="right"/>
              <w:textAlignment w:val="center"/>
              <w:rPr>
                <w:rFonts w:ascii="Times New Roman" w:hAnsi="Times New Roman" w:eastAsia="仿宋"/>
                <w:sz w:val="22"/>
                <w:szCs w:val="22"/>
              </w:rPr>
            </w:pPr>
            <w:r>
              <w:rPr>
                <w:rFonts w:hint="eastAsia" w:ascii="Times New Roman" w:hAnsi="Times New Roman" w:eastAsia="仿宋"/>
                <w:sz w:val="22"/>
                <w:szCs w:val="22"/>
                <w:lang w:bidi="ar"/>
              </w:rPr>
              <w:t>100%</w:t>
            </w:r>
          </w:p>
        </w:tc>
      </w:tr>
    </w:tbl>
    <w:p>
      <w:pPr>
        <w:autoSpaceDE w:val="0"/>
        <w:jc w:val="both"/>
        <w:textAlignment w:val="center"/>
        <w:rPr>
          <w:rFonts w:ascii="Times New Roman" w:hAnsi="Times New Roman" w:eastAsia="仿宋"/>
          <w:sz w:val="22"/>
          <w:szCs w:val="22"/>
          <w:lang w:bidi="ar"/>
        </w:rPr>
        <w:sectPr>
          <w:pgSz w:w="16838" w:h="11906" w:orient="landscape"/>
          <w:pgMar w:top="1800" w:right="1440" w:bottom="1800" w:left="1440" w:header="851" w:footer="992" w:gutter="0"/>
          <w:cols w:space="425" w:num="1"/>
          <w:docGrid w:type="lines" w:linePitch="312" w:charSpace="0"/>
        </w:sectPr>
      </w:pPr>
    </w:p>
    <w:p>
      <w:pPr>
        <w:rPr>
          <w:rFonts w:hint="eastAsia" w:ascii="Times New Roman" w:hAnsi="Times New Roman" w:eastAsia="黑体"/>
          <w:color w:val="000000"/>
          <w:sz w:val="32"/>
          <w:szCs w:val="32"/>
          <w:lang w:eastAsia="zh-Hans" w:bidi="ar"/>
        </w:rPr>
      </w:pPr>
      <w:bookmarkStart w:id="24" w:name="_Toc3796"/>
      <w:bookmarkStart w:id="25" w:name="_Toc28130"/>
      <w:bookmarkStart w:id="26" w:name="_Toc31930"/>
      <w:bookmarkStart w:id="27" w:name="_Toc6691"/>
      <w:r>
        <w:rPr>
          <w:rFonts w:hint="eastAsia" w:ascii="Times New Roman" w:hAnsi="Times New Roman" w:eastAsia="黑体"/>
          <w:color w:val="000000"/>
          <w:sz w:val="32"/>
          <w:szCs w:val="32"/>
          <w:lang w:eastAsia="zh-Hans" w:bidi="ar"/>
        </w:rPr>
        <w:br w:type="textWrapping"/>
      </w:r>
    </w:p>
    <w:bookmarkEnd w:id="24"/>
    <w:bookmarkEnd w:id="25"/>
    <w:bookmarkEnd w:id="26"/>
    <w:bookmarkEnd w:id="27"/>
    <w:p>
      <w:pPr>
        <w:spacing w:line="240" w:lineRule="auto"/>
        <w:outlineLvl w:val="9"/>
        <w:rPr>
          <w:rFonts w:hint="eastAsia" w:ascii="黑体" w:hAnsi="宋体" w:eastAsia="黑体"/>
          <w:bCs/>
          <w:color w:val="000000"/>
          <w:sz w:val="32"/>
          <w:szCs w:val="32"/>
          <w:lang w:eastAsia="zh-CN"/>
        </w:rPr>
      </w:pPr>
    </w:p>
    <w:p>
      <w:pPr>
        <w:widowControl w:val="0"/>
        <w:spacing w:line="560" w:lineRule="exact"/>
        <w:jc w:val="both"/>
        <w:outlineLvl w:val="9"/>
        <w:rPr>
          <w:rFonts w:hint="default" w:ascii="黑体" w:hAnsi="宋体" w:eastAsia="黑体"/>
          <w:bCs/>
          <w:color w:val="000000"/>
          <w:kern w:val="2"/>
          <w:sz w:val="32"/>
          <w:szCs w:val="32"/>
          <w:lang w:val="en-US" w:eastAsia="zh-CN"/>
        </w:rPr>
      </w:pPr>
    </w:p>
    <w:p>
      <w:pPr>
        <w:widowControl w:val="0"/>
        <w:spacing w:line="560" w:lineRule="exact"/>
        <w:ind w:firstLine="561"/>
        <w:jc w:val="both"/>
        <w:outlineLvl w:val="9"/>
        <w:rPr>
          <w:rFonts w:ascii="黑体" w:hAnsi="宋体" w:eastAsia="黑体"/>
          <w:bCs/>
          <w:color w:val="000000"/>
          <w:kern w:val="2"/>
          <w:sz w:val="32"/>
          <w:szCs w:val="32"/>
        </w:rPr>
      </w:pPr>
    </w:p>
    <w:p>
      <w:pPr>
        <w:widowControl w:val="0"/>
        <w:spacing w:line="560" w:lineRule="exact"/>
        <w:jc w:val="both"/>
        <w:outlineLvl w:val="9"/>
        <w:rPr>
          <w:rFonts w:ascii="黑体" w:hAnsi="宋体" w:eastAsia="黑体"/>
          <w:bCs/>
          <w:color w:val="000000"/>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204"/>
      <w:rPr>
        <w:rFonts w:ascii="Times New Roman" w:hAnsi="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spacing w:line="300" w:lineRule="exact"/>
      <w:jc w:val="left"/>
      <w:rPr>
        <w:rFonts w:ascii="隶书" w:hAnsi="宋体"/>
        <w:sz w:val="21"/>
        <w:szCs w:val="21"/>
      </w:rPr>
    </w:pPr>
    <w:r>
      <w:rPr>
        <w:rFonts w:hint="eastAsia" w:ascii="隶书" w:hAnsi="宋体"/>
        <w:sz w:val="21"/>
        <w:szCs w:val="21"/>
      </w:rPr>
      <w:t xml:space="preserve"> 新疆智汇铭宸科技咨询有限公司</w:t>
    </w:r>
  </w:p>
  <w:p>
    <w:pPr>
      <w:pStyle w:val="8"/>
      <w:widowControl w:val="0"/>
      <w:spacing w:line="300" w:lineRule="exact"/>
      <w:jc w:val="left"/>
      <w:rPr>
        <w:rFonts w:ascii="Times New Roman" w:hAnsi="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966299D"/>
    <w:rsid w:val="00213F70"/>
    <w:rsid w:val="00C05337"/>
    <w:rsid w:val="00E364A6"/>
    <w:rsid w:val="01EF3980"/>
    <w:rsid w:val="01F32976"/>
    <w:rsid w:val="025A4843"/>
    <w:rsid w:val="02FE20CD"/>
    <w:rsid w:val="030C19A7"/>
    <w:rsid w:val="031F3DF1"/>
    <w:rsid w:val="033B6E7D"/>
    <w:rsid w:val="041A1188"/>
    <w:rsid w:val="046749DD"/>
    <w:rsid w:val="05235E1B"/>
    <w:rsid w:val="055D636D"/>
    <w:rsid w:val="05C55922"/>
    <w:rsid w:val="05FD48BE"/>
    <w:rsid w:val="06205C91"/>
    <w:rsid w:val="069074E0"/>
    <w:rsid w:val="08D4742C"/>
    <w:rsid w:val="08FC0E5C"/>
    <w:rsid w:val="0966299D"/>
    <w:rsid w:val="0AF81AF7"/>
    <w:rsid w:val="0B072310"/>
    <w:rsid w:val="0B097861"/>
    <w:rsid w:val="0B257EEC"/>
    <w:rsid w:val="0C3628D7"/>
    <w:rsid w:val="0D7B505C"/>
    <w:rsid w:val="0DA33F9D"/>
    <w:rsid w:val="0E597B37"/>
    <w:rsid w:val="0F962004"/>
    <w:rsid w:val="10DE6CB2"/>
    <w:rsid w:val="11655F9D"/>
    <w:rsid w:val="137A1A35"/>
    <w:rsid w:val="13D36C5E"/>
    <w:rsid w:val="14260760"/>
    <w:rsid w:val="146124BC"/>
    <w:rsid w:val="15AB60E4"/>
    <w:rsid w:val="161466D7"/>
    <w:rsid w:val="165D34A1"/>
    <w:rsid w:val="18573340"/>
    <w:rsid w:val="19D536DA"/>
    <w:rsid w:val="1ABF7F3C"/>
    <w:rsid w:val="1B854CE1"/>
    <w:rsid w:val="1BEE36D9"/>
    <w:rsid w:val="1CBD66FD"/>
    <w:rsid w:val="1D274763"/>
    <w:rsid w:val="1E380731"/>
    <w:rsid w:val="1E8F7C25"/>
    <w:rsid w:val="1F332CA6"/>
    <w:rsid w:val="20234AC9"/>
    <w:rsid w:val="2045268C"/>
    <w:rsid w:val="205D622D"/>
    <w:rsid w:val="207A3855"/>
    <w:rsid w:val="227635D6"/>
    <w:rsid w:val="238B4E5F"/>
    <w:rsid w:val="250613CB"/>
    <w:rsid w:val="257E0371"/>
    <w:rsid w:val="26C436A5"/>
    <w:rsid w:val="284D23F2"/>
    <w:rsid w:val="28893937"/>
    <w:rsid w:val="2A59392D"/>
    <w:rsid w:val="2B1716CE"/>
    <w:rsid w:val="2B2C33CC"/>
    <w:rsid w:val="2CF37A4F"/>
    <w:rsid w:val="2D8C0151"/>
    <w:rsid w:val="2DD90EBD"/>
    <w:rsid w:val="2E84235F"/>
    <w:rsid w:val="2F1C11AA"/>
    <w:rsid w:val="2F4A2E19"/>
    <w:rsid w:val="2FF63FA8"/>
    <w:rsid w:val="30AF2F67"/>
    <w:rsid w:val="310149B3"/>
    <w:rsid w:val="31181CFC"/>
    <w:rsid w:val="31AD68E8"/>
    <w:rsid w:val="31B9528D"/>
    <w:rsid w:val="320C1861"/>
    <w:rsid w:val="325B6344"/>
    <w:rsid w:val="32A001FB"/>
    <w:rsid w:val="340F5638"/>
    <w:rsid w:val="36B83D65"/>
    <w:rsid w:val="370074BA"/>
    <w:rsid w:val="37427AD3"/>
    <w:rsid w:val="376932B2"/>
    <w:rsid w:val="37A14BDC"/>
    <w:rsid w:val="3AD60C5E"/>
    <w:rsid w:val="3B624143"/>
    <w:rsid w:val="3C1732DC"/>
    <w:rsid w:val="3C726653"/>
    <w:rsid w:val="3C8F1D62"/>
    <w:rsid w:val="3DE11DF4"/>
    <w:rsid w:val="3DFF04CC"/>
    <w:rsid w:val="3ED6747E"/>
    <w:rsid w:val="3F161F71"/>
    <w:rsid w:val="3F4A5777"/>
    <w:rsid w:val="41742F7F"/>
    <w:rsid w:val="42096C51"/>
    <w:rsid w:val="42254279"/>
    <w:rsid w:val="45140D01"/>
    <w:rsid w:val="46BB51AC"/>
    <w:rsid w:val="47093560"/>
    <w:rsid w:val="48A028AB"/>
    <w:rsid w:val="492B4235"/>
    <w:rsid w:val="4A235542"/>
    <w:rsid w:val="4AA06B93"/>
    <w:rsid w:val="4BBA1ED6"/>
    <w:rsid w:val="4BE60F1D"/>
    <w:rsid w:val="4C9C2831"/>
    <w:rsid w:val="4F365D17"/>
    <w:rsid w:val="4F806F93"/>
    <w:rsid w:val="501A1195"/>
    <w:rsid w:val="504C2DF0"/>
    <w:rsid w:val="50DC549F"/>
    <w:rsid w:val="51875CD1"/>
    <w:rsid w:val="52081BED"/>
    <w:rsid w:val="52236EFF"/>
    <w:rsid w:val="53F35F85"/>
    <w:rsid w:val="54484DB4"/>
    <w:rsid w:val="557E3F74"/>
    <w:rsid w:val="559B4B26"/>
    <w:rsid w:val="55E60E8B"/>
    <w:rsid w:val="565828B0"/>
    <w:rsid w:val="568B4B9B"/>
    <w:rsid w:val="56ED315F"/>
    <w:rsid w:val="57225DE7"/>
    <w:rsid w:val="577109C8"/>
    <w:rsid w:val="578A30A4"/>
    <w:rsid w:val="58597148"/>
    <w:rsid w:val="590F1AB3"/>
    <w:rsid w:val="593A6404"/>
    <w:rsid w:val="595C281E"/>
    <w:rsid w:val="5991071A"/>
    <w:rsid w:val="5A47502D"/>
    <w:rsid w:val="5A875D41"/>
    <w:rsid w:val="5B011BE7"/>
    <w:rsid w:val="5B3D3F8A"/>
    <w:rsid w:val="5C92581A"/>
    <w:rsid w:val="5CAE513F"/>
    <w:rsid w:val="5CCC1A69"/>
    <w:rsid w:val="5D7843A7"/>
    <w:rsid w:val="5E055233"/>
    <w:rsid w:val="5E1436C8"/>
    <w:rsid w:val="5E473A9D"/>
    <w:rsid w:val="5E8F0FA0"/>
    <w:rsid w:val="5FB80713"/>
    <w:rsid w:val="600C6FB6"/>
    <w:rsid w:val="60D34F34"/>
    <w:rsid w:val="60E92BEA"/>
    <w:rsid w:val="623954AB"/>
    <w:rsid w:val="63CE44AC"/>
    <w:rsid w:val="645907CA"/>
    <w:rsid w:val="651162CA"/>
    <w:rsid w:val="653D3504"/>
    <w:rsid w:val="65AD68DC"/>
    <w:rsid w:val="66C70B33"/>
    <w:rsid w:val="679D64DC"/>
    <w:rsid w:val="68833924"/>
    <w:rsid w:val="68C02A57"/>
    <w:rsid w:val="68FE11FC"/>
    <w:rsid w:val="696C085C"/>
    <w:rsid w:val="6A1B17E0"/>
    <w:rsid w:val="6AFB1E97"/>
    <w:rsid w:val="6C2028EA"/>
    <w:rsid w:val="70035E4A"/>
    <w:rsid w:val="702A0B29"/>
    <w:rsid w:val="704936A5"/>
    <w:rsid w:val="717A163C"/>
    <w:rsid w:val="719E6141"/>
    <w:rsid w:val="7506180B"/>
    <w:rsid w:val="751B4A79"/>
    <w:rsid w:val="77D71596"/>
    <w:rsid w:val="78FD6DDA"/>
    <w:rsid w:val="79E409FD"/>
    <w:rsid w:val="79FE105C"/>
    <w:rsid w:val="7A100D8F"/>
    <w:rsid w:val="7A5C0769"/>
    <w:rsid w:val="7A653295"/>
    <w:rsid w:val="7AC676A0"/>
    <w:rsid w:val="7CBE2D25"/>
    <w:rsid w:val="7CDE2C92"/>
    <w:rsid w:val="7D8B70AB"/>
    <w:rsid w:val="7DC73E5B"/>
    <w:rsid w:val="7DE0510C"/>
    <w:rsid w:val="7F376DBE"/>
    <w:rsid w:val="7F5259A6"/>
    <w:rsid w:val="7F61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宋体" w:hAnsi="宋体" w:cs="宋体"/>
      <w:b/>
      <w:bCs/>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1"/>
    <w:qFormat/>
    <w:uiPriority w:val="0"/>
    <w:pPr>
      <w:autoSpaceDE w:val="0"/>
      <w:autoSpaceDN w:val="0"/>
      <w:adjustRightInd w:val="0"/>
      <w:snapToGrid w:val="0"/>
      <w:spacing w:line="580" w:lineRule="exact"/>
      <w:textAlignment w:val="baseline"/>
    </w:pPr>
    <w:rPr>
      <w:rFonts w:ascii="仿宋_GB2312" w:eastAsia="仿宋_GB2312"/>
      <w:spacing w:val="-20"/>
      <w:sz w:val="32"/>
      <w:szCs w:val="20"/>
    </w:rPr>
  </w:style>
  <w:style w:type="paragraph" w:styleId="5">
    <w:name w:val="toc 3"/>
    <w:basedOn w:val="1"/>
    <w:next w:val="1"/>
    <w:qFormat/>
    <w:uiPriority w:val="0"/>
    <w:pPr>
      <w:ind w:left="840" w:leftChars="400"/>
    </w:pPr>
  </w:style>
  <w:style w:type="paragraph" w:styleId="6">
    <w:name w:val="Balloon Text"/>
    <w:basedOn w:val="1"/>
    <w:link w:val="26"/>
    <w:qFormat/>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Title"/>
    <w:basedOn w:val="1"/>
    <w:next w:val="1"/>
    <w:qFormat/>
    <w:uiPriority w:val="10"/>
    <w:pPr>
      <w:spacing w:before="240" w:after="60"/>
      <w:jc w:val="center"/>
      <w:outlineLvl w:val="0"/>
    </w:pPr>
    <w:rPr>
      <w:rFonts w:asciiTheme="majorHAnsi" w:hAnsiTheme="majorHAnsi" w:eastAsiaTheme="majorEastAsia"/>
      <w:b/>
      <w:bCs/>
      <w:kern w:val="28"/>
      <w:sz w:val="32"/>
      <w:szCs w:val="32"/>
    </w:rPr>
  </w:style>
  <w:style w:type="character" w:styleId="14">
    <w:name w:val="Strong"/>
    <w:basedOn w:val="13"/>
    <w:qFormat/>
    <w:uiPriority w:val="0"/>
    <w:rPr>
      <w:b/>
      <w:bCs/>
    </w:rPr>
  </w:style>
  <w:style w:type="character" w:customStyle="1" w:styleId="15">
    <w:name w:val="NormalCharacter"/>
    <w:semiHidden/>
    <w:qFormat/>
    <w:uiPriority w:val="0"/>
    <w:rPr>
      <w:rFonts w:ascii="Calibri" w:hAnsi="Calibri" w:eastAsia="宋体" w:cs="Times New Roman"/>
      <w:kern w:val="0"/>
      <w:sz w:val="24"/>
      <w:szCs w:val="24"/>
      <w:lang w:val="en-US" w:eastAsia="zh-CN" w:bidi="ar"/>
    </w:rPr>
  </w:style>
  <w:style w:type="paragraph" w:customStyle="1" w:styleId="16">
    <w:name w:val="Body text|1"/>
    <w:basedOn w:val="1"/>
    <w:qFormat/>
    <w:uiPriority w:val="0"/>
    <w:pPr>
      <w:widowControl w:val="0"/>
      <w:spacing w:line="377" w:lineRule="auto"/>
      <w:ind w:firstLine="400"/>
    </w:pPr>
    <w:rPr>
      <w:rFonts w:ascii="宋体" w:hAnsi="宋体" w:cs="宋体"/>
      <w:sz w:val="28"/>
      <w:szCs w:val="28"/>
      <w:lang w:val="zh-TW" w:eastAsia="zh-TW" w:bidi="zh-TW"/>
    </w:rPr>
  </w:style>
  <w:style w:type="paragraph" w:customStyle="1" w:styleId="17">
    <w:name w:val="GB正文"/>
    <w:basedOn w:val="1"/>
    <w:qFormat/>
    <w:uiPriority w:val="0"/>
    <w:pPr>
      <w:spacing w:line="590" w:lineRule="exact"/>
      <w:ind w:firstLine="707" w:firstLineChars="221"/>
    </w:pPr>
    <w:rPr>
      <w:rFonts w:ascii="仿宋_GB2312" w:hAnsi="Times New Roman" w:eastAsia="仿宋_GB2312"/>
      <w:color w:val="000000"/>
      <w:spacing w:val="6"/>
      <w:sz w:val="32"/>
      <w:szCs w:val="32"/>
    </w:rPr>
  </w:style>
  <w:style w:type="paragraph" w:customStyle="1" w:styleId="18">
    <w:name w:val="黑体1"/>
    <w:basedOn w:val="1"/>
    <w:qFormat/>
    <w:uiPriority w:val="0"/>
    <w:pPr>
      <w:overflowPunct w:val="0"/>
      <w:autoSpaceDE w:val="0"/>
      <w:autoSpaceDN w:val="0"/>
      <w:adjustRightInd w:val="0"/>
      <w:spacing w:line="560" w:lineRule="exact"/>
      <w:ind w:firstLine="803" w:firstLineChars="250"/>
      <w:textAlignment w:val="baseline"/>
    </w:pPr>
    <w:rPr>
      <w:rFonts w:ascii="黑体" w:hAnsi="黑体" w:eastAsia="黑体"/>
      <w:b/>
      <w:sz w:val="32"/>
      <w:szCs w:val="28"/>
    </w:rPr>
  </w:style>
  <w:style w:type="paragraph" w:customStyle="1" w:styleId="19">
    <w:name w:val="闻政正文"/>
    <w:basedOn w:val="1"/>
    <w:qFormat/>
    <w:uiPriority w:val="0"/>
    <w:pPr>
      <w:spacing w:line="500" w:lineRule="exact"/>
      <w:ind w:firstLine="883" w:firstLineChars="200"/>
    </w:pPr>
    <w:rPr>
      <w:rFonts w:ascii="Times New Roman" w:hAnsi="Times New Roman" w:eastAsia="仿宋_GB2312"/>
      <w:sz w:val="28"/>
      <w:szCs w:val="28"/>
    </w:rPr>
  </w:style>
  <w:style w:type="paragraph" w:customStyle="1" w:styleId="20">
    <w:name w:val="列出段落1"/>
    <w:basedOn w:val="1"/>
    <w:qFormat/>
    <w:uiPriority w:val="0"/>
    <w:pPr>
      <w:ind w:firstLine="420" w:firstLineChars="200"/>
    </w:pPr>
  </w:style>
  <w:style w:type="character" w:customStyle="1" w:styleId="21">
    <w:name w:val="font41"/>
    <w:basedOn w:val="13"/>
    <w:qFormat/>
    <w:uiPriority w:val="0"/>
    <w:rPr>
      <w:rFonts w:hint="default" w:ascii="Times New Roman" w:hAnsi="Times New Roman" w:cs="Times New Roman"/>
      <w:color w:val="000000"/>
      <w:sz w:val="22"/>
      <w:szCs w:val="22"/>
      <w:u w:val="none"/>
    </w:rPr>
  </w:style>
  <w:style w:type="character" w:customStyle="1" w:styleId="22">
    <w:name w:val="font31"/>
    <w:basedOn w:val="13"/>
    <w:qFormat/>
    <w:uiPriority w:val="0"/>
    <w:rPr>
      <w:rFonts w:hint="eastAsia" w:ascii="仿宋" w:hAnsi="仿宋" w:eastAsia="仿宋" w:cs="仿宋"/>
      <w:color w:val="000000"/>
      <w:sz w:val="22"/>
      <w:szCs w:val="22"/>
      <w:u w:val="none"/>
    </w:rPr>
  </w:style>
  <w:style w:type="paragraph" w:customStyle="1" w:styleId="23">
    <w:name w:val="Table Text"/>
    <w:basedOn w:val="1"/>
    <w:semiHidden/>
    <w:qFormat/>
    <w:uiPriority w:val="0"/>
    <w:rPr>
      <w:rFonts w:ascii="宋体" w:hAnsi="宋体" w:cs="宋体"/>
      <w:sz w:val="22"/>
      <w:szCs w:val="22"/>
      <w:lang w:eastAsia="en-US"/>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UserStyle_23"/>
    <w:basedOn w:val="1"/>
    <w:qFormat/>
    <w:uiPriority w:val="0"/>
    <w:pPr>
      <w:spacing w:line="560" w:lineRule="exact"/>
      <w:ind w:firstLine="803" w:firstLineChars="250"/>
      <w:textAlignment w:val="baseline"/>
    </w:pPr>
    <w:rPr>
      <w:rFonts w:ascii="黑体" w:hAnsi="黑体" w:eastAsia="黑体"/>
      <w:sz w:val="32"/>
      <w:szCs w:val="28"/>
    </w:rPr>
  </w:style>
  <w:style w:type="character" w:customStyle="1" w:styleId="26">
    <w:name w:val="批注框文本 Char"/>
    <w:basedOn w:val="13"/>
    <w:link w:val="6"/>
    <w:qFormat/>
    <w:uiPriority w:val="0"/>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846</Words>
  <Characters>930</Characters>
  <Lines>132</Lines>
  <Paragraphs>37</Paragraphs>
  <TotalTime>72</TotalTime>
  <ScaleCrop>false</ScaleCrop>
  <LinksUpToDate>false</LinksUpToDate>
  <CharactersWithSpaces>957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2012-12-31T17:14:00Z</dcterms:created>
  <dc:creator>Q.</dc:creator>
  <cp:lastModifiedBy>Administrator</cp:lastModifiedBy>
  <cp:lastPrinted>2023-07-05T09:41:00Z</cp:lastPrinted>
  <dcterms:modified xsi:type="dcterms:W3CDTF">2025-09-18T04:26:39Z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9F70606BDD074C39A80145D06A323BB0_13</vt:lpwstr>
  </property>
  <property fmtid="{D5CDD505-2E9C-101B-9397-08002B2CF9AE}" pid="4" name="KSOTemplateDocerSaveRecord">
    <vt:lpwstr>eyJoZGlkIjoiNzg3MmExOTg5OTY0NGI0MDFmYTI5MjQxOTRiZWRjOTciLCJ1c2VySWQiOiIxMjExNzI5NjYxIn0=</vt:lpwstr>
  </property>
</Properties>
</file>