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沙湾市财政局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详细介绍本</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rPr>
        <w:t>工作职能。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（一）负责拟订和执行全</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收入分配改革相关工作。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（二）负责起草全</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财政、财务、会计管理规范性文件。</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（三）承担全</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财政收支预算管理工作。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（四）负责政府非税收入管理。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（五）贯彻执行国家、自治区、地区国库管理制度、政府总预算会计制度和国库集中收付制度，负责管理本</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财政统一发放工资工作。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（六）严格执行政法转移支付资金，强化政法机关业务装备管理；参与行政单位收费项目的批复和标准的确定。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（七）对专项资金追踪问效，参与事业单位收费项目的审批和标准的确定。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（八）负责拟订本</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政府采购规章制度；负责研究确定本”</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政府采购目录。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（九）负责接受</w:t>
      </w:r>
      <w:r>
        <w:rPr>
          <w:rFonts w:hint="eastAsia" w:ascii="仿宋_GB2312" w:eastAsia="仿宋_GB2312"/>
          <w:color w:val="auto"/>
          <w:sz w:val="32"/>
          <w:szCs w:val="32"/>
          <w:highlight w:val="none"/>
          <w:lang w:eastAsia="zh-CN"/>
        </w:rPr>
        <w:t>采购人委托</w:t>
      </w:r>
      <w:r>
        <w:rPr>
          <w:rFonts w:hint="eastAsia" w:ascii="仿宋_GB2312" w:eastAsia="仿宋_GB2312"/>
          <w:color w:val="auto"/>
          <w:sz w:val="32"/>
          <w:szCs w:val="32"/>
          <w:highlight w:val="none"/>
        </w:rPr>
        <w:t>，按规定程序制定集中采购的具体操作方案；负责在指定的媒体上公布采购信息和采购结果；负责监督采购人和供应商履行合同。</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（十）制定本</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行政事业</w:t>
      </w:r>
      <w:r>
        <w:rPr>
          <w:rFonts w:hint="eastAsia" w:ascii="仿宋_GB2312" w:eastAsia="仿宋_GB2312"/>
          <w:color w:val="auto"/>
          <w:sz w:val="32"/>
          <w:szCs w:val="32"/>
          <w:highlight w:val="none"/>
          <w:lang w:eastAsia="zh-CN"/>
        </w:rPr>
        <w:t>国有资产</w:t>
      </w:r>
      <w:r>
        <w:rPr>
          <w:rFonts w:hint="eastAsia" w:ascii="仿宋_GB2312" w:eastAsia="仿宋_GB2312"/>
          <w:color w:val="auto"/>
          <w:sz w:val="32"/>
          <w:szCs w:val="32"/>
          <w:highlight w:val="none"/>
        </w:rPr>
        <w:t>管理办法，并组织实施和监督检查；负责组织实施本</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行政事业单位</w:t>
      </w:r>
      <w:r>
        <w:rPr>
          <w:rFonts w:hint="eastAsia" w:ascii="仿宋_GB2312" w:eastAsia="仿宋_GB2312"/>
          <w:color w:val="auto"/>
          <w:sz w:val="32"/>
          <w:szCs w:val="32"/>
          <w:highlight w:val="none"/>
          <w:lang w:eastAsia="zh-CN"/>
        </w:rPr>
        <w:t>国有资产</w:t>
      </w:r>
      <w:r>
        <w:rPr>
          <w:rFonts w:hint="eastAsia" w:ascii="仿宋_GB2312" w:eastAsia="仿宋_GB2312"/>
          <w:color w:val="auto"/>
          <w:sz w:val="32"/>
          <w:szCs w:val="32"/>
          <w:highlight w:val="none"/>
        </w:rPr>
        <w:t>的产权登记；负责对本</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行政事业单位国有资产无偿调拨、出售、报废、报损等资产处置行为的审批；负责对本</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行政事业单位闲置国有资产的产权合理调配和国有资产流失查处工作。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（十一）负责贯彻执行《企业财务通则》等财务管理制度；负责</w:t>
      </w:r>
      <w:r>
        <w:rPr>
          <w:rFonts w:hint="eastAsia" w:ascii="仿宋_GB2312" w:eastAsia="仿宋_GB2312"/>
          <w:color w:val="auto"/>
          <w:sz w:val="32"/>
          <w:szCs w:val="32"/>
          <w:highlight w:val="none"/>
          <w:lang w:eastAsia="zh-CN"/>
        </w:rPr>
        <w:t>国有企业</w:t>
      </w:r>
      <w:r>
        <w:rPr>
          <w:rFonts w:hint="eastAsia" w:ascii="仿宋_GB2312" w:eastAsia="仿宋_GB2312"/>
          <w:color w:val="auto"/>
          <w:sz w:val="32"/>
          <w:szCs w:val="32"/>
          <w:highlight w:val="none"/>
        </w:rPr>
        <w:t>、集体企业、外商投资企业年终决算报表工作；负责中小企业发展专项资金申报工作；负责分配和管理中小企业发展专项资金；负责大中型水库移民后期扶持资金的监管工作。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（十二）负责宣传、贯彻、落实财政强农、惠农补贴政策；负责分配和管理国家、自治区补助和地区安排的财政扶贫资金；负责“三农”</w:t>
      </w:r>
      <w:r>
        <w:rPr>
          <w:rFonts w:hint="eastAsia" w:ascii="仿宋_GB2312" w:eastAsia="仿宋_GB2312"/>
          <w:color w:val="auto"/>
          <w:sz w:val="32"/>
          <w:szCs w:val="32"/>
          <w:highlight w:val="none"/>
          <w:lang w:eastAsia="zh-CN"/>
        </w:rPr>
        <w:t>计入财政资金</w:t>
      </w:r>
      <w:r>
        <w:rPr>
          <w:rFonts w:hint="eastAsia" w:ascii="仿宋_GB2312" w:eastAsia="仿宋_GB2312"/>
          <w:color w:val="auto"/>
          <w:sz w:val="32"/>
          <w:szCs w:val="32"/>
          <w:highlight w:val="none"/>
        </w:rPr>
        <w:t>管理，规范涉农资金整合监管工作。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（十三）负责贯彻落实国家、自治区粮食、棉花等政策性补贴。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（十四）负责编制、审核、汇总、上报本</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社会保障基金预、决算草案；负责管理社会保障财政专户和资金（基金）使用情况。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（十五）负责编制本</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外资贷款项目的预算和财务计划；负责外资贷款项目执行情况监督检查工作。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（十六）负责农业保险、涉农贷款增长奖励、推进农村妇女创业致富小额贷款工作。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（十七）负责组织管理本</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会计人员进行继续教育培训；负责并组织实施本</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会计基础规范化工作。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（十八）牵头组织会计监督检查工作。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（十九）负责制定本</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财政系统网络安全运行管理办法；承担本</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财政系统应用软件的技术评审和推广应用工作。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（二十）参与组织和实施农村综合配套改革、减轻农民负担、研究农村经济等工作。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（二十一）负责督查全</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农业综合开发项目计划执行情况，对竣工项目组织验收。</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（二十二）组织和管理全</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财政人员业务教育培训；监督管理</w:t>
      </w:r>
      <w:r>
        <w:rPr>
          <w:rFonts w:hint="eastAsia" w:ascii="仿宋_GB2312" w:eastAsia="仿宋_GB2312"/>
          <w:color w:val="auto"/>
          <w:sz w:val="32"/>
          <w:szCs w:val="32"/>
          <w:highlight w:val="none"/>
          <w:lang w:eastAsia="zh-CN"/>
        </w:rPr>
        <w:t>国有资产</w:t>
      </w:r>
      <w:r>
        <w:rPr>
          <w:rFonts w:hint="eastAsia" w:ascii="仿宋_GB2312" w:eastAsia="仿宋_GB2312"/>
          <w:color w:val="auto"/>
          <w:sz w:val="32"/>
          <w:szCs w:val="32"/>
          <w:highlight w:val="none"/>
        </w:rPr>
        <w:t>，规范政府融资平台；管理和指导中小企业信用担保业务。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 w:eastAsia="仿宋_GB2312"/>
          <w:sz w:val="32"/>
          <w:szCs w:val="32"/>
          <w:lang w:eastAsia="zh-CN"/>
        </w:rPr>
      </w:pPr>
      <w:r>
        <w:rPr>
          <w:rFonts w:hint="eastAsia" w:ascii="仿宋_GB2312" w:eastAsia="仿宋_GB2312"/>
          <w:color w:val="auto"/>
          <w:sz w:val="32"/>
          <w:szCs w:val="32"/>
          <w:highlight w:val="none"/>
        </w:rPr>
        <w:t>（二十三）承办上级交办的其他事项。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沙湾市财政局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112</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69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42</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单位无下属预算单位，下设12个处室，分别是：办公室、综合科、税政法制科（挂企业科牌子）、预算科、国库科、文行科、经济建设科、农财科、社保科、金融科（挂涉外科牌子）、会计科、财政监督检查办公室。</w:t>
      </w:r>
      <w:bookmarkStart w:id="6" w:name="_Toc3092"/>
      <w:bookmarkStart w:id="7" w:name="_Toc29374"/>
    </w:p>
    <w:p>
      <w:pPr>
        <w:rPr>
          <w:rFonts w:hint="eastAsia"/>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6,563.51万元，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6,563.51万元，使用非财政拨款结余0.00万元，年初结转和结余0.00万元。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6,563.51万元，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6,563.51万元，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增加5,143.77万元</w:t>
      </w:r>
      <w:r>
        <w:rPr>
          <w:rFonts w:hint="eastAsia" w:ascii="仿宋_GB2312" w:eastAsia="仿宋_GB2312"/>
          <w:color w:val="auto"/>
          <w:spacing w:val="0"/>
          <w:sz w:val="32"/>
          <w:szCs w:val="32"/>
          <w:highlight w:val="none"/>
          <w:lang w:eastAsia="zh-CN"/>
        </w:rPr>
        <w:t>，增长362.30%，</w:t>
      </w:r>
      <w:r>
        <w:rPr>
          <w:rFonts w:hint="eastAsia" w:ascii="仿宋_GB2312" w:eastAsia="仿宋_GB2312"/>
          <w:color w:val="auto"/>
          <w:spacing w:val="0"/>
          <w:sz w:val="32"/>
          <w:szCs w:val="32"/>
          <w:highlight w:val="none"/>
          <w:lang w:val="en-US" w:eastAsia="zh-CN"/>
        </w:rPr>
        <w:t>主要原因是：人员工资基数调增、增发基础绩效奖和年度考核奖、追加5人职业年金、追加2人抚恤金、丧葬费、追加新丝路城市建设投资有限公司注册资本金5000万元、追加投资评审中心造价咨询服务费、历欠政采云电子卖场采购、项目采购技术服务费等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6,563.51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6,563.49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本年支出6,563.51万元，其中：基本支出1,355.55万元，占20.65%；项目支出5,207.96万元，占79.35%；上缴上级支出0.00万元，占0.00%；经营支出0.00万元，占0.00%；对附属单位补助支出0.00万元，占0.00%。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6,563.49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6,563.49</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6,563.49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6,563.49</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增加5,143.78万元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增长362.31%,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新增支付新丝路城市建设投资有限公司注册资本金5000万元，支付了投资评审中心造价咨询服务费、支付了历欠政采云电子卖场采购、项目采购技术服务费，新增了抚恤金、丧葬费和遗属补助，支付了塔地财预[2023]44沙财预[2023]10-2023年财政系统自身建设资金等支出，导致收支变化较大</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1,383.25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6,563.49</w:t>
      </w:r>
      <w:r>
        <w:rPr>
          <w:rFonts w:hint="eastAsia" w:ascii="仿宋_GB2312" w:eastAsia="仿宋_GB2312"/>
          <w:color w:val="auto"/>
          <w:spacing w:val="0"/>
          <w:sz w:val="32"/>
          <w:szCs w:val="32"/>
          <w:highlight w:val="none"/>
          <w:lang w:eastAsia="zh-CN"/>
        </w:rPr>
        <w:t>万元，预决算差异率374.50%，主要原因是：</w:t>
      </w:r>
      <w:r>
        <w:rPr>
          <w:rFonts w:hint="eastAsia" w:ascii="仿宋_GB2312" w:eastAsia="仿宋_GB2312"/>
          <w:color w:val="auto"/>
          <w:spacing w:val="0"/>
          <w:sz w:val="32"/>
          <w:szCs w:val="32"/>
          <w:highlight w:val="none"/>
          <w:lang w:val="en-US" w:eastAsia="zh-CN"/>
        </w:rPr>
        <w:t>2023年年中追加了新丝路城市建设投资有限公司注册资本金5000万元、追加抚恤金、丧葬费和遗属补助50.14万元、追加职业年金26.53万元、追加2022-2023年为民办实事工作经费21万元、追加2023年财政系统自身建设专项34.22万元以及追加基础绩效奖励和年度考核奖等，导致差异较大</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2023年度一般公共预算财政拨款支出6,563.49万元，占本年支出合计的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增加5,143.78万元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增长362.31%,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支付了新丝路城市建设投资有限公司注册资本金5000万元，支付了投资评审中心造价咨询服务费、支付了历欠政采云电子卖场采购、项目采购技术服务费、新增了抚恤金、丧葬费和遗属补助、支付了塔地财预[2023]44沙财预[2023]10-2023年财政系统自身建设资金等支出</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1,383.25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6,563.49</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374.50%</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年中追加基础绩效奖励和年度考核奖、追加了新丝路城市建设投资有限公司注册资本金5000万元、抚恤金、丧葬费和遗属补助、上年专项-塔地财预[2022]16号沙民组办[2022]4号2022年专项工作经费、塔地财预[2023]25号沙民组办[2023]2号2023年专项工作经费、塔地财预[2023]44沙财预[2023]10-2023年财政系统自身建设资金等资金的支出，导致差异较大</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1,205.97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18.37%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default" w:ascii="仿宋_GB2312" w:hAnsi="Times New Roman"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178.54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2.72%</w:t>
      </w:r>
      <w:r>
        <w:rPr>
          <w:rFonts w:hint="default" w:ascii="仿宋_GB2312" w:hAnsi="Times New Roman" w:eastAsia="仿宋_GB2312" w:cs="Times New Roman"/>
          <w:color w:val="auto"/>
          <w:spacing w:val="0"/>
          <w:kern w:val="2"/>
          <w:sz w:val="32"/>
          <w:szCs w:val="32"/>
          <w:highlight w:val="none"/>
          <w:lang w:val="en-US" w:eastAsia="zh-CN" w:bidi="ar-SA"/>
        </w:rPr>
        <w:t>；</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3.卫生健康支出（类）</w:t>
      </w:r>
      <w:r>
        <w:rPr>
          <w:rFonts w:hint="eastAsia" w:ascii="仿宋_GB2312" w:hAnsi="Times New Roman" w:eastAsia="仿宋_GB2312" w:cs="Times New Roman"/>
          <w:color w:val="auto"/>
          <w:spacing w:val="0"/>
          <w:kern w:val="2"/>
          <w:sz w:val="32"/>
          <w:szCs w:val="32"/>
          <w:highlight w:val="none"/>
          <w:lang w:val="zh-CN" w:eastAsia="zh-CN" w:bidi="ar-SA"/>
        </w:rPr>
        <w:t>62.40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0.95%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4.</w:t>
      </w:r>
      <w:r>
        <w:rPr>
          <w:rFonts w:hint="eastAsia" w:ascii="仿宋_GB2312" w:hAnsi="仿宋_GB2312" w:eastAsia="仿宋_GB2312" w:cs="仿宋_GB2312"/>
          <w:color w:val="auto"/>
          <w:spacing w:val="0"/>
          <w:kern w:val="2"/>
          <w:sz w:val="32"/>
          <w:szCs w:val="32"/>
          <w:highlight w:val="none"/>
          <w:lang w:val="zh-CN" w:eastAsia="zh-CN" w:bidi="ar-SA"/>
        </w:rPr>
        <w:t>农林水支出（类）10.21万元，占</w:t>
      </w:r>
      <w:r>
        <w:rPr>
          <w:rFonts w:hint="eastAsia" w:ascii="仿宋_GB2312" w:eastAsia="仿宋_GB2312" w:cs="Times New Roman"/>
          <w:color w:val="auto"/>
          <w:spacing w:val="0"/>
          <w:kern w:val="2"/>
          <w:sz w:val="32"/>
          <w:szCs w:val="32"/>
          <w:highlight w:val="none"/>
          <w:lang w:val="zh-CN" w:eastAsia="zh-CN" w:bidi="ar-SA"/>
        </w:rPr>
        <w:t>0.16%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5.资源勘探信息等支出（类）</w:t>
      </w:r>
      <w:r>
        <w:rPr>
          <w:rFonts w:hint="eastAsia" w:ascii="仿宋_GB2312" w:hAnsi="Times New Roman" w:eastAsia="仿宋_GB2312" w:cs="Times New Roman"/>
          <w:color w:val="auto"/>
          <w:spacing w:val="0"/>
          <w:kern w:val="2"/>
          <w:sz w:val="32"/>
          <w:szCs w:val="32"/>
          <w:highlight w:val="none"/>
          <w:lang w:val="zh-CN" w:eastAsia="zh-CN" w:bidi="ar-SA"/>
        </w:rPr>
        <w:t>5,000.00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76.18%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default" w:ascii="仿宋_GB2312" w:hAnsi="Times New Roman" w:eastAsia="仿宋_GB2312" w:cs="Times New Roman"/>
          <w:color w:val="auto"/>
          <w:spacing w:val="0"/>
          <w:kern w:val="2"/>
          <w:sz w:val="32"/>
          <w:szCs w:val="32"/>
          <w:highlight w:val="none"/>
          <w:lang w:val="en-US" w:eastAsia="zh-CN" w:bidi="ar-SA"/>
        </w:rPr>
        <w:t>6.</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85.36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1.30%</w:t>
      </w:r>
      <w:r>
        <w:rPr>
          <w:rFonts w:hint="default" w:ascii="仿宋_GB2312" w:hAnsi="Times New Roman" w:eastAsia="仿宋_GB2312" w:cs="Times New Roman"/>
          <w:color w:val="auto"/>
          <w:spacing w:val="0"/>
          <w:kern w:val="2"/>
          <w:sz w:val="32"/>
          <w:szCs w:val="32"/>
          <w:highlight w:val="none"/>
          <w:lang w:val="en-US" w:eastAsia="zh-CN" w:bidi="ar-SA"/>
        </w:rPr>
        <w:t>；</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7.其他支出（类）</w:t>
      </w:r>
      <w:r>
        <w:rPr>
          <w:rFonts w:hint="eastAsia" w:ascii="仿宋_GB2312" w:hAnsi="Times New Roman" w:eastAsia="仿宋_GB2312" w:cs="Times New Roman"/>
          <w:color w:val="auto"/>
          <w:spacing w:val="0"/>
          <w:kern w:val="2"/>
          <w:sz w:val="32"/>
          <w:szCs w:val="32"/>
          <w:highlight w:val="none"/>
          <w:lang w:val="zh-CN" w:eastAsia="zh-CN" w:bidi="ar-SA"/>
        </w:rPr>
        <w:t>21.00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0.32%</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29.06万元，比上年决算减少17.06万元，下降36.99%，主要原因是：行政人员调出2人、在职转退休3人，死亡1人，退休人员基本医疗保险单位缴费部分收回</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2.卫生健康支出（类）行政事业单位医疗（款）事业单位医疗（项）:支出决算数为18.39万元，比上年决算减少1.31万元，下降6.65%，主要原因是：退休人员基本医疗保险单位缴费部分收回</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公务员医疗补助（项）:支出决算数为14.96万元，比上年决算减少6.49万元，下降30.26%，主要原因是：行政人员调出2人、在职转退休3人，死亡1人；退休人员公务员医疗保险单位缴费部分收回</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4.农林水支出（类）普惠金融发展支出（款）其他普惠金融发展支出（项）:支出决算数为0.74万元，比上年决算减少5.56万元，下降88.25%，主要原因是：2023年贷款基数较上年大幅下降</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5.住房保障支出（类）住房改革支出（款）住房公积金（项）:支出决算数为85.36万元，比上年决算增加1.90万元，增长2.28%，主要原因是：在职</w:t>
      </w:r>
      <w:r>
        <w:rPr>
          <w:rFonts w:hint="eastAsia" w:ascii="仿宋_GB2312" w:hAnsi="仿宋_GB2312" w:eastAsia="仿宋_GB2312" w:cs="仿宋_GB2312"/>
          <w:color w:val="auto"/>
          <w:kern w:val="2"/>
          <w:sz w:val="32"/>
          <w:szCs w:val="32"/>
          <w:highlight w:val="none"/>
          <w:lang w:val="zh-CN" w:eastAsia="zh-CN" w:bidi="ar-SA"/>
        </w:rPr>
        <w:t>工资基数增加。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6.资源勘探工业信息等支出（类）支持中小企业发展和管理支出（款）其他支持中小企业发展和管理支出（项）:支出决算数为5,000.00万元，比上年决算增加5,000.00万元，增长100%，主要原因是：</w:t>
      </w:r>
      <w:r>
        <w:rPr>
          <w:rFonts w:hint="eastAsia" w:ascii="仿宋_GB2312" w:hAnsi="仿宋" w:eastAsia="仿宋_GB2312"/>
          <w:sz w:val="32"/>
          <w:szCs w:val="32"/>
          <w:lang w:val="en-US" w:eastAsia="zh-CN"/>
        </w:rPr>
        <w:t>2023年追加了新丝路城市建设投资有限公司注册资本金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7.社会保障和就业支出（类）行政事业单位养老支出（款）事业单位离退休（项）:支出决算数为3.53万元，比上年决算增加3.40万元，增长2615.38%，主要原因是：</w:t>
      </w:r>
      <w:r>
        <w:rPr>
          <w:rFonts w:hint="eastAsia" w:ascii="仿宋_GB2312" w:hAnsi="仿宋_GB2312" w:eastAsia="仿宋_GB2312" w:cs="仿宋_GB2312"/>
          <w:color w:val="auto"/>
          <w:kern w:val="2"/>
          <w:sz w:val="32"/>
          <w:szCs w:val="32"/>
          <w:highlight w:val="none"/>
          <w:lang w:val="zh-CN" w:eastAsia="zh-CN" w:bidi="ar-SA"/>
        </w:rPr>
        <w:t>退休人员绩效工资增加。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8.社会保障和就业支出（类）行政事业单位养老支出（款）行政单位离退休（项）:支出决算数为40.40万元，比上年决算减少9.80万元，下降19.52%，主要原因是：</w:t>
      </w:r>
      <w:r>
        <w:rPr>
          <w:rFonts w:hint="eastAsia" w:ascii="仿宋_GB2312" w:hAnsi="仿宋_GB2312" w:eastAsia="仿宋_GB2312" w:cs="仿宋_GB2312"/>
          <w:color w:val="auto"/>
          <w:kern w:val="2"/>
          <w:sz w:val="32"/>
          <w:szCs w:val="32"/>
          <w:highlight w:val="none"/>
          <w:lang w:val="zh-CN" w:eastAsia="zh-CN" w:bidi="ar-SA"/>
        </w:rPr>
        <w:t>上年有退休人员死亡抚恤金。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社会保障和就业支出（类）行政事业单位养老支出（款）机关事业单位职业年金缴费支出（项）:支出决算数为26.53万元，比上年决算增加17.16万元，增长183.14%，主要原因是：在职转退休4人、死亡1人、市外调出1人</w:t>
      </w:r>
      <w:r>
        <w:rPr>
          <w:rFonts w:hint="eastAsia" w:ascii="仿宋_GB2312" w:hAnsi="仿宋_GB2312" w:eastAsia="仿宋_GB2312" w:cs="仿宋_GB2312"/>
          <w:color w:val="auto"/>
          <w:kern w:val="2"/>
          <w:sz w:val="32"/>
          <w:szCs w:val="32"/>
          <w:highlight w:val="none"/>
          <w:lang w:val="zh-CN" w:eastAsia="zh-CN" w:bidi="ar-SA"/>
        </w:rPr>
        <w:t>增拨职业年金。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10.社会保障和就业支出（类）行政事业单位养老支出（款）机关事业单位基本养老保险缴费支出（项）:支出决算数为108.08万元，比上年决算增加14.76万元，增长15.82%，主要原因是：基本养老保险缴费</w:t>
      </w:r>
      <w:r>
        <w:rPr>
          <w:rFonts w:hint="eastAsia" w:ascii="仿宋_GB2312" w:hAnsi="仿宋_GB2312" w:eastAsia="仿宋_GB2312" w:cs="仿宋_GB2312"/>
          <w:color w:val="auto"/>
          <w:kern w:val="2"/>
          <w:sz w:val="32"/>
          <w:szCs w:val="32"/>
          <w:highlight w:val="none"/>
          <w:lang w:val="zh-CN" w:eastAsia="zh-CN" w:bidi="ar-SA"/>
        </w:rPr>
        <w:t>基数调增。</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11.一般公共服务支出（类）财政事务（款）其他财政事务支出（项）:支出决算数为176.75万元，比上年决算增加67.71万元，增长62.10%，主要原因是：</w:t>
      </w:r>
      <w:r>
        <w:rPr>
          <w:rFonts w:hint="eastAsia" w:ascii="仿宋_GB2312" w:hAnsi="仿宋" w:eastAsia="仿宋_GB2312" w:cs="仿宋"/>
          <w:sz w:val="32"/>
          <w:szCs w:val="32"/>
          <w:lang w:val="en-US" w:eastAsia="zh-CN"/>
        </w:rPr>
        <w:t>支付了投资评审中心造价咨询服务费，历欠政采云电子卖场采购、项目采购技术服务费，塔地财预[2023]44沙财预[2023]10-2023年财政系统自身建设资金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12.一般公共服务支出（类）财政事务（款）行政运行（项）:支出决算数为676.81万元，比上年决算减少272.68万元，下降28.72%，主要原因是：</w:t>
      </w:r>
      <w:r>
        <w:rPr>
          <w:rFonts w:hint="eastAsia" w:ascii="仿宋_GB2312" w:hAnsi="仿宋_GB2312" w:eastAsia="仿宋_GB2312" w:cs="仿宋_GB2312"/>
          <w:color w:val="auto"/>
          <w:kern w:val="2"/>
          <w:sz w:val="32"/>
          <w:szCs w:val="32"/>
          <w:highlight w:val="none"/>
          <w:lang w:val="zh-CN" w:eastAsia="zh-CN" w:bidi="ar-SA"/>
        </w:rPr>
        <w:t>事业编人员经费单列预算内事业运行，经费减少。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13.农林水支出（类）普惠金融发展支出（款）创业担保贷款贴息及奖补（项）:支出决算数为9.47万元，比上年决算增加9.47万元，增长100%，主要原因是：2023年支付了2021年-2022年欠付创业担保贷款贴息资金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14.一般公共服务支出（类）财政事务（款）事业运行（项）:支出决算数为352.42万元，比上年决算增加352.42万元，增长100%，主要原因是：</w:t>
      </w:r>
      <w:r>
        <w:rPr>
          <w:rFonts w:hint="eastAsia" w:ascii="仿宋_GB2312" w:hAnsi="仿宋_GB2312" w:eastAsia="仿宋_GB2312" w:cs="仿宋_GB2312"/>
          <w:color w:val="auto"/>
          <w:kern w:val="2"/>
          <w:sz w:val="32"/>
          <w:szCs w:val="32"/>
          <w:highlight w:val="none"/>
          <w:lang w:val="zh-CN" w:eastAsia="zh-CN" w:bidi="ar-SA"/>
        </w:rPr>
        <w:t>事业编人员经费单列预算内，经费增加。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15.其他支出（类）其他支出（款）其他支出（项）:支出决算数为21.00万元，比上年决算减少10.11万元，下降32.50%，主要原因是：2022年支付了2021年尾欠“为民办实事”经费</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1,355.53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1,282.70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离休费、退休费、抚恤金、生活补助、医疗费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72.83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办公费、水费、电费、邮电费、取暖费、物业管理费、差旅费、维修（护）费、培训费、公务接待费、劳务费、工会经费、公务用车运行维护费、其他商品和服务支出。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“三公”经费支出9.64万元，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增加4.81万元，</w:t>
      </w:r>
      <w:r>
        <w:rPr>
          <w:rFonts w:hint="eastAsia" w:ascii="仿宋_GB2312" w:eastAsia="仿宋_GB2312"/>
          <w:color w:val="auto"/>
          <w:spacing w:val="0"/>
          <w:sz w:val="32"/>
          <w:szCs w:val="32"/>
          <w:highlight w:val="none"/>
          <w:lang w:val="en-US" w:eastAsia="zh-CN"/>
        </w:rPr>
        <w:t>增长99.59%,</w:t>
      </w:r>
      <w:r>
        <w:rPr>
          <w:rFonts w:hint="eastAsia" w:ascii="仿宋_GB2312" w:eastAsia="仿宋_GB2312"/>
          <w:color w:val="auto"/>
          <w:sz w:val="32"/>
          <w:szCs w:val="32"/>
          <w:highlight w:val="none"/>
          <w:lang w:val="zh-CN" w:eastAsia="zh-CN"/>
        </w:rPr>
        <w:t>主要原因是：</w:t>
      </w:r>
      <w:r>
        <w:rPr>
          <w:rFonts w:hint="eastAsia" w:ascii="仿宋_GB2312" w:hAnsi="仿宋" w:eastAsia="仿宋_GB2312" w:cs="仿宋"/>
          <w:sz w:val="32"/>
          <w:szCs w:val="32"/>
        </w:rPr>
        <w:t>支付</w:t>
      </w:r>
      <w:r>
        <w:rPr>
          <w:rFonts w:hint="eastAsia" w:ascii="仿宋_GB2312" w:hAnsi="仿宋" w:eastAsia="仿宋_GB2312" w:cs="仿宋"/>
          <w:sz w:val="32"/>
          <w:szCs w:val="32"/>
          <w:lang w:eastAsia="zh-CN"/>
        </w:rPr>
        <w:t>机关事务管理局</w:t>
      </w:r>
      <w:r>
        <w:rPr>
          <w:rFonts w:hint="eastAsia" w:ascii="仿宋_GB2312" w:hAnsi="仿宋" w:eastAsia="仿宋_GB2312" w:cs="仿宋"/>
          <w:sz w:val="32"/>
          <w:szCs w:val="32"/>
        </w:rPr>
        <w:t>全年的车辆</w:t>
      </w:r>
      <w:r>
        <w:rPr>
          <w:rFonts w:hint="eastAsia" w:ascii="仿宋_GB2312" w:hAnsi="仿宋" w:eastAsia="仿宋_GB2312" w:cs="仿宋"/>
          <w:sz w:val="32"/>
          <w:szCs w:val="32"/>
          <w:lang w:eastAsia="zh-CN"/>
        </w:rPr>
        <w:t>使用</w:t>
      </w:r>
      <w:r>
        <w:rPr>
          <w:rFonts w:hint="eastAsia" w:ascii="仿宋_GB2312" w:hAnsi="仿宋" w:eastAsia="仿宋_GB2312" w:cs="仿宋"/>
          <w:sz w:val="32"/>
          <w:szCs w:val="32"/>
        </w:rPr>
        <w:t>费</w:t>
      </w:r>
      <w:r>
        <w:rPr>
          <w:rFonts w:hint="eastAsia" w:ascii="仿宋_GB2312" w:hAnsi="仿宋" w:eastAsia="仿宋_GB2312" w:cs="仿宋"/>
          <w:sz w:val="32"/>
          <w:szCs w:val="32"/>
          <w:lang w:eastAsia="zh-CN"/>
        </w:rPr>
        <w:t>和</w:t>
      </w:r>
      <w:r>
        <w:rPr>
          <w:rFonts w:hint="eastAsia" w:ascii="仿宋_GB2312" w:hAnsi="仿宋" w:eastAsia="仿宋_GB2312" w:cs="仿宋"/>
          <w:sz w:val="32"/>
          <w:szCs w:val="32"/>
        </w:rPr>
        <w:t>历欠的车辆维修费，项目对接接待</w:t>
      </w:r>
      <w:r>
        <w:rPr>
          <w:rFonts w:hint="eastAsia" w:ascii="仿宋_GB2312" w:hAnsi="仿宋" w:eastAsia="仿宋_GB2312" w:cs="仿宋"/>
          <w:sz w:val="32"/>
          <w:szCs w:val="32"/>
          <w:lang w:eastAsia="zh-CN"/>
        </w:rPr>
        <w:t>费用</w:t>
      </w:r>
      <w:r>
        <w:rPr>
          <w:rFonts w:hint="eastAsia" w:ascii="仿宋_GB2312" w:hAnsi="仿宋" w:eastAsia="仿宋_GB2312" w:cs="仿宋"/>
          <w:sz w:val="32"/>
          <w:szCs w:val="32"/>
        </w:rPr>
        <w:t>增加</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主要原因是：没有安排因公出国（境）费支出；公务用车购置及运行维护费支出9.09万元，占94.29%，比上年增加4.59万元，</w:t>
      </w:r>
      <w:r>
        <w:rPr>
          <w:rFonts w:hint="eastAsia" w:ascii="仿宋_GB2312" w:eastAsia="仿宋_GB2312"/>
          <w:color w:val="auto"/>
          <w:spacing w:val="0"/>
          <w:sz w:val="32"/>
          <w:szCs w:val="32"/>
          <w:highlight w:val="none"/>
          <w:lang w:val="en-US" w:eastAsia="zh-CN"/>
        </w:rPr>
        <w:t>增长102.00%,</w:t>
      </w:r>
      <w:r>
        <w:rPr>
          <w:rFonts w:hint="eastAsia" w:ascii="仿宋_GB2312" w:eastAsia="仿宋_GB2312"/>
          <w:color w:val="auto"/>
          <w:sz w:val="32"/>
          <w:szCs w:val="32"/>
          <w:highlight w:val="none"/>
          <w:lang w:val="zh-CN" w:eastAsia="zh-CN"/>
        </w:rPr>
        <w:t>主要原因是：</w:t>
      </w:r>
      <w:r>
        <w:rPr>
          <w:rFonts w:hint="eastAsia" w:ascii="仿宋_GB2312" w:hAnsi="仿宋" w:eastAsia="仿宋_GB2312" w:cs="仿宋"/>
          <w:sz w:val="32"/>
          <w:szCs w:val="32"/>
        </w:rPr>
        <w:t>支付</w:t>
      </w:r>
      <w:r>
        <w:rPr>
          <w:rFonts w:hint="eastAsia" w:ascii="仿宋_GB2312" w:hAnsi="仿宋" w:eastAsia="仿宋_GB2312" w:cs="仿宋"/>
          <w:sz w:val="32"/>
          <w:szCs w:val="32"/>
          <w:lang w:eastAsia="zh-CN"/>
        </w:rPr>
        <w:t>机关事务管理局</w:t>
      </w:r>
      <w:r>
        <w:rPr>
          <w:rFonts w:hint="eastAsia" w:ascii="仿宋_GB2312" w:hAnsi="仿宋" w:eastAsia="仿宋_GB2312" w:cs="仿宋"/>
          <w:sz w:val="32"/>
          <w:szCs w:val="32"/>
        </w:rPr>
        <w:t>全年的车辆</w:t>
      </w:r>
      <w:r>
        <w:rPr>
          <w:rFonts w:hint="eastAsia" w:ascii="仿宋_GB2312" w:hAnsi="仿宋" w:eastAsia="仿宋_GB2312" w:cs="仿宋"/>
          <w:sz w:val="32"/>
          <w:szCs w:val="32"/>
          <w:lang w:eastAsia="zh-CN"/>
        </w:rPr>
        <w:t>使用</w:t>
      </w:r>
      <w:r>
        <w:rPr>
          <w:rFonts w:hint="eastAsia" w:ascii="仿宋_GB2312" w:hAnsi="仿宋" w:eastAsia="仿宋_GB2312" w:cs="仿宋"/>
          <w:sz w:val="32"/>
          <w:szCs w:val="32"/>
        </w:rPr>
        <w:t>费</w:t>
      </w:r>
      <w:r>
        <w:rPr>
          <w:rFonts w:hint="eastAsia" w:ascii="仿宋_GB2312" w:hAnsi="仿宋" w:eastAsia="仿宋_GB2312" w:cs="仿宋"/>
          <w:sz w:val="32"/>
          <w:szCs w:val="32"/>
          <w:lang w:eastAsia="zh-CN"/>
        </w:rPr>
        <w:t>和</w:t>
      </w:r>
      <w:r>
        <w:rPr>
          <w:rFonts w:hint="eastAsia" w:ascii="仿宋_GB2312" w:hAnsi="仿宋" w:eastAsia="仿宋_GB2312" w:cs="仿宋"/>
          <w:sz w:val="32"/>
          <w:szCs w:val="32"/>
        </w:rPr>
        <w:t>历欠的车辆维修费</w:t>
      </w:r>
      <w:r>
        <w:rPr>
          <w:rFonts w:hint="eastAsia" w:ascii="仿宋_GB2312" w:eastAsia="仿宋_GB2312"/>
          <w:color w:val="auto"/>
          <w:sz w:val="32"/>
          <w:szCs w:val="32"/>
          <w:highlight w:val="none"/>
          <w:lang w:val="zh-CN" w:eastAsia="zh-CN"/>
        </w:rPr>
        <w:t>；公务接待费支出0.55万元，占5.71%，比上年增加0.22万元，</w:t>
      </w:r>
      <w:r>
        <w:rPr>
          <w:rFonts w:hint="eastAsia" w:ascii="仿宋_GB2312" w:eastAsia="仿宋_GB2312"/>
          <w:color w:val="auto"/>
          <w:spacing w:val="0"/>
          <w:sz w:val="32"/>
          <w:szCs w:val="32"/>
          <w:highlight w:val="none"/>
          <w:lang w:val="en-US" w:eastAsia="zh-CN"/>
        </w:rPr>
        <w:t>增长66.67%,</w:t>
      </w:r>
      <w:r>
        <w:rPr>
          <w:rFonts w:hint="eastAsia" w:ascii="仿宋_GB2312" w:eastAsia="仿宋_GB2312"/>
          <w:color w:val="auto"/>
          <w:sz w:val="32"/>
          <w:szCs w:val="32"/>
          <w:highlight w:val="none"/>
          <w:lang w:val="zh-CN" w:eastAsia="zh-CN"/>
        </w:rPr>
        <w:t>主要原因是：</w:t>
      </w:r>
      <w:r>
        <w:rPr>
          <w:rFonts w:hint="eastAsia" w:ascii="仿宋_GB2312" w:hAnsi="仿宋" w:eastAsia="仿宋_GB2312" w:cs="仿宋"/>
          <w:sz w:val="32"/>
          <w:szCs w:val="32"/>
        </w:rPr>
        <w:t>项目对接接待</w:t>
      </w:r>
      <w:r>
        <w:rPr>
          <w:rFonts w:hint="eastAsia" w:ascii="仿宋_GB2312" w:hAnsi="仿宋" w:eastAsia="仿宋_GB2312" w:cs="仿宋"/>
          <w:sz w:val="32"/>
          <w:szCs w:val="32"/>
          <w:lang w:eastAsia="zh-CN"/>
        </w:rPr>
        <w:t>费用</w:t>
      </w:r>
      <w:r>
        <w:rPr>
          <w:rFonts w:hint="eastAsia" w:ascii="仿宋_GB2312" w:hAnsi="仿宋" w:eastAsia="仿宋_GB2312" w:cs="仿宋"/>
          <w:sz w:val="32"/>
          <w:szCs w:val="32"/>
        </w:rPr>
        <w:t>增加</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因公出国（境）费支出0.00万元，开支内容包括没有安排因公出国（境）费支出。单位全年安排的因公出国（境）团组0个，因公出国（境）0人次。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9.09万元，其中：公务用车购置费0.00万元，公务用车运行维护费9.09万元。公务用车运行维护费开支内容包括车辆加油、车辆保险、车辆维修、车辆过路费等。公务用车购置数0辆，公务用车保有量2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公务接待费0.55万元，开支内容包括国</w:t>
      </w:r>
      <w:bookmarkStart w:id="48" w:name="_GoBack"/>
      <w:bookmarkEnd w:id="48"/>
      <w:r>
        <w:rPr>
          <w:rFonts w:hint="eastAsia" w:ascii="仿宋_GB2312" w:eastAsia="仿宋_GB2312"/>
          <w:color w:val="auto"/>
          <w:sz w:val="32"/>
          <w:szCs w:val="32"/>
          <w:highlight w:val="none"/>
          <w:lang w:val="zh-CN" w:eastAsia="zh-CN"/>
        </w:rPr>
        <w:t>内</w:t>
      </w:r>
      <w:r>
        <w:rPr>
          <w:rFonts w:hint="eastAsia" w:ascii="仿宋_GB2312" w:eastAsia="仿宋_GB2312"/>
          <w:color w:val="auto"/>
          <w:sz w:val="32"/>
          <w:szCs w:val="32"/>
          <w:highlight w:val="none"/>
          <w:lang w:val="en-US" w:eastAsia="zh-CN"/>
        </w:rPr>
        <w:t>新疆文旅集团调研，中国人寿总公司项目洽谈等</w:t>
      </w:r>
      <w:r>
        <w:rPr>
          <w:rFonts w:hint="eastAsia" w:ascii="仿宋_GB2312" w:eastAsia="仿宋_GB2312"/>
          <w:color w:val="auto"/>
          <w:sz w:val="32"/>
          <w:szCs w:val="32"/>
          <w:highlight w:val="none"/>
          <w:lang w:val="zh-CN" w:eastAsia="zh-CN"/>
        </w:rPr>
        <w:t>公务接待</w:t>
      </w:r>
      <w:r>
        <w:rPr>
          <w:rFonts w:hint="eastAsia" w:ascii="仿宋_GB2312" w:eastAsia="仿宋_GB2312"/>
          <w:color w:val="auto"/>
          <w:sz w:val="32"/>
          <w:szCs w:val="32"/>
          <w:highlight w:val="none"/>
          <w:lang w:val="en-US" w:eastAsia="zh-CN"/>
        </w:rPr>
        <w:t>餐</w:t>
      </w:r>
      <w:r>
        <w:rPr>
          <w:rFonts w:hint="eastAsia" w:ascii="仿宋_GB2312" w:eastAsia="仿宋_GB2312"/>
          <w:color w:val="auto"/>
          <w:sz w:val="32"/>
          <w:szCs w:val="32"/>
          <w:highlight w:val="none"/>
          <w:lang w:val="zh-CN" w:eastAsia="zh-CN"/>
        </w:rPr>
        <w:t>费。单位全年安排的国内公务接待5批次，58人次。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预算数9.64万元，决算数9.64万元，预决算差异率0.00%，主要原因是：严格执行预算。其中：因公出国（境）费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0.00万元，决算数0.00万元，预决算差异率0.00%，主要原因是：没有安排因公出国（境）费支出；公务用车购置费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预算数0.00万元，决算数0.00万元，预决算差异率0.00%，主要原因是：没有安排公务用车购置费支出；公务用车运行费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预算数9.09万元，决算数9.09万元，预决算差异率0.00%，主要原因是：严格执行预算；公务接待费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预算数0.55万元，决算数0.55万元，预决算差异率0.00%，主要原因是：严格执行预算。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沙湾市财政局（行政单位和参照公务员法管理事业单位）机关运行经费支出72.83万元，</w:t>
      </w:r>
      <w:r>
        <w:rPr>
          <w:rFonts w:hint="eastAsia" w:ascii="仿宋_GB2312" w:hAnsi="仿宋_GB2312" w:eastAsia="仿宋_GB2312" w:cs="仿宋_GB2312"/>
          <w:color w:val="auto"/>
          <w:sz w:val="32"/>
          <w:szCs w:val="32"/>
          <w:highlight w:val="none"/>
          <w:lang w:val="zh-CN" w:eastAsia="zh-CN"/>
        </w:rPr>
        <w:t>比上年增加8.39万元，增长13.02%，主要原因是：</w:t>
      </w:r>
      <w:r>
        <w:rPr>
          <w:rFonts w:hint="eastAsia" w:ascii="仿宋_GB2312" w:hAnsi="仿宋" w:eastAsia="仿宋_GB2312" w:cs="仿宋"/>
          <w:sz w:val="32"/>
          <w:szCs w:val="32"/>
        </w:rPr>
        <w:t>支付</w:t>
      </w:r>
      <w:r>
        <w:rPr>
          <w:rFonts w:hint="eastAsia" w:ascii="仿宋_GB2312" w:hAnsi="仿宋" w:eastAsia="仿宋_GB2312" w:cs="仿宋"/>
          <w:sz w:val="32"/>
          <w:szCs w:val="32"/>
          <w:lang w:eastAsia="zh-CN"/>
        </w:rPr>
        <w:t>机关事务管理局</w:t>
      </w:r>
      <w:r>
        <w:rPr>
          <w:rFonts w:hint="eastAsia" w:ascii="仿宋_GB2312" w:hAnsi="仿宋" w:eastAsia="仿宋_GB2312" w:cs="仿宋"/>
          <w:sz w:val="32"/>
          <w:szCs w:val="32"/>
        </w:rPr>
        <w:t>全年的车辆</w:t>
      </w:r>
      <w:r>
        <w:rPr>
          <w:rFonts w:hint="eastAsia" w:ascii="仿宋_GB2312" w:hAnsi="仿宋" w:eastAsia="仿宋_GB2312" w:cs="仿宋"/>
          <w:sz w:val="32"/>
          <w:szCs w:val="32"/>
          <w:lang w:eastAsia="zh-CN"/>
        </w:rPr>
        <w:t>使用</w:t>
      </w:r>
      <w:r>
        <w:rPr>
          <w:rFonts w:hint="eastAsia" w:ascii="仿宋_GB2312" w:hAnsi="仿宋" w:eastAsia="仿宋_GB2312" w:cs="仿宋"/>
          <w:sz w:val="32"/>
          <w:szCs w:val="32"/>
        </w:rPr>
        <w:t>费</w:t>
      </w:r>
      <w:r>
        <w:rPr>
          <w:rFonts w:hint="eastAsia" w:ascii="仿宋_GB2312" w:hAnsi="仿宋" w:eastAsia="仿宋_GB2312" w:cs="仿宋"/>
          <w:sz w:val="32"/>
          <w:szCs w:val="32"/>
          <w:lang w:eastAsia="zh-CN"/>
        </w:rPr>
        <w:t>和</w:t>
      </w:r>
      <w:r>
        <w:rPr>
          <w:rFonts w:hint="eastAsia" w:ascii="仿宋_GB2312" w:hAnsi="仿宋" w:eastAsia="仿宋_GB2312" w:cs="仿宋"/>
          <w:sz w:val="32"/>
          <w:szCs w:val="32"/>
        </w:rPr>
        <w:t>历欠的车辆维修费</w:t>
      </w:r>
      <w:r>
        <w:rPr>
          <w:rFonts w:hint="eastAsia" w:ascii="仿宋_GB2312" w:hAnsi="仿宋" w:eastAsia="仿宋_GB2312" w:cs="仿宋"/>
          <w:sz w:val="32"/>
          <w:szCs w:val="32"/>
          <w:lang w:eastAsia="zh-CN"/>
        </w:rPr>
        <w:t>，参加上级组织的疆内疆外业务培训增加</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64.89万元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其中：政府采购货物支出32.97万元、政府采购工程支出4.75万元、政府采购服务支出27.18万元。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授予中小企业合同金额64.89万元，占政府采购支出总额的100.00%，其中：授予小微企业合同金额64.55万元，占政府采购支出总额的99.48%</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1,603.47</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屋6,494.68平方米，价值915.76万元。车辆2辆，价值55.49万元，其中：副部（省）级及以上领导用车0辆、主要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用车0辆、其他用车2辆，其他用车主要是：</w:t>
      </w:r>
      <w:r>
        <w:rPr>
          <w:rFonts w:hint="eastAsia" w:ascii="仿宋_GB2312" w:hAnsi="仿宋_GB2312" w:eastAsia="仿宋_GB2312" w:cs="仿宋_GB2312"/>
          <w:color w:val="auto"/>
          <w:sz w:val="32"/>
          <w:szCs w:val="32"/>
          <w:highlight w:val="none"/>
          <w:lang w:val="en-US" w:eastAsia="zh-CN"/>
        </w:rPr>
        <w:t>业务</w:t>
      </w:r>
      <w:r>
        <w:rPr>
          <w:rFonts w:hint="eastAsia" w:ascii="仿宋_GB2312" w:hAnsi="仿宋_GB2312" w:eastAsia="仿宋_GB2312" w:cs="仿宋_GB2312"/>
          <w:color w:val="auto"/>
          <w:sz w:val="32"/>
          <w:szCs w:val="32"/>
          <w:highlight w:val="none"/>
          <w:lang w:val="zh-CN" w:eastAsia="zh-CN"/>
        </w:rPr>
        <w:t>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Style w:val="13"/>
          <w:rFonts w:hint="eastAsia" w:ascii="仿宋" w:hAnsi="仿宋" w:eastAsia="仿宋" w:cs="仿宋"/>
          <w:b w:val="0"/>
          <w:sz w:val="32"/>
          <w:szCs w:val="32"/>
          <w:highlight w:val="none"/>
          <w:lang w:val="en-US" w:eastAsia="zh-CN" w:bidi="ar"/>
        </w:rPr>
        <w:t>6584.24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实际执行总额6563.51万元；预算绩效评价项目6个，全年预算数5228.69万元，全年执行数5207.93万元。其中：本单位共有涉密项目1个，全年预算数21万元，全年执行数21万元，不予以公开。</w:t>
      </w:r>
      <w:r>
        <w:rPr>
          <w:rFonts w:hint="eastAsia" w:ascii="仿宋_GB2312" w:eastAsia="仿宋_GB2312"/>
          <w:color w:val="auto"/>
          <w:sz w:val="32"/>
          <w:szCs w:val="32"/>
          <w:highlight w:val="none"/>
          <w:lang w:eastAsia="zh-CN"/>
        </w:rPr>
        <w:t>预算绩效管理取得的成效：一是</w:t>
      </w:r>
      <w:r>
        <w:rPr>
          <w:rStyle w:val="13"/>
          <w:rFonts w:hint="eastAsia" w:ascii="仿宋_GB2312" w:hAnsi="仿宋_GB2312" w:eastAsia="仿宋_GB2312" w:cs="仿宋_GB2312"/>
          <w:b w:val="0"/>
          <w:color w:val="000000" w:themeColor="text1"/>
          <w:sz w:val="32"/>
          <w:szCs w:val="32"/>
          <w:lang w:bidi="ar"/>
          <w14:textFill>
            <w14:solidFill>
              <w14:schemeClr w14:val="tx1"/>
            </w14:solidFill>
          </w14:textFill>
        </w:rPr>
        <w:t>有效提高了本单位</w:t>
      </w:r>
      <w:r>
        <w:rPr>
          <w:rStyle w:val="13"/>
          <w:rFonts w:hint="eastAsia" w:ascii="仿宋_GB2312" w:hAnsi="仿宋_GB2312" w:eastAsia="仿宋_GB2312" w:cs="仿宋_GB2312"/>
          <w:b w:val="0"/>
          <w:color w:val="000000" w:themeColor="text1"/>
          <w:sz w:val="32"/>
          <w:szCs w:val="32"/>
          <w:lang w:eastAsia="zh-CN" w:bidi="ar"/>
          <w14:textFill>
            <w14:solidFill>
              <w14:schemeClr w14:val="tx1"/>
            </w14:solidFill>
          </w14:textFill>
        </w:rPr>
        <w:t>高效地履行</w:t>
      </w:r>
      <w:r>
        <w:rPr>
          <w:rStyle w:val="13"/>
          <w:rFonts w:hint="eastAsia" w:ascii="仿宋_GB2312" w:hAnsi="仿宋_GB2312" w:eastAsia="仿宋_GB2312" w:cs="仿宋_GB2312"/>
          <w:b w:val="0"/>
          <w:color w:val="000000" w:themeColor="text1"/>
          <w:sz w:val="32"/>
          <w:szCs w:val="32"/>
          <w:lang w:bidi="ar"/>
          <w14:textFill>
            <w14:solidFill>
              <w14:schemeClr w14:val="tx1"/>
            </w14:solidFill>
          </w14:textFill>
        </w:rPr>
        <w:t>工作职能，较</w:t>
      </w:r>
      <w:r>
        <w:rPr>
          <w:rStyle w:val="13"/>
          <w:rFonts w:hint="eastAsia" w:ascii="仿宋_GB2312" w:hAnsi="仿宋_GB2312" w:eastAsia="仿宋_GB2312" w:cs="仿宋_GB2312"/>
          <w:b w:val="0"/>
          <w:color w:val="000000" w:themeColor="text1"/>
          <w:sz w:val="32"/>
          <w:szCs w:val="32"/>
          <w:lang w:eastAsia="zh-CN" w:bidi="ar"/>
          <w14:textFill>
            <w14:solidFill>
              <w14:schemeClr w14:val="tx1"/>
            </w14:solidFill>
          </w14:textFill>
        </w:rPr>
        <w:t>好地促进</w:t>
      </w:r>
      <w:r>
        <w:rPr>
          <w:rStyle w:val="13"/>
          <w:rFonts w:hint="eastAsia" w:ascii="仿宋_GB2312" w:hAnsi="仿宋_GB2312" w:eastAsia="仿宋_GB2312" w:cs="仿宋_GB2312"/>
          <w:b w:val="0"/>
          <w:color w:val="000000" w:themeColor="text1"/>
          <w:sz w:val="32"/>
          <w:szCs w:val="32"/>
          <w:lang w:bidi="ar"/>
          <w14:textFill>
            <w14:solidFill>
              <w14:schemeClr w14:val="tx1"/>
            </w14:solidFill>
          </w14:textFill>
        </w:rPr>
        <w:t>了相关事业的发展</w:t>
      </w:r>
      <w:r>
        <w:rPr>
          <w:rFonts w:hint="eastAsia" w:ascii="仿宋_GB2312" w:eastAsia="仿宋_GB2312"/>
          <w:color w:val="auto"/>
          <w:sz w:val="32"/>
          <w:szCs w:val="32"/>
          <w:highlight w:val="none"/>
          <w:lang w:eastAsia="zh-CN"/>
        </w:rPr>
        <w:t>；二是</w:t>
      </w:r>
      <w:r>
        <w:rPr>
          <w:rStyle w:val="13"/>
          <w:rFonts w:hint="eastAsia" w:ascii="仿宋_GB2312" w:hAnsi="仿宋_GB2312" w:eastAsia="仿宋_GB2312" w:cs="仿宋_GB2312"/>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r>
        <w:rPr>
          <w:rFonts w:hint="eastAsia" w:ascii="仿宋_GB2312" w:eastAsia="仿宋_GB2312"/>
          <w:color w:val="auto"/>
          <w:sz w:val="32"/>
          <w:szCs w:val="32"/>
          <w:highlight w:val="none"/>
          <w:lang w:eastAsia="zh-CN"/>
        </w:rPr>
        <w:t>。发现的问题及原因：一是</w:t>
      </w:r>
      <w:r>
        <w:rPr>
          <w:rFonts w:hint="eastAsia" w:ascii="仿宋_GB2312" w:eastAsia="仿宋_GB2312" w:cs="Times New Roman"/>
          <w:sz w:val="32"/>
          <w:szCs w:val="32"/>
          <w:highlight w:val="none"/>
          <w:lang w:val="en-US" w:eastAsia="zh-CN"/>
        </w:rPr>
        <w:t>绩效目标的设置与项目预算的确定没有同步。每年的项目预算基本上都是在上一年度的10月份左右，而项目目标审核基本上在当年2月份，两项工作中间有时间差，项目目标的绩效结果不能真实地反映项目预算，不能准确地为项目预算时提供相应的参考数据</w:t>
      </w:r>
      <w:r>
        <w:rPr>
          <w:rFonts w:hint="eastAsia" w:ascii="仿宋_GB2312" w:eastAsia="仿宋_GB2312"/>
          <w:color w:val="auto"/>
          <w:sz w:val="32"/>
          <w:szCs w:val="32"/>
          <w:highlight w:val="none"/>
          <w:lang w:eastAsia="zh-CN"/>
        </w:rPr>
        <w:t>；二是</w:t>
      </w:r>
      <w:r>
        <w:rPr>
          <w:rFonts w:hint="eastAsia" w:ascii="仿宋_GB2312" w:eastAsia="仿宋_GB2312"/>
          <w:sz w:val="32"/>
          <w:szCs w:val="32"/>
          <w:highlight w:val="none"/>
          <w:lang w:val="en-US" w:eastAsia="zh-CN"/>
        </w:rPr>
        <w:t>预算绩效管理缺乏系统的培训，造成预算绩效管理指导不到位、认识不到位，理解不充分，对预算绩效管理工作重点把握不到位</w:t>
      </w:r>
      <w:r>
        <w:rPr>
          <w:rFonts w:hint="eastAsia" w:ascii="仿宋_GB2312" w:eastAsia="仿宋_GB2312"/>
          <w:color w:val="auto"/>
          <w:sz w:val="32"/>
          <w:szCs w:val="32"/>
          <w:highlight w:val="none"/>
          <w:lang w:eastAsia="zh-CN"/>
        </w:rPr>
        <w:t>；三是</w:t>
      </w:r>
      <w:r>
        <w:rPr>
          <w:rFonts w:hint="eastAsia" w:ascii="仿宋_GB2312" w:eastAsia="仿宋_GB2312"/>
          <w:b w:val="0"/>
          <w:bCs/>
          <w:sz w:val="32"/>
          <w:szCs w:val="32"/>
          <w:highlight w:val="none"/>
          <w:lang w:val="en-US" w:eastAsia="zh-CN"/>
        </w:rPr>
        <w:t>经费预算编制精准度有待提高。由于预算执行中的不确定性，实际经费核算的科目、支出内容与预算会出现一定偏差</w:t>
      </w:r>
      <w:r>
        <w:rPr>
          <w:rFonts w:hint="eastAsia" w:ascii="仿宋_GB2312" w:eastAsia="仿宋_GB2312"/>
          <w:color w:val="auto"/>
          <w:sz w:val="32"/>
          <w:szCs w:val="32"/>
          <w:highlight w:val="none"/>
          <w:lang w:eastAsia="zh-CN"/>
        </w:rPr>
        <w:t>；四是</w:t>
      </w:r>
      <w:r>
        <w:rPr>
          <w:rFonts w:hint="eastAsia" w:ascii="仿宋_GB2312" w:eastAsia="仿宋_GB2312"/>
          <w:b w:val="0"/>
          <w:bCs/>
          <w:sz w:val="32"/>
          <w:szCs w:val="32"/>
          <w:highlight w:val="none"/>
          <w:lang w:val="en-US" w:eastAsia="zh-CN"/>
        </w:rPr>
        <w:t>财务人员业务素质有待进一步提高。由于缺乏系统学习，财务人员对预算绩效管理认识不到位、理解不充分，对预算绩效管理业务不了解、不熟悉，对工作重点把握不到位，由此造成绩效评价工作还未摆脱财务考评或工验收的影响</w:t>
      </w:r>
      <w:r>
        <w:rPr>
          <w:rFonts w:hint="eastAsia" w:ascii="仿宋_GB2312" w:eastAsia="仿宋_GB2312"/>
          <w:color w:val="auto"/>
          <w:sz w:val="32"/>
          <w:szCs w:val="32"/>
          <w:highlight w:val="none"/>
          <w:lang w:eastAsia="zh-CN"/>
        </w:rPr>
        <w:t>。下一步改进措施：一是</w:t>
      </w:r>
      <w:r>
        <w:rPr>
          <w:rFonts w:hint="eastAsia" w:ascii="仿宋_GB2312" w:hAnsi="仿宋" w:eastAsia="仿宋_GB2312" w:cs="Times New Roman"/>
          <w:b w:val="0"/>
          <w:bCs/>
          <w:kern w:val="2"/>
          <w:sz w:val="32"/>
          <w:szCs w:val="32"/>
          <w:highlight w:val="none"/>
          <w:lang w:val="en-US" w:eastAsia="zh-CN" w:bidi="ar-SA"/>
        </w:rPr>
        <w:t>树立绩效理念。通过设定明确可衡量的绩效目标，更清楚地了解资金支出所要取得的社会和经济效益，根据预算绩效管理制度和预算绩效管理指标跟踪预算的执行情况，以“细”为起点，做到细致入微，定期对预算执行情况进行分析，准确做好各项资金测算，合理安排收支预算，逐步形成以结果为导向的管理理念</w:t>
      </w:r>
      <w:r>
        <w:rPr>
          <w:rFonts w:hint="eastAsia" w:ascii="仿宋_GB2312" w:eastAsia="仿宋_GB2312"/>
          <w:color w:val="auto"/>
          <w:sz w:val="32"/>
          <w:szCs w:val="32"/>
          <w:highlight w:val="none"/>
          <w:lang w:eastAsia="zh-CN"/>
        </w:rPr>
        <w:t>；二是</w:t>
      </w:r>
      <w:r>
        <w:rPr>
          <w:rFonts w:hint="eastAsia" w:ascii="仿宋_GB2312" w:hAnsi="仿宋" w:eastAsia="仿宋_GB2312" w:cs="Times New Roman"/>
          <w:b w:val="0"/>
          <w:bCs/>
          <w:kern w:val="2"/>
          <w:sz w:val="32"/>
          <w:szCs w:val="32"/>
          <w:highlight w:val="none"/>
          <w:lang w:val="en-US" w:eastAsia="zh-CN" w:bidi="ar-SA"/>
        </w:rPr>
        <w:t>强化责任意识。通过绩效评价，考核各处室绩效目标实际完成情况和取得的成效，并与下年度预算安排挂钩，用财要问效，无效要问责，在一定程度上强化了单位整体和各部门的自我约束意识和责任意识</w:t>
      </w:r>
      <w:r>
        <w:rPr>
          <w:rFonts w:hint="eastAsia" w:ascii="仿宋_GB2312" w:eastAsia="仿宋_GB2312"/>
          <w:color w:val="auto"/>
          <w:sz w:val="32"/>
          <w:szCs w:val="32"/>
          <w:highlight w:val="none"/>
          <w:lang w:eastAsia="zh-CN"/>
        </w:rPr>
        <w:t>；三是</w:t>
      </w:r>
      <w:r>
        <w:rPr>
          <w:rFonts w:hint="eastAsia" w:ascii="仿宋_GB2312" w:hAnsi="仿宋" w:eastAsia="仿宋_GB2312" w:cs="Times New Roman"/>
          <w:b w:val="0"/>
          <w:bCs/>
          <w:kern w:val="2"/>
          <w:sz w:val="32"/>
          <w:szCs w:val="32"/>
          <w:highlight w:val="none"/>
          <w:lang w:val="en-US" w:eastAsia="zh-CN" w:bidi="ar-SA"/>
        </w:rPr>
        <w:t>提高资金的使用效益。本单位将以工作实际需求为依据，预算编制与工作实际相结合，按照规定的开支范围与开支标准，科学合理预测各项内容并按经济用途逐级细化分类，提高预算编制的科学性和准确性，优化支出结构，减少支出的随意性和盲目性，最大限度地将有限资源配置到效益最佳的部门并发挥最大效益</w:t>
      </w:r>
      <w:r>
        <w:rPr>
          <w:rFonts w:hint="eastAsia" w:ascii="仿宋_GB2312" w:eastAsia="仿宋_GB2312"/>
          <w:color w:val="auto"/>
          <w:sz w:val="32"/>
          <w:szCs w:val="32"/>
          <w:highlight w:val="none"/>
          <w:lang w:eastAsia="zh-CN"/>
        </w:rPr>
        <w:t>；四是</w:t>
      </w:r>
      <w:r>
        <w:rPr>
          <w:rFonts w:hint="eastAsia" w:ascii="仿宋_GB2312" w:hAnsi="仿宋" w:eastAsia="仿宋_GB2312" w:cs="Times New Roman"/>
          <w:b w:val="0"/>
          <w:bCs/>
          <w:kern w:val="2"/>
          <w:sz w:val="32"/>
          <w:szCs w:val="32"/>
          <w:highlight w:val="none"/>
          <w:lang w:val="en-US" w:eastAsia="zh-CN" w:bidi="ar-SA"/>
        </w:rPr>
        <w:t>不断完善预算绩效管理相关工作制度，建立全过程预算绩效管理链条，有效贯彻落实全面实施绩效管理的精神</w:t>
      </w:r>
      <w:r>
        <w:rPr>
          <w:rFonts w:hint="eastAsia" w:ascii="仿宋_GB2312" w:eastAsia="仿宋_GB2312"/>
          <w:color w:val="auto"/>
          <w:sz w:val="32"/>
          <w:szCs w:val="32"/>
          <w:highlight w:val="none"/>
          <w:lang w:eastAsia="zh-CN"/>
        </w:rPr>
        <w:t>；五是</w:t>
      </w:r>
      <w:r>
        <w:rPr>
          <w:rFonts w:hint="eastAsia" w:ascii="仿宋_GB2312" w:hAnsi="仿宋" w:eastAsia="仿宋_GB2312" w:cs="Times New Roman"/>
          <w:b w:val="0"/>
          <w:bCs/>
          <w:kern w:val="2"/>
          <w:sz w:val="32"/>
          <w:szCs w:val="32"/>
          <w:highlight w:val="none"/>
          <w:lang w:val="en-US" w:eastAsia="zh-CN" w:bidi="ar-SA"/>
        </w:rPr>
        <w:t>统筹协调部门内部的资金需求和经费分配，通过分清轻重缓急，突出重点，合理保障部门运行及各项财政工作的顺利开展。牢固树立“过紧日子”思想，落实党中央八项规定精神，严控机关运行经费等一般性支出，确保厉行节约落到实处</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FF0000"/>
          <w:sz w:val="32"/>
          <w:szCs w:val="32"/>
          <w:lang w:val="en-US" w:eastAsia="zh-CN"/>
        </w:rPr>
      </w:pPr>
      <w:r>
        <w:rPr>
          <w:rFonts w:hint="eastAsia" w:ascii="仿宋_GB2312" w:eastAsia="仿宋_GB2312"/>
          <w:color w:val="auto"/>
          <w:sz w:val="32"/>
          <w:szCs w:val="32"/>
          <w:highlight w:val="none"/>
          <w:lang w:eastAsia="zh-CN"/>
        </w:rPr>
        <w:t>本单位涉密项目</w:t>
      </w:r>
      <w:r>
        <w:rPr>
          <w:rFonts w:hint="eastAsia" w:ascii="仿宋_GB2312" w:eastAsia="仿宋_GB2312"/>
          <w:color w:val="auto"/>
          <w:sz w:val="32"/>
          <w:szCs w:val="32"/>
          <w:highlight w:val="none"/>
          <w:lang w:val="en-US" w:eastAsia="zh-CN"/>
        </w:rPr>
        <w:t>1个，全年预算数21万元，全年执行数21万元。不予以公开绩效自评表</w:t>
      </w:r>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FF0000"/>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1ZjM1YTUwYjU4NDAyZGMwMzkzNTQwN2NjNDMwMjk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ECC4314"/>
    <w:rsid w:val="0F1113DA"/>
    <w:rsid w:val="0F78534A"/>
    <w:rsid w:val="0F89358A"/>
    <w:rsid w:val="0F8C6D51"/>
    <w:rsid w:val="0FF30F39"/>
    <w:rsid w:val="105B0B5E"/>
    <w:rsid w:val="112E58D0"/>
    <w:rsid w:val="11731CAC"/>
    <w:rsid w:val="119500A0"/>
    <w:rsid w:val="11C0733B"/>
    <w:rsid w:val="11D50D17"/>
    <w:rsid w:val="120E0809"/>
    <w:rsid w:val="127975CC"/>
    <w:rsid w:val="127F665A"/>
    <w:rsid w:val="12A928AC"/>
    <w:rsid w:val="12F7068C"/>
    <w:rsid w:val="14207DC0"/>
    <w:rsid w:val="14541E3A"/>
    <w:rsid w:val="14B932DA"/>
    <w:rsid w:val="150A66AF"/>
    <w:rsid w:val="154C1139"/>
    <w:rsid w:val="158C5B77"/>
    <w:rsid w:val="15A707EA"/>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6F4530"/>
    <w:rsid w:val="19BB5C5F"/>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4A289C"/>
    <w:rsid w:val="21742080"/>
    <w:rsid w:val="21907852"/>
    <w:rsid w:val="21A53757"/>
    <w:rsid w:val="21F879E1"/>
    <w:rsid w:val="221236C6"/>
    <w:rsid w:val="22D7662C"/>
    <w:rsid w:val="23326B7F"/>
    <w:rsid w:val="2380045B"/>
    <w:rsid w:val="23BC04D2"/>
    <w:rsid w:val="23EF1892"/>
    <w:rsid w:val="2483647E"/>
    <w:rsid w:val="24A32D55"/>
    <w:rsid w:val="24CE6D9A"/>
    <w:rsid w:val="251C44F2"/>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EAA26A9"/>
    <w:rsid w:val="2F3F0A28"/>
    <w:rsid w:val="2FBF7029"/>
    <w:rsid w:val="2FD0187F"/>
    <w:rsid w:val="2FD27414"/>
    <w:rsid w:val="2FFE4BB0"/>
    <w:rsid w:val="300E7B60"/>
    <w:rsid w:val="300F6E18"/>
    <w:rsid w:val="30862F5F"/>
    <w:rsid w:val="30A4775A"/>
    <w:rsid w:val="31367384"/>
    <w:rsid w:val="313B2FEA"/>
    <w:rsid w:val="314029C9"/>
    <w:rsid w:val="31C63837"/>
    <w:rsid w:val="31C82E39"/>
    <w:rsid w:val="32601BAD"/>
    <w:rsid w:val="327E6275"/>
    <w:rsid w:val="329F6389"/>
    <w:rsid w:val="3389023A"/>
    <w:rsid w:val="33CB74FA"/>
    <w:rsid w:val="343642F2"/>
    <w:rsid w:val="343F3010"/>
    <w:rsid w:val="345D0A00"/>
    <w:rsid w:val="34713BFD"/>
    <w:rsid w:val="34C13589"/>
    <w:rsid w:val="34CA3411"/>
    <w:rsid w:val="353369E3"/>
    <w:rsid w:val="35B21E0B"/>
    <w:rsid w:val="35E00D72"/>
    <w:rsid w:val="36965B9D"/>
    <w:rsid w:val="36C549FD"/>
    <w:rsid w:val="37A755DD"/>
    <w:rsid w:val="37F33BFE"/>
    <w:rsid w:val="37F94FA0"/>
    <w:rsid w:val="380D3381"/>
    <w:rsid w:val="38115B1F"/>
    <w:rsid w:val="385E3AC3"/>
    <w:rsid w:val="387D6B9E"/>
    <w:rsid w:val="38A02F29"/>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0B1F77"/>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505500"/>
    <w:rsid w:val="42C10D7B"/>
    <w:rsid w:val="434E6957"/>
    <w:rsid w:val="43BA0E31"/>
    <w:rsid w:val="43C15147"/>
    <w:rsid w:val="43E14DD2"/>
    <w:rsid w:val="43F800E9"/>
    <w:rsid w:val="443A7E4B"/>
    <w:rsid w:val="444A7D08"/>
    <w:rsid w:val="452F5B3A"/>
    <w:rsid w:val="454E7FD2"/>
    <w:rsid w:val="46061BDC"/>
    <w:rsid w:val="461404F8"/>
    <w:rsid w:val="46413018"/>
    <w:rsid w:val="464B7E04"/>
    <w:rsid w:val="46794477"/>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5A11F2"/>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AE3EC8"/>
    <w:rsid w:val="61D1382F"/>
    <w:rsid w:val="61F114A2"/>
    <w:rsid w:val="622B0ABA"/>
    <w:rsid w:val="62512BB4"/>
    <w:rsid w:val="625D7D1A"/>
    <w:rsid w:val="62660469"/>
    <w:rsid w:val="62DD7D21"/>
    <w:rsid w:val="633D78E7"/>
    <w:rsid w:val="637D586B"/>
    <w:rsid w:val="63A5560B"/>
    <w:rsid w:val="63E9091F"/>
    <w:rsid w:val="64322AF9"/>
    <w:rsid w:val="64D6010D"/>
    <w:rsid w:val="64D82665"/>
    <w:rsid w:val="64E47C96"/>
    <w:rsid w:val="65185E87"/>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8A7DF2"/>
    <w:rsid w:val="70AA6621"/>
    <w:rsid w:val="7111480F"/>
    <w:rsid w:val="71261F49"/>
    <w:rsid w:val="712E6956"/>
    <w:rsid w:val="71473612"/>
    <w:rsid w:val="71504F32"/>
    <w:rsid w:val="7152309F"/>
    <w:rsid w:val="718F7F65"/>
    <w:rsid w:val="71D87CE0"/>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next w:val="1"/>
    <w:qFormat/>
    <w:uiPriority w:val="0"/>
    <w:pPr>
      <w:spacing w:before="100" w:beforeAutospacing="1"/>
      <w:ind w:left="0" w:firstLine="420" w:firstLineChars="200"/>
    </w:pPr>
    <w:rPr>
      <w:rFonts w:ascii="Times New Roman" w:hAnsi="Times New Roman"/>
    </w:rPr>
  </w:style>
  <w:style w:type="paragraph" w:styleId="3">
    <w:name w:val="Body Text Indent"/>
    <w:basedOn w:val="1"/>
    <w:next w:val="4"/>
    <w:qFormat/>
    <w:uiPriority w:val="0"/>
    <w:pPr>
      <w:spacing w:after="120" w:afterLines="0"/>
      <w:ind w:left="420" w:leftChars="200"/>
    </w:pPr>
  </w:style>
  <w:style w:type="paragraph" w:styleId="4">
    <w:name w:val="Normal (Web)"/>
    <w:basedOn w:val="1"/>
    <w:next w:val="1"/>
    <w:qFormat/>
    <w:uiPriority w:val="0"/>
    <w:pPr>
      <w:spacing w:before="100" w:beforeAutospacing="1" w:after="100" w:afterAutospacing="1"/>
      <w:ind w:left="0" w:right="0"/>
      <w:jc w:val="left"/>
    </w:pPr>
    <w:rPr>
      <w:kern w:val="0"/>
      <w:sz w:val="24"/>
      <w:lang w:val="en-US" w:eastAsia="zh-CN" w:bidi="ar"/>
    </w:rPr>
  </w:style>
  <w:style w:type="paragraph" w:styleId="5">
    <w:name w:val="annotation text"/>
    <w:basedOn w:val="1"/>
    <w:qFormat/>
    <w:uiPriority w:val="0"/>
    <w:pPr>
      <w:jc w:val="left"/>
    </w:pPr>
  </w:style>
  <w:style w:type="paragraph" w:styleId="6">
    <w:name w:val="toc 3"/>
    <w:basedOn w:val="1"/>
    <w:next w:val="1"/>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character" w:styleId="13">
    <w:name w:val="Strong"/>
    <w:basedOn w:val="12"/>
    <w:qFormat/>
    <w:uiPriority w:val="0"/>
    <w:rPr>
      <w:b/>
    </w:rPr>
  </w:style>
  <w:style w:type="paragraph" w:customStyle="1" w:styleId="14">
    <w:name w:val="WPSOffice手动目录 3"/>
    <w:qFormat/>
    <w:uiPriority w:val="0"/>
    <w:pPr>
      <w:ind w:leftChars="40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8269</Words>
  <Characters>9298</Characters>
  <Lines>0</Lines>
  <Paragraphs>0</Paragraphs>
  <TotalTime>2</TotalTime>
  <ScaleCrop>false</ScaleCrop>
  <LinksUpToDate>false</LinksUpToDate>
  <CharactersWithSpaces>9309</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2025-04-10T09:25:06Z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0C3C02B16BC84ADE835B420D9094530D</vt:lpwstr>
  </property>
  <property fmtid="{D5CDD505-2E9C-101B-9397-08002B2CF9AE}" pid="4" name="KSOTemplateDocerSaveRecord">
    <vt:lpwstr>eyJoZGlkIjoiZDU4MmQ2ZWMyMDZlYzhmM2M0MmMwNGNmYmFiY2Q3YTQiLCJ1c2VySWQiOiI1Mzk1NTEzNjcifQ==</vt:lpwstr>
  </property>
</Properties>
</file>