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沙湾市计生协会</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沙湾市计生协会的主要职能是:政治协商、民主监督、参政议政。这三项主要职能是各党派团体、各族各界人士在中国政治体制中参与国事、发挥作用的重要内容和基本形式，体现了人民计生协会的性质和特点，是人民计生协会区别于其他政治组织的重要标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4" w:name="_Toc31238"/>
      <w:bookmarkStart w:id="5" w:name="_Toc2151"/>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沙湾市计生协会</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3</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3</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宋体" w:eastAsia="仿宋_GB2312" w:cs="宋体"/>
          <w:color w:val="auto"/>
          <w:kern w:val="0"/>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color w:val="auto"/>
          <w:kern w:val="0"/>
          <w:sz w:val="32"/>
          <w:szCs w:val="32"/>
          <w:highlight w:val="none"/>
          <w:lang w:eastAsia="zh-CN"/>
        </w:rPr>
        <w:t>该</w:t>
      </w:r>
      <w:r>
        <w:rPr>
          <w:rFonts w:hint="eastAsia" w:ascii="仿宋_GB2312" w:hAnsi="黑体" w:eastAsia="仿宋_GB2312" w:cs="宋体"/>
          <w:bCs/>
          <w:color w:val="auto"/>
          <w:kern w:val="0"/>
          <w:sz w:val="32"/>
          <w:szCs w:val="32"/>
          <w:highlight w:val="none"/>
        </w:rPr>
        <w:t>单位无下属预算单位，下设</w:t>
      </w:r>
      <w:r>
        <w:rPr>
          <w:rFonts w:hint="eastAsia" w:ascii="仿宋_GB2312" w:eastAsia="仿宋_GB2312"/>
          <w:color w:val="auto"/>
          <w:sz w:val="32"/>
          <w:szCs w:val="32"/>
          <w:highlight w:val="none"/>
          <w:lang w:val="en-US" w:eastAsia="zh-CN"/>
        </w:rPr>
        <w:t>1</w:t>
      </w:r>
      <w:r>
        <w:rPr>
          <w:rFonts w:hint="eastAsia" w:ascii="仿宋_GB2312" w:hAnsi="黑体" w:eastAsia="仿宋_GB2312" w:cs="宋体"/>
          <w:bCs/>
          <w:color w:val="auto"/>
          <w:kern w:val="0"/>
          <w:sz w:val="32"/>
          <w:szCs w:val="32"/>
          <w:highlight w:val="none"/>
        </w:rPr>
        <w:t>个处室，分别是：</w:t>
      </w:r>
      <w:r>
        <w:rPr>
          <w:rFonts w:hint="eastAsia" w:ascii="仿宋_GB2312" w:hAnsi="黑体" w:eastAsia="仿宋_GB2312" w:cs="宋体"/>
          <w:bCs/>
          <w:color w:val="auto"/>
          <w:kern w:val="0"/>
          <w:sz w:val="32"/>
          <w:szCs w:val="32"/>
          <w:highlight w:val="none"/>
          <w:lang w:eastAsia="zh-CN"/>
        </w:rPr>
        <w:t>办公室</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3092"/>
      <w:bookmarkStart w:id="7" w:name="_Toc29374"/>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960" w:firstLineChars="3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48.46万元，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48.46万元，使用非财政拨款结余0.00万元，年初结转和结余0.00万元。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960" w:firstLineChars="3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48.46万元，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48.46万元，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增加2.89万元</w:t>
      </w:r>
      <w:r>
        <w:rPr>
          <w:rFonts w:hint="eastAsia" w:ascii="仿宋_GB2312" w:eastAsia="仿宋_GB2312"/>
          <w:color w:val="auto"/>
          <w:spacing w:val="0"/>
          <w:sz w:val="32"/>
          <w:szCs w:val="32"/>
          <w:highlight w:val="none"/>
          <w:lang w:eastAsia="zh-CN"/>
        </w:rPr>
        <w:t>，增长6.34%，主要原因是：</w:t>
      </w:r>
      <w:r>
        <w:rPr>
          <w:rFonts w:hint="eastAsia" w:ascii="仿宋_GB2312" w:eastAsia="仿宋_GB2312"/>
          <w:color w:val="auto"/>
          <w:spacing w:val="0"/>
          <w:sz w:val="32"/>
          <w:szCs w:val="32"/>
          <w:highlight w:val="none"/>
          <w:lang w:val="en-US" w:eastAsia="zh-CN"/>
        </w:rPr>
        <w:t>工资调整、社保基数增加、补发绩效</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48.46</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48.46</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100.00%</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本年支出48.46万元，其中：基本支出48.46万元，占100.00%；项目支出0.00万元，占0.00%；上缴上级支出0.00万元，占0.00%；经营支出0.00万元，占0.00%；对附属单位补助支出0.00万元，占0.00%。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48.46</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48.46</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48.46</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48.46</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增加2.89万元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增长6.34%,</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工资调整、社保基数增加、补发绩效</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44.50</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48.46</w:t>
      </w:r>
      <w:r>
        <w:rPr>
          <w:rFonts w:hint="eastAsia" w:ascii="仿宋_GB2312" w:eastAsia="仿宋_GB2312"/>
          <w:color w:val="auto"/>
          <w:spacing w:val="0"/>
          <w:sz w:val="32"/>
          <w:szCs w:val="32"/>
          <w:highlight w:val="none"/>
          <w:lang w:eastAsia="zh-CN"/>
        </w:rPr>
        <w:t>万元，预决算差异率8.90%，主要原因是：</w:t>
      </w:r>
      <w:r>
        <w:rPr>
          <w:rFonts w:hint="eastAsia" w:ascii="仿宋_GB2312" w:eastAsia="仿宋_GB2312"/>
          <w:color w:val="auto"/>
          <w:spacing w:val="0"/>
          <w:sz w:val="32"/>
          <w:szCs w:val="32"/>
          <w:highlight w:val="none"/>
          <w:lang w:val="en-US" w:eastAsia="zh-CN"/>
        </w:rPr>
        <w:t>工资调整、社保基数增加、补发绩效</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2023年度一般公共预算财政拨款支出48.46万元，占本年支出合计的</w:t>
      </w:r>
      <w:r>
        <w:rPr>
          <w:rFonts w:hint="eastAsia" w:ascii="仿宋_GB2312" w:eastAsia="仿宋_GB2312"/>
          <w:color w:val="auto"/>
          <w:spacing w:val="0"/>
          <w:sz w:val="32"/>
          <w:szCs w:val="32"/>
          <w:highlight w:val="none"/>
          <w:lang w:val="zh-CN" w:eastAsia="zh-CN"/>
        </w:rPr>
        <w:t>100.00%</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增加2.89万元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   6.34%,</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工资调整、社保基数增加、补发绩效</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44.50</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48.46</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8.90%</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工资调整、社保基数增加、补发绩效</w:t>
      </w:r>
      <w:r>
        <w:rPr>
          <w:rFonts w:hint="eastAsia" w:ascii="仿宋_GB2312" w:eastAsia="仿宋_GB2312"/>
          <w:color w:val="auto"/>
          <w:spacing w:val="0"/>
          <w:sz w:val="32"/>
          <w:szCs w:val="32"/>
          <w:highlight w:val="none"/>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1</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4.48</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9.24%</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2</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40.42</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83.41%</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3</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3.56</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7.35%</w:t>
      </w:r>
      <w:r>
        <w:rPr>
          <w:rFonts w:hint="eastAsia" w:ascii="仿宋_GB2312" w:eastAsia="仿宋_GB2312" w:cs="Times New Roman"/>
          <w:color w:val="auto"/>
          <w:spacing w:val="0"/>
          <w:kern w:val="2"/>
          <w:sz w:val="32"/>
          <w:szCs w:val="32"/>
          <w:highlight w:val="none"/>
          <w:lang w:val="en-US"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eastAsia" w:ascii="黑体" w:hAnsi="黑体" w:eastAsia="黑体"/>
          <w:color w:val="auto"/>
          <w:sz w:val="32"/>
          <w:szCs w:val="32"/>
          <w:highlight w:val="none"/>
          <w:lang w:eastAsia="zh-CN"/>
        </w:rPr>
      </w:pPr>
      <w:r>
        <w:rPr>
          <w:rFonts w:hint="eastAsia" w:ascii="仿宋_GB2312" w:eastAsia="仿宋_GB2312" w:cs="Times New Roman"/>
          <w:color w:val="auto"/>
          <w:spacing w:val="0"/>
          <w:kern w:val="2"/>
          <w:sz w:val="32"/>
          <w:szCs w:val="32"/>
          <w:highlight w:val="none"/>
          <w:lang w:val="en-US" w:eastAsia="zh-CN" w:bidi="ar-SA"/>
        </w:rPr>
        <w:t xml:space="preserve"> </w:t>
      </w: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1.卫生健康支出（类）行政事业单位医疗（款）行政单位医疗（项）:支出决算数为1.91万元，比上年决算增加0.06万元，增长3.24%，主要原因是：工资调整，社保基数增加</w:t>
      </w:r>
      <w:r>
        <w:rPr>
          <w:rFonts w:hint="eastAsia" w:ascii="仿宋_GB2312" w:eastAsia="仿宋_GB2312"/>
          <w:color w:val="auto"/>
          <w:spacing w:val="0"/>
          <w:sz w:val="32"/>
          <w:szCs w:val="32"/>
          <w:highlight w:val="none"/>
          <w:lang w:eastAsia="zh-CN"/>
        </w:rPr>
        <w:t>因此基本医疗相对增加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2.卫生健康支出（类）行政事业单位医疗（款）公务员医疗补助（项）:支出决算数为0.96万元，比上年决算增加0.06万元，增长6.67%，主要原因是：工资调整，社保基数缴费增大，</w:t>
      </w:r>
      <w:r>
        <w:rPr>
          <w:rFonts w:hint="eastAsia" w:ascii="仿宋_GB2312" w:eastAsia="仿宋_GB2312"/>
          <w:color w:val="auto"/>
          <w:spacing w:val="0"/>
          <w:sz w:val="32"/>
          <w:szCs w:val="32"/>
          <w:highlight w:val="none"/>
          <w:lang w:eastAsia="zh-CN"/>
        </w:rPr>
        <w:t>因此公务员医疗相对增加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3.住房保障支出（类）住房改革支出（款）住房公积金（项）:支出决算数为3.56万元，比上年决算增加0.20万元，增长5.95%，主要原因是：</w:t>
      </w:r>
      <w:r>
        <w:rPr>
          <w:rFonts w:hint="eastAsia" w:ascii="仿宋_GB2312" w:eastAsia="仿宋_GB2312"/>
          <w:color w:val="auto"/>
          <w:spacing w:val="0"/>
          <w:sz w:val="32"/>
          <w:szCs w:val="32"/>
          <w:highlight w:val="none"/>
          <w:lang w:val="en-US" w:eastAsia="zh-CN"/>
        </w:rPr>
        <w:t>工资调整、公积金缴费基数增加。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4.卫生健康支出（类）计划生育事务（款）计划生育机构（项）:支出决算数为37.55万元，比上年决算增加1.84万元，增长5.15%，主要原因是：</w:t>
      </w:r>
      <w:r>
        <w:rPr>
          <w:rFonts w:hint="eastAsia" w:ascii="仿宋_GB2312" w:eastAsia="仿宋_GB2312"/>
          <w:color w:val="auto"/>
          <w:spacing w:val="0"/>
          <w:sz w:val="32"/>
          <w:szCs w:val="32"/>
          <w:highlight w:val="none"/>
          <w:lang w:val="en-US" w:eastAsia="zh-CN"/>
        </w:rPr>
        <w:t>工资调整、社保、公积金基数增加，补发绩效</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5.社会保障和就业支出（类）行政事业单位养老支出（款）机关事业单位基本养老保险缴费支出（项）:支出决算数为4.48万元，比上年决算增加0.73万元，增长19.47%，主要原因是：</w:t>
      </w:r>
      <w:r>
        <w:rPr>
          <w:rFonts w:hint="eastAsia" w:ascii="仿宋_GB2312" w:hAnsi="仿宋_GB2312" w:eastAsia="仿宋_GB2312" w:cs="仿宋_GB2312"/>
          <w:color w:val="auto"/>
          <w:kern w:val="2"/>
          <w:sz w:val="32"/>
          <w:szCs w:val="32"/>
          <w:highlight w:val="none"/>
          <w:lang w:val="zh-CN" w:eastAsia="zh-CN" w:bidi="ar-SA"/>
        </w:rPr>
        <w:t>工资调整，养老保险基数增加。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48.46</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47.28</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基本工资、津贴补贴、奖金、机关事业单位基本养老保险缴费、职工基本医疗保险缴费、公务员医疗补助缴费、其他社会保障缴费、住房公积金、奖励金。</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1.18</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办公费、差旅费、培训费</w:t>
      </w:r>
      <w:r>
        <w:rPr>
          <w:rFonts w:hint="eastAsia" w:ascii="仿宋_GB2312" w:eastAsia="仿宋_GB2312"/>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主要原因是：我单位无“三公”经费。其中：因公出国（境）费支出0.00万元，占0.00%，比上年增加0.00万元，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主要原因是：我单位无因公出国（境）费支出；公务用车购置及运行维护费支出0.00万元，占0.00%，比上年增加0.00万元，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主要原因是：我单位无公务用车购置及运行维护费支出；公务接待费支出0.00万元，占0.00%，比上年增加0.00万元，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主要原因是：我单位无公务接待费支出。</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因公出国（境）费支出0.00万元，开支内容包括我单位无因公出国（境）费支出。单位全年安排的因公出国（境）团组0个，因公出国（境）0人次。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运行维护费开支内容包括我单位无公务用车运行维护费。公务用车购置数0辆，公务用车保有量0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0辆，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原因是：无差异。</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公务接待费0.00万元，开支内容包括我单位无公务接待费用。单位全年安排的国内公务接待0批次，0人次。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预算数0.00万元，决算数0.00万元，预决算差异率0.00%，主要原因是：无安排“三公”经费支出。其中：因公出国（境）费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0.00万元，决算数0.00万元，预决算差异率0.00%，主要原因是：无因公出国（境）费；公务用车购置费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预算数0.00万元，决算数0.00万元，预决算差异率0.00%，主要原因是：无公务用车购置费；公务用车运行费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预算数0.00万元，决算数0.00万元，预决算差异率0.00%，主要原因是：无公务用车运行费；公务接待费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预算数0.00万元，决算数0.00万元，预决算差异率0.00%，主要原因是：无公务接待费。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7314"/>
      <w:bookmarkStart w:id="21"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highlight w:val="none"/>
          <w:lang w:val="zh-CN" w:eastAsia="zh-CN"/>
        </w:rPr>
      </w:pPr>
      <w:bookmarkStart w:id="24" w:name="_Toc227"/>
      <w:bookmarkStart w:id="25" w:name="_Toc26704"/>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en-US" w:eastAsia="zh-CN"/>
        </w:rPr>
        <w:t>沙湾市计生协会（行政单位和参照公务员法管理事业单位）机关运行经费支出1.18万元，</w:t>
      </w:r>
      <w:r>
        <w:rPr>
          <w:rFonts w:hint="eastAsia" w:ascii="仿宋_GB2312" w:hAnsi="仿宋_GB2312" w:eastAsia="仿宋_GB2312" w:cs="仿宋_GB2312"/>
          <w:color w:val="auto"/>
          <w:sz w:val="32"/>
          <w:szCs w:val="32"/>
          <w:highlight w:val="none"/>
          <w:lang w:val="zh-CN" w:eastAsia="zh-CN"/>
        </w:rPr>
        <w:t>比上年增加0.27万元，增长29.67%，主要原因是：</w:t>
      </w:r>
      <w:r>
        <w:rPr>
          <w:rFonts w:hint="eastAsia" w:ascii="仿宋_GB2312" w:hAnsi="仿宋_GB2312" w:eastAsia="仿宋_GB2312" w:cs="仿宋_GB2312"/>
          <w:color w:val="auto"/>
          <w:sz w:val="32"/>
          <w:szCs w:val="32"/>
          <w:highlight w:val="none"/>
          <w:lang w:val="en-US" w:eastAsia="zh-CN"/>
        </w:rPr>
        <w:t>2023年我单位办公费增加，用于支付办公耗材</w:t>
      </w:r>
      <w:bookmarkStart w:id="48" w:name="_GoBack"/>
      <w:bookmarkEnd w:id="48"/>
      <w:r>
        <w:rPr>
          <w:rFonts w:hint="eastAsia" w:ascii="仿宋_GB2312" w:hAnsi="仿宋_GB2312" w:eastAsia="仿宋_GB2312" w:cs="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320" w:firstLineChars="1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zh-CN"/>
        </w:rPr>
        <w:t>政府采购支出总额</w:t>
      </w:r>
      <w:r>
        <w:rPr>
          <w:rFonts w:hint="eastAsia" w:ascii="仿宋_GB2312" w:hAnsi="仿宋_GB2312" w:eastAsia="仿宋_GB2312" w:cs="仿宋_GB2312"/>
          <w:color w:val="auto"/>
          <w:sz w:val="32"/>
          <w:szCs w:val="32"/>
          <w:highlight w:val="none"/>
          <w:lang w:val="zh-CN" w:eastAsia="zh-CN"/>
        </w:rPr>
        <w:t>0.36万元</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zh-CN" w:eastAsia="zh-CN"/>
        </w:rPr>
        <w:t>其中：政府采购货物支出0.08万元、政府采购工程支出0.00万元、政府采购服务支出0.28万元。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eastAsia="zh-CN"/>
        </w:rPr>
        <w:t>授予中小企业合同金额0.36万元，占政府采购支出总额的100.00%，其中：授予小微企业合同金额0.36万元，占政府采购支出总额的100.00%</w:t>
      </w:r>
      <w:r>
        <w:rPr>
          <w:rFonts w:hint="eastAsia" w:ascii="仿宋_GB2312" w:hAnsi="仿宋_GB2312" w:eastAsia="仿宋_GB2312" w:cs="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0"/>
          <w:highlight w:val="none"/>
          <w:lang w:val="zh-CN" w:eastAsia="zh-CN"/>
        </w:rPr>
      </w:pPr>
      <w:bookmarkStart w:id="26" w:name="_Toc4591"/>
      <w:bookmarkStart w:id="27" w:name="_Toc8391"/>
      <w:r>
        <w:rPr>
          <w:rFonts w:hint="eastAsia" w:ascii="仿宋_GB2312" w:hAnsi="仿宋_GB2312" w:eastAsia="仿宋_GB2312" w:cs="仿宋_GB2312"/>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en-US" w:eastAsia="zh-CN"/>
        </w:rPr>
        <w:t>截至2023</w:t>
      </w:r>
      <w:r>
        <w:rPr>
          <w:rFonts w:hint="eastAsia" w:ascii="仿宋_GB2312" w:hAnsi="仿宋_GB2312" w:eastAsia="仿宋_GB2312" w:cs="仿宋_GB2312"/>
          <w:color w:val="auto"/>
          <w:sz w:val="32"/>
          <w:szCs w:val="32"/>
          <w:highlight w:val="none"/>
          <w:lang w:val="zh-CN" w:eastAsia="zh-CN"/>
        </w:rPr>
        <w:t>年</w:t>
      </w:r>
      <w:r>
        <w:rPr>
          <w:rFonts w:hint="eastAsia" w:ascii="仿宋_GB2312" w:hAnsi="仿宋_GB2312" w:eastAsia="仿宋_GB2312" w:cs="仿宋_GB2312"/>
          <w:color w:val="auto"/>
          <w:sz w:val="32"/>
          <w:szCs w:val="32"/>
          <w:highlight w:val="none"/>
          <w:lang w:val="en-US" w:eastAsia="zh-CN"/>
        </w:rPr>
        <w:t>12月31日</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固定资产原值</w:t>
      </w:r>
      <w:r>
        <w:rPr>
          <w:rFonts w:hint="eastAsia" w:ascii="仿宋_GB2312" w:hAnsi="仿宋_GB2312" w:eastAsia="仿宋_GB2312" w:cs="仿宋_GB2312"/>
          <w:color w:val="auto"/>
          <w:sz w:val="32"/>
          <w:szCs w:val="32"/>
          <w:highlight w:val="none"/>
          <w:lang w:val="zh-CN" w:eastAsia="zh-CN"/>
        </w:rPr>
        <w:t>1.41</w:t>
      </w:r>
      <w:r>
        <w:rPr>
          <w:rFonts w:hint="eastAsia" w:ascii="仿宋_GB2312" w:hAnsi="仿宋_GB2312" w:eastAsia="仿宋_GB2312" w:cs="仿宋_GB2312"/>
          <w:color w:val="auto"/>
          <w:sz w:val="32"/>
          <w:szCs w:val="32"/>
          <w:highlight w:val="none"/>
          <w:lang w:val="en-US" w:eastAsia="zh-CN"/>
        </w:rPr>
        <w:t>万元，房</w:t>
      </w:r>
      <w:r>
        <w:rPr>
          <w:rFonts w:hint="eastAsia" w:ascii="仿宋_GB2312" w:hAnsi="仿宋_GB2312" w:eastAsia="仿宋_GB2312" w:cs="仿宋_GB2312"/>
          <w:color w:val="auto"/>
          <w:sz w:val="32"/>
          <w:szCs w:val="32"/>
          <w:highlight w:val="none"/>
          <w:lang w:val="zh-CN" w:eastAsia="zh-CN"/>
        </w:rPr>
        <w:t>屋0.00平方米，价值0.00万元。车辆0辆，价值0.00万元，其中：副部（省）级及以上领导用车0辆、主要</w:t>
      </w:r>
      <w:r>
        <w:rPr>
          <w:rFonts w:hint="eastAsia" w:ascii="仿宋_GB2312" w:hAnsi="仿宋_GB2312" w:eastAsia="仿宋_GB2312" w:cs="仿宋_GB2312"/>
          <w:color w:val="auto"/>
          <w:sz w:val="32"/>
          <w:szCs w:val="32"/>
          <w:highlight w:val="none"/>
          <w:lang w:val="en-US" w:eastAsia="zh-CN"/>
        </w:rPr>
        <w:t>负责人</w:t>
      </w:r>
      <w:r>
        <w:rPr>
          <w:rFonts w:hint="eastAsia" w:ascii="仿宋_GB2312" w:hAnsi="仿宋_GB2312" w:eastAsia="仿宋_GB2312" w:cs="仿宋_GB2312"/>
          <w:color w:val="auto"/>
          <w:sz w:val="32"/>
          <w:szCs w:val="32"/>
          <w:highlight w:val="none"/>
          <w:lang w:val="zh-CN" w:eastAsia="zh-CN"/>
        </w:rPr>
        <w:t>用车0辆、机要通信用车0辆、应急保障用车0辆、执法执勤用车0辆、特种专业技术用车0辆、离退休干部</w:t>
      </w:r>
      <w:r>
        <w:rPr>
          <w:rFonts w:hint="eastAsia" w:ascii="仿宋_GB2312" w:hAnsi="仿宋_GB2312" w:eastAsia="仿宋_GB2312" w:cs="仿宋_GB2312"/>
          <w:color w:val="auto"/>
          <w:sz w:val="32"/>
          <w:szCs w:val="32"/>
          <w:highlight w:val="none"/>
          <w:lang w:val="en-US" w:eastAsia="zh-CN"/>
        </w:rPr>
        <w:t>服务</w:t>
      </w:r>
      <w:r>
        <w:rPr>
          <w:rFonts w:hint="eastAsia" w:ascii="仿宋_GB2312" w:hAnsi="仿宋_GB2312" w:eastAsia="仿宋_GB2312" w:cs="仿宋_GB2312"/>
          <w:color w:val="auto"/>
          <w:sz w:val="32"/>
          <w:szCs w:val="32"/>
          <w:highlight w:val="none"/>
          <w:lang w:val="zh-CN" w:eastAsia="zh-CN"/>
        </w:rPr>
        <w:t>用车0辆、其他用车0辆，其他用车主要是：无单位用车；单价100万元（含）以上设备（不含车辆）0</w:t>
      </w:r>
      <w:r>
        <w:rPr>
          <w:rFonts w:hint="eastAsia" w:ascii="仿宋_GB2312" w:hAnsi="仿宋_GB2312" w:eastAsia="仿宋_GB2312" w:cs="仿宋_GB2312"/>
          <w:color w:val="auto"/>
          <w:sz w:val="32"/>
          <w:szCs w:val="32"/>
          <w:highlight w:val="none"/>
          <w:lang w:val="en-US" w:eastAsia="zh-CN"/>
        </w:rPr>
        <w:t>台（</w:t>
      </w:r>
      <w:r>
        <w:rPr>
          <w:rFonts w:hint="eastAsia" w:ascii="仿宋_GB2312" w:hAnsi="仿宋_GB2312" w:eastAsia="仿宋_GB2312" w:cs="仿宋_GB2312"/>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预算总额48.46</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实际执行总额48.46</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。预算绩效管理取得的成效：</w:t>
      </w:r>
      <w:r>
        <w:rPr>
          <w:rFonts w:hint="eastAsia" w:ascii="仿宋_GB2312" w:eastAsia="仿宋_GB2312"/>
          <w:color w:val="auto"/>
          <w:sz w:val="32"/>
          <w:szCs w:val="32"/>
          <w:highlight w:val="none"/>
          <w:lang w:val="en-US" w:eastAsia="zh-CN"/>
        </w:rPr>
        <w:t>一是绩效项目的实施，确保项目正常开展；二是绩效项目的实施，发挥了明显的社会效益，满意度高。发现的问题及原因：一是存在“重投入轻管理、重支出轻绩效”的情况；二是对全面实施预算绩效管理的要求认识还不到位，项目申报、实施等环节与预算绩效管理各个环节联系不够紧密。下一步改进措施：一是加强各科室的衔接，明确分工，协调专人负责，确保项目的实施；二是将进一步加强绩效管理工作人员的培训和学习工作，通过对每笔资金的细致化管理来保障资金使用的合规、合法性，并据此分析各类资金支出产生的效益，使本单位的绩效工作上一个新台阶。</w:t>
      </w:r>
      <w:r>
        <w:rPr>
          <w:rFonts w:hint="eastAsia" w:ascii="仿宋_GB2312" w:eastAsia="仿宋_GB2312"/>
          <w:color w:val="auto"/>
          <w:sz w:val="32"/>
          <w:szCs w:val="32"/>
          <w:highlight w:val="none"/>
          <w:lang w:eastAsia="zh-CN"/>
        </w:rPr>
        <w:t>无预算绩效评价项目。</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本单位无其他需说明事项</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24143"/>
      <w:bookmarkStart w:id="31" w:name="_Toc3250"/>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000000"/>
    <w:rsid w:val="00213C59"/>
    <w:rsid w:val="003210CE"/>
    <w:rsid w:val="00B70D59"/>
    <w:rsid w:val="00F52A8D"/>
    <w:rsid w:val="019404F8"/>
    <w:rsid w:val="01C30B6B"/>
    <w:rsid w:val="01ED22F2"/>
    <w:rsid w:val="0206350A"/>
    <w:rsid w:val="02BD3108"/>
    <w:rsid w:val="02F73D26"/>
    <w:rsid w:val="034D4FEF"/>
    <w:rsid w:val="035D1785"/>
    <w:rsid w:val="039F47CE"/>
    <w:rsid w:val="03BD5310"/>
    <w:rsid w:val="03E05CE8"/>
    <w:rsid w:val="03F973EE"/>
    <w:rsid w:val="043E5B56"/>
    <w:rsid w:val="045907A9"/>
    <w:rsid w:val="04C04386"/>
    <w:rsid w:val="04D1736D"/>
    <w:rsid w:val="04D96608"/>
    <w:rsid w:val="04F210E4"/>
    <w:rsid w:val="04FA68C4"/>
    <w:rsid w:val="053F5AE6"/>
    <w:rsid w:val="057C0B0F"/>
    <w:rsid w:val="05EF4B48"/>
    <w:rsid w:val="05F76ECA"/>
    <w:rsid w:val="06183A24"/>
    <w:rsid w:val="06792773"/>
    <w:rsid w:val="06DB6C48"/>
    <w:rsid w:val="06FD75CA"/>
    <w:rsid w:val="07093795"/>
    <w:rsid w:val="07804730"/>
    <w:rsid w:val="079052BE"/>
    <w:rsid w:val="08145C21"/>
    <w:rsid w:val="08422688"/>
    <w:rsid w:val="085854ED"/>
    <w:rsid w:val="0879188F"/>
    <w:rsid w:val="08A0354D"/>
    <w:rsid w:val="08CD4C49"/>
    <w:rsid w:val="09114954"/>
    <w:rsid w:val="095A5B83"/>
    <w:rsid w:val="096466E3"/>
    <w:rsid w:val="0968304D"/>
    <w:rsid w:val="09AF3D17"/>
    <w:rsid w:val="0A3A38BC"/>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172DAA"/>
    <w:rsid w:val="0D4903E8"/>
    <w:rsid w:val="0D7A4A46"/>
    <w:rsid w:val="0E640559"/>
    <w:rsid w:val="0F1113DA"/>
    <w:rsid w:val="0F78534A"/>
    <w:rsid w:val="0F89358A"/>
    <w:rsid w:val="0F8C6D51"/>
    <w:rsid w:val="0F946128"/>
    <w:rsid w:val="0FE77B5C"/>
    <w:rsid w:val="10060763"/>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9A0039"/>
    <w:rsid w:val="16D50C50"/>
    <w:rsid w:val="16E120E1"/>
    <w:rsid w:val="17385A05"/>
    <w:rsid w:val="173B3901"/>
    <w:rsid w:val="176747F9"/>
    <w:rsid w:val="17954A6E"/>
    <w:rsid w:val="17BE2C86"/>
    <w:rsid w:val="180059E9"/>
    <w:rsid w:val="184510FD"/>
    <w:rsid w:val="190648B0"/>
    <w:rsid w:val="19071D6C"/>
    <w:rsid w:val="19D26CD4"/>
    <w:rsid w:val="19E60D19"/>
    <w:rsid w:val="1A3E3450"/>
    <w:rsid w:val="1AB4432F"/>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3F37CF"/>
    <w:rsid w:val="1FA15E62"/>
    <w:rsid w:val="1FED69B6"/>
    <w:rsid w:val="1FFD7DF8"/>
    <w:rsid w:val="2064678E"/>
    <w:rsid w:val="20DC1AB9"/>
    <w:rsid w:val="20DD6197"/>
    <w:rsid w:val="212631E0"/>
    <w:rsid w:val="2138666F"/>
    <w:rsid w:val="21742080"/>
    <w:rsid w:val="21A53757"/>
    <w:rsid w:val="21AE216D"/>
    <w:rsid w:val="21F879E1"/>
    <w:rsid w:val="221236C6"/>
    <w:rsid w:val="22CA4144"/>
    <w:rsid w:val="22D7662C"/>
    <w:rsid w:val="23326B7F"/>
    <w:rsid w:val="2380045B"/>
    <w:rsid w:val="23BC04D2"/>
    <w:rsid w:val="23EF1892"/>
    <w:rsid w:val="2483647E"/>
    <w:rsid w:val="24A32D55"/>
    <w:rsid w:val="24CE6D9A"/>
    <w:rsid w:val="25292727"/>
    <w:rsid w:val="252E5CA9"/>
    <w:rsid w:val="256F7692"/>
    <w:rsid w:val="25BA2154"/>
    <w:rsid w:val="25C8773F"/>
    <w:rsid w:val="26235823"/>
    <w:rsid w:val="264A7253"/>
    <w:rsid w:val="26F0170C"/>
    <w:rsid w:val="26FE3B9A"/>
    <w:rsid w:val="27201D62"/>
    <w:rsid w:val="27286E73"/>
    <w:rsid w:val="27CF2642"/>
    <w:rsid w:val="27E777F5"/>
    <w:rsid w:val="27EA1D4C"/>
    <w:rsid w:val="27EA2E41"/>
    <w:rsid w:val="282459E2"/>
    <w:rsid w:val="283A7FE5"/>
    <w:rsid w:val="285F51FF"/>
    <w:rsid w:val="28DA4193"/>
    <w:rsid w:val="28DF2665"/>
    <w:rsid w:val="29072599"/>
    <w:rsid w:val="291029F3"/>
    <w:rsid w:val="29B54E11"/>
    <w:rsid w:val="29CB58F0"/>
    <w:rsid w:val="2A053397"/>
    <w:rsid w:val="2A145E96"/>
    <w:rsid w:val="2A2131BB"/>
    <w:rsid w:val="2AF5378F"/>
    <w:rsid w:val="2BB94DBF"/>
    <w:rsid w:val="2BF37410"/>
    <w:rsid w:val="2C6F314E"/>
    <w:rsid w:val="2CC206BE"/>
    <w:rsid w:val="2D1136DF"/>
    <w:rsid w:val="2D20606D"/>
    <w:rsid w:val="2D6729FE"/>
    <w:rsid w:val="2DB87198"/>
    <w:rsid w:val="2DB93C54"/>
    <w:rsid w:val="2E3D144C"/>
    <w:rsid w:val="2E891204"/>
    <w:rsid w:val="2F3F0A28"/>
    <w:rsid w:val="2FBF7029"/>
    <w:rsid w:val="2FD0187F"/>
    <w:rsid w:val="2FD27414"/>
    <w:rsid w:val="2FFE4BB0"/>
    <w:rsid w:val="300E7B60"/>
    <w:rsid w:val="300F6E18"/>
    <w:rsid w:val="30862F5F"/>
    <w:rsid w:val="30A4775A"/>
    <w:rsid w:val="314029C9"/>
    <w:rsid w:val="31C63837"/>
    <w:rsid w:val="31C82E39"/>
    <w:rsid w:val="32601BAD"/>
    <w:rsid w:val="329F6389"/>
    <w:rsid w:val="3389023A"/>
    <w:rsid w:val="33CB74FA"/>
    <w:rsid w:val="343642F2"/>
    <w:rsid w:val="343F3010"/>
    <w:rsid w:val="345D0A00"/>
    <w:rsid w:val="34713BFD"/>
    <w:rsid w:val="34C13589"/>
    <w:rsid w:val="353369E3"/>
    <w:rsid w:val="35B21E0B"/>
    <w:rsid w:val="35E00D72"/>
    <w:rsid w:val="36965B9D"/>
    <w:rsid w:val="36C549FD"/>
    <w:rsid w:val="37A755DD"/>
    <w:rsid w:val="37F33BFE"/>
    <w:rsid w:val="37F94FA0"/>
    <w:rsid w:val="380D3381"/>
    <w:rsid w:val="38115B1F"/>
    <w:rsid w:val="385E3AC3"/>
    <w:rsid w:val="387D6B9E"/>
    <w:rsid w:val="38B75FF0"/>
    <w:rsid w:val="38D45016"/>
    <w:rsid w:val="38D90432"/>
    <w:rsid w:val="3914510A"/>
    <w:rsid w:val="3926770B"/>
    <w:rsid w:val="3982065B"/>
    <w:rsid w:val="398D3668"/>
    <w:rsid w:val="39CA7CBC"/>
    <w:rsid w:val="39DA0497"/>
    <w:rsid w:val="3A893816"/>
    <w:rsid w:val="3A893B6D"/>
    <w:rsid w:val="3AD1763A"/>
    <w:rsid w:val="3B196883"/>
    <w:rsid w:val="3B6716E3"/>
    <w:rsid w:val="3B6C6B2D"/>
    <w:rsid w:val="3C242659"/>
    <w:rsid w:val="3C96719C"/>
    <w:rsid w:val="3CA72BE8"/>
    <w:rsid w:val="3CDC1E1E"/>
    <w:rsid w:val="3CF37F8C"/>
    <w:rsid w:val="3D137554"/>
    <w:rsid w:val="3D5275AC"/>
    <w:rsid w:val="3DCC2473"/>
    <w:rsid w:val="3DEB0883"/>
    <w:rsid w:val="3E2527BF"/>
    <w:rsid w:val="3E70484C"/>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21A5F6D"/>
    <w:rsid w:val="42C10D7B"/>
    <w:rsid w:val="434E6957"/>
    <w:rsid w:val="43BA0E31"/>
    <w:rsid w:val="43C15147"/>
    <w:rsid w:val="43E14DD2"/>
    <w:rsid w:val="43F800E9"/>
    <w:rsid w:val="443A7E4B"/>
    <w:rsid w:val="444A7D08"/>
    <w:rsid w:val="452F5B3A"/>
    <w:rsid w:val="454E7FD2"/>
    <w:rsid w:val="45ED0FFB"/>
    <w:rsid w:val="46061BDC"/>
    <w:rsid w:val="461404F8"/>
    <w:rsid w:val="46413018"/>
    <w:rsid w:val="464B7E04"/>
    <w:rsid w:val="4652749B"/>
    <w:rsid w:val="468041AA"/>
    <w:rsid w:val="468123C6"/>
    <w:rsid w:val="46901EEE"/>
    <w:rsid w:val="469C74D2"/>
    <w:rsid w:val="47445515"/>
    <w:rsid w:val="474B4782"/>
    <w:rsid w:val="477E1FA6"/>
    <w:rsid w:val="47D90D14"/>
    <w:rsid w:val="47DE1152"/>
    <w:rsid w:val="48387FB0"/>
    <w:rsid w:val="483A6114"/>
    <w:rsid w:val="488727DB"/>
    <w:rsid w:val="48B82268"/>
    <w:rsid w:val="48C354B3"/>
    <w:rsid w:val="493D58B5"/>
    <w:rsid w:val="494A7A04"/>
    <w:rsid w:val="49605EF7"/>
    <w:rsid w:val="4A0A26D2"/>
    <w:rsid w:val="4A2019A5"/>
    <w:rsid w:val="4A241A0B"/>
    <w:rsid w:val="4A5C2BD7"/>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3C450E"/>
    <w:rsid w:val="518D0ED5"/>
    <w:rsid w:val="525C687F"/>
    <w:rsid w:val="52A3740A"/>
    <w:rsid w:val="52F647F7"/>
    <w:rsid w:val="52F92565"/>
    <w:rsid w:val="53AE735E"/>
    <w:rsid w:val="53B00801"/>
    <w:rsid w:val="53D03877"/>
    <w:rsid w:val="542F73CA"/>
    <w:rsid w:val="5430786D"/>
    <w:rsid w:val="545A1D2A"/>
    <w:rsid w:val="54C811C0"/>
    <w:rsid w:val="556A442D"/>
    <w:rsid w:val="55DA564E"/>
    <w:rsid w:val="55E816A3"/>
    <w:rsid w:val="5604127D"/>
    <w:rsid w:val="56044E6C"/>
    <w:rsid w:val="56166703"/>
    <w:rsid w:val="56510474"/>
    <w:rsid w:val="56814A3E"/>
    <w:rsid w:val="56861525"/>
    <w:rsid w:val="569B52DF"/>
    <w:rsid w:val="56A93273"/>
    <w:rsid w:val="56BD550C"/>
    <w:rsid w:val="56E07045"/>
    <w:rsid w:val="56FF28AF"/>
    <w:rsid w:val="57540E7D"/>
    <w:rsid w:val="577B4878"/>
    <w:rsid w:val="57926973"/>
    <w:rsid w:val="57D1482F"/>
    <w:rsid w:val="58175352"/>
    <w:rsid w:val="581F2200"/>
    <w:rsid w:val="583059FA"/>
    <w:rsid w:val="584A0929"/>
    <w:rsid w:val="58833C31"/>
    <w:rsid w:val="58CD2491"/>
    <w:rsid w:val="591B41B2"/>
    <w:rsid w:val="59254A26"/>
    <w:rsid w:val="59326325"/>
    <w:rsid w:val="595C505B"/>
    <w:rsid w:val="595E55C3"/>
    <w:rsid w:val="596E7E20"/>
    <w:rsid w:val="5A5D23AA"/>
    <w:rsid w:val="5A60780B"/>
    <w:rsid w:val="5AB34579"/>
    <w:rsid w:val="5AB40E78"/>
    <w:rsid w:val="5AF80B40"/>
    <w:rsid w:val="5AFC6609"/>
    <w:rsid w:val="5B113480"/>
    <w:rsid w:val="5BD456CE"/>
    <w:rsid w:val="5C0D1F49"/>
    <w:rsid w:val="5CBB0CE2"/>
    <w:rsid w:val="5CC17177"/>
    <w:rsid w:val="5CF306BC"/>
    <w:rsid w:val="5D3F3D64"/>
    <w:rsid w:val="5D833043"/>
    <w:rsid w:val="5DD92690"/>
    <w:rsid w:val="5DDB1CFD"/>
    <w:rsid w:val="5E7E6D93"/>
    <w:rsid w:val="5E82459B"/>
    <w:rsid w:val="5ED44800"/>
    <w:rsid w:val="5F350BDE"/>
    <w:rsid w:val="5F61632C"/>
    <w:rsid w:val="5FA17648"/>
    <w:rsid w:val="5FE705CB"/>
    <w:rsid w:val="6007714E"/>
    <w:rsid w:val="603D5080"/>
    <w:rsid w:val="606842D0"/>
    <w:rsid w:val="60D0261B"/>
    <w:rsid w:val="618E3791"/>
    <w:rsid w:val="61947DCA"/>
    <w:rsid w:val="61A46A97"/>
    <w:rsid w:val="61D1382F"/>
    <w:rsid w:val="61F114A2"/>
    <w:rsid w:val="622B0ABA"/>
    <w:rsid w:val="62512BB4"/>
    <w:rsid w:val="625D7D1A"/>
    <w:rsid w:val="62660469"/>
    <w:rsid w:val="628A3F58"/>
    <w:rsid w:val="62DD7D21"/>
    <w:rsid w:val="637D586B"/>
    <w:rsid w:val="63A5560B"/>
    <w:rsid w:val="63E9091F"/>
    <w:rsid w:val="64322AF9"/>
    <w:rsid w:val="64D6010D"/>
    <w:rsid w:val="64D82665"/>
    <w:rsid w:val="64E47C96"/>
    <w:rsid w:val="651E5741"/>
    <w:rsid w:val="655D7702"/>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116DA"/>
    <w:rsid w:val="689C6793"/>
    <w:rsid w:val="68DB0208"/>
    <w:rsid w:val="68FB170C"/>
    <w:rsid w:val="691B3D98"/>
    <w:rsid w:val="693748F0"/>
    <w:rsid w:val="69846A0E"/>
    <w:rsid w:val="69AA1366"/>
    <w:rsid w:val="69AD798C"/>
    <w:rsid w:val="69D005C0"/>
    <w:rsid w:val="69D80B96"/>
    <w:rsid w:val="69F47AD7"/>
    <w:rsid w:val="6A2C39D4"/>
    <w:rsid w:val="6B68175F"/>
    <w:rsid w:val="6BFD799F"/>
    <w:rsid w:val="6C4A2E5A"/>
    <w:rsid w:val="6C8138D0"/>
    <w:rsid w:val="6CEF0725"/>
    <w:rsid w:val="6D4B2604"/>
    <w:rsid w:val="6D77358F"/>
    <w:rsid w:val="6D8030E4"/>
    <w:rsid w:val="6E0E35C4"/>
    <w:rsid w:val="6E0F7A08"/>
    <w:rsid w:val="6E3947F5"/>
    <w:rsid w:val="6E6733A0"/>
    <w:rsid w:val="6E6E3938"/>
    <w:rsid w:val="6E9C74ED"/>
    <w:rsid w:val="6EE37A00"/>
    <w:rsid w:val="6EF72976"/>
    <w:rsid w:val="6F795A80"/>
    <w:rsid w:val="6F7C1D2E"/>
    <w:rsid w:val="6F8E0407"/>
    <w:rsid w:val="6FDD069F"/>
    <w:rsid w:val="702B4D16"/>
    <w:rsid w:val="70AA6621"/>
    <w:rsid w:val="7111480F"/>
    <w:rsid w:val="71261F49"/>
    <w:rsid w:val="712E6956"/>
    <w:rsid w:val="71473612"/>
    <w:rsid w:val="71504F32"/>
    <w:rsid w:val="7152309F"/>
    <w:rsid w:val="718F7F65"/>
    <w:rsid w:val="71DA6992"/>
    <w:rsid w:val="727B234E"/>
    <w:rsid w:val="728A58B0"/>
    <w:rsid w:val="72D068C7"/>
    <w:rsid w:val="72E42ED8"/>
    <w:rsid w:val="72FC34C3"/>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6E6594C"/>
    <w:rsid w:val="770719AC"/>
    <w:rsid w:val="776526CC"/>
    <w:rsid w:val="77A262E1"/>
    <w:rsid w:val="77B13C33"/>
    <w:rsid w:val="77DC095A"/>
    <w:rsid w:val="77ED6F44"/>
    <w:rsid w:val="77F45548"/>
    <w:rsid w:val="77FC440B"/>
    <w:rsid w:val="784E7CA6"/>
    <w:rsid w:val="78574801"/>
    <w:rsid w:val="7873527F"/>
    <w:rsid w:val="790A6425"/>
    <w:rsid w:val="790E2D96"/>
    <w:rsid w:val="791B54B2"/>
    <w:rsid w:val="793C0F89"/>
    <w:rsid w:val="795A0A34"/>
    <w:rsid w:val="797339C3"/>
    <w:rsid w:val="79D57D57"/>
    <w:rsid w:val="79F00650"/>
    <w:rsid w:val="7A6242BF"/>
    <w:rsid w:val="7A794513"/>
    <w:rsid w:val="7A9B3811"/>
    <w:rsid w:val="7AB467DA"/>
    <w:rsid w:val="7AB9318D"/>
    <w:rsid w:val="7AE952D2"/>
    <w:rsid w:val="7B9E1DAA"/>
    <w:rsid w:val="7B9F26AF"/>
    <w:rsid w:val="7BB607FE"/>
    <w:rsid w:val="7C7248A0"/>
    <w:rsid w:val="7C976D69"/>
    <w:rsid w:val="7CD752DA"/>
    <w:rsid w:val="7CDE40AB"/>
    <w:rsid w:val="7CF057E2"/>
    <w:rsid w:val="7D1548B5"/>
    <w:rsid w:val="7DF84014"/>
    <w:rsid w:val="7E207949"/>
    <w:rsid w:val="7E5C0A47"/>
    <w:rsid w:val="7E670C75"/>
    <w:rsid w:val="7EE24272"/>
    <w:rsid w:val="7EEA6053"/>
    <w:rsid w:val="7F487C04"/>
    <w:rsid w:val="7F611CBA"/>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4707</Words>
  <Characters>5222</Characters>
  <Lines>0</Lines>
  <Paragraphs>0</Paragraphs>
  <TotalTime>0</TotalTime>
  <ScaleCrop>false</ScaleCrop>
  <LinksUpToDate>false</LinksUpToDate>
  <CharactersWithSpaces>5237</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张晓芳</cp:lastModifiedBy>
  <dcterms:modified xsi:type="dcterms:W3CDTF">2025-04-10T11:17:22Z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D624B15633CD43C8BF9435464A96BF70</vt:lpwstr>
  </property>
  <property fmtid="{D5CDD505-2E9C-101B-9397-08002B2CF9AE}" pid="4" name="KSOTemplateDocerSaveRecord">
    <vt:lpwstr>eyJoZGlkIjoiZDU4MmQ2ZWMyMDZlYzhmM2M0MmMwNGNmYmFiY2Q3YTQiLCJ1c2VySWQiOiI1Mzk1NTEzNjcifQ==</vt:lpwstr>
  </property>
</Properties>
</file>