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沙湾市统计局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统计局为市人民政府工作部门。本部门主要职责是：（一）依照国家、自治区和地区的法律、法规、政策和统计调查计划，监督检查并组织统计法律、法规和政策的实施。（二）执行国家统一的国民经济核算体系；制定统计调查计划，部署和检查本行政区域内的统计工作；对本行政区域内国民经济和社会发展情况进行统计分析和统计预测，实行统计监督，组织国民经济核算。（三）组织国家统计调查、地方统计调查，搜集、整理、提供本行政区域内的统计资料。（四）会同有关部门组织完成国家和自治区、地区部署的抽样调查任务。（五）统一核定、管理、公布全市的基本统计资料，定期发布全市国民经济和社会发展情况的统计信息；规划、协调全市经济统计信息咨询服务行业，积极培育和发展全市信息咨询服务市场。（六）按照国家、自治区和地区统计局有关统计制度方法改革要求，积极推进我市统计制度方法改革，组织指导全市统计业务技术教育、统计干部培训，提高全市统计工作水平。（七）开展城镇住户调查统计；全面了解城镇居民住户家庭就业、收入、支出、消费、收存现金、家庭耐用品拥有和住房变化情况。（八）协助政府及有关部门开展社情民意、市民测评等调查，反映民情民意。（九）管理和协调各部门的统计工作，承担全市统计调查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6" w:name="_Toc3092"/>
      <w:bookmarkStart w:id="7" w:name="_Toc29374"/>
      <w:r>
        <w:rPr>
          <w:rFonts w:hint="eastAsia" w:ascii="仿宋_GB2312" w:eastAsia="仿宋_GB2312"/>
          <w:color w:val="auto"/>
          <w:sz w:val="32"/>
          <w:szCs w:val="32"/>
          <w:highlight w:val="none"/>
          <w:lang w:val="en-US" w:eastAsia="zh-CN"/>
        </w:rPr>
        <w:t>沙湾市统计局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沙湾市统计局无下属预算单位，下设6个处室，分别是：综合核算科室、投资房地产科室、商贸经济科室、经济普查科室、办公室、财务室。</w:t>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266.89万元，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266.89万元，使用非财政拨款结余0.00万元，年初结转和结余0.00万元。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266.89万元，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266.89万元，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减少1.10万元</w:t>
      </w:r>
      <w:r>
        <w:rPr>
          <w:rFonts w:hint="eastAsia" w:ascii="仿宋_GB2312" w:eastAsia="仿宋_GB2312"/>
          <w:color w:val="auto"/>
          <w:spacing w:val="0"/>
          <w:sz w:val="32"/>
          <w:szCs w:val="32"/>
          <w:highlight w:val="none"/>
          <w:lang w:val="en-US" w:eastAsia="zh-CN"/>
        </w:rPr>
        <w:t>，下降0.41%，主要原因是：本年调出1名在职干部，因此本年收入总计比上年减少。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266.89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266.89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本年支出266.89万元，其中：基本支出239.29万元，占89.66%；项目支出27.60万元，占10.34%；上缴上级支出0.00万元，占0.00%；经营支出0.00万元，占0.00%；对附属单位补助支出0.00万元，占0.00%。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266.89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266.89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266.89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266.89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减少1.10万元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下降0.41%,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本年调出1名在职干部，因此本年收支总计比上年减少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223.74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266.89</w:t>
      </w:r>
      <w:r>
        <w:rPr>
          <w:rFonts w:hint="eastAsia" w:ascii="仿宋_GB2312" w:eastAsia="仿宋_GB2312"/>
          <w:color w:val="auto"/>
          <w:spacing w:val="0"/>
          <w:sz w:val="32"/>
          <w:szCs w:val="32"/>
          <w:highlight w:val="none"/>
          <w:lang w:eastAsia="zh-CN"/>
        </w:rPr>
        <w:t>万元，预决算差异率19.29%，主要原因是：一是本年增加在职人员</w:t>
      </w:r>
      <w:r>
        <w:rPr>
          <w:rFonts w:hint="eastAsia" w:ascii="仿宋_GB2312" w:eastAsia="仿宋_GB2312"/>
          <w:color w:val="auto"/>
          <w:spacing w:val="0"/>
          <w:sz w:val="32"/>
          <w:szCs w:val="32"/>
          <w:highlight w:val="none"/>
          <w:lang w:val="en-US" w:eastAsia="zh-CN"/>
        </w:rPr>
        <w:t>基础</w:t>
      </w:r>
      <w:r>
        <w:rPr>
          <w:rFonts w:hint="eastAsia" w:ascii="仿宋_GB2312" w:eastAsia="仿宋_GB2312"/>
          <w:color w:val="auto"/>
          <w:spacing w:val="0"/>
          <w:sz w:val="32"/>
          <w:szCs w:val="32"/>
          <w:highlight w:val="none"/>
          <w:lang w:eastAsia="zh-CN"/>
        </w:rPr>
        <w:t>绩效</w:t>
      </w:r>
      <w:r>
        <w:rPr>
          <w:rFonts w:hint="eastAsia" w:ascii="仿宋_GB2312" w:eastAsia="仿宋_GB2312"/>
          <w:color w:val="auto"/>
          <w:spacing w:val="0"/>
          <w:sz w:val="32"/>
          <w:szCs w:val="32"/>
          <w:highlight w:val="none"/>
          <w:lang w:val="en-US" w:eastAsia="zh-CN"/>
        </w:rPr>
        <w:t>奖</w:t>
      </w:r>
      <w:r>
        <w:rPr>
          <w:rFonts w:hint="eastAsia" w:ascii="仿宋_GB2312" w:eastAsia="仿宋_GB2312"/>
          <w:color w:val="auto"/>
          <w:spacing w:val="0"/>
          <w:sz w:val="32"/>
          <w:szCs w:val="32"/>
          <w:highlight w:val="none"/>
          <w:lang w:eastAsia="zh-CN"/>
        </w:rPr>
        <w:t>；二是本年增加</w:t>
      </w:r>
      <w:r>
        <w:rPr>
          <w:rFonts w:hint="eastAsia" w:ascii="仿宋_GB2312" w:eastAsia="仿宋_GB2312"/>
          <w:color w:val="auto"/>
          <w:spacing w:val="0"/>
          <w:sz w:val="32"/>
          <w:szCs w:val="32"/>
          <w:highlight w:val="none"/>
          <w:lang w:val="en-US" w:eastAsia="zh-CN"/>
        </w:rPr>
        <w:t>在职人员艰苦边远津贴补贴</w:t>
      </w:r>
      <w:r>
        <w:rPr>
          <w:rFonts w:hint="eastAsia" w:ascii="仿宋_GB2312" w:eastAsia="仿宋_GB2312"/>
          <w:color w:val="auto"/>
          <w:spacing w:val="0"/>
          <w:sz w:val="32"/>
          <w:szCs w:val="32"/>
          <w:highlight w:val="none"/>
          <w:lang w:eastAsia="zh-CN"/>
        </w:rPr>
        <w:t>；三是年中追加</w:t>
      </w:r>
      <w:r>
        <w:rPr>
          <w:rFonts w:hint="eastAsia" w:ascii="仿宋_GB2312" w:eastAsia="仿宋_GB2312"/>
          <w:color w:val="auto"/>
          <w:spacing w:val="0"/>
          <w:sz w:val="32"/>
          <w:szCs w:val="32"/>
          <w:highlight w:val="none"/>
          <w:lang w:val="en-US" w:eastAsia="zh-CN"/>
        </w:rPr>
        <w:t>第五次全国经济普查</w:t>
      </w:r>
      <w:r>
        <w:rPr>
          <w:rFonts w:hint="eastAsia" w:ascii="仿宋_GB2312" w:eastAsia="仿宋_GB2312"/>
          <w:color w:val="auto"/>
          <w:spacing w:val="0"/>
          <w:sz w:val="32"/>
          <w:szCs w:val="32"/>
          <w:highlight w:val="none"/>
          <w:lang w:eastAsia="zh-CN"/>
        </w:rPr>
        <w:t>专项经费。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2023年度一般公共预算财政拨款支出266.89万元，占本年支出合计的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减少1.10万元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下降0.41%,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本年调出1名在职干部，因此本年收入总计比上年减少。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223.74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266.89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19.29%</w:t>
      </w:r>
      <w:r>
        <w:rPr>
          <w:rFonts w:hint="eastAsia" w:ascii="仿宋_GB2312" w:eastAsia="仿宋_GB2312"/>
          <w:color w:val="auto"/>
          <w:spacing w:val="0"/>
          <w:sz w:val="32"/>
          <w:szCs w:val="32"/>
          <w:highlight w:val="none"/>
          <w:lang w:eastAsia="zh-CN"/>
        </w:rPr>
        <w:t>，主要原因是：一是本年增加在职人员</w:t>
      </w:r>
      <w:r>
        <w:rPr>
          <w:rFonts w:hint="eastAsia" w:ascii="仿宋_GB2312" w:eastAsia="仿宋_GB2312"/>
          <w:color w:val="auto"/>
          <w:spacing w:val="0"/>
          <w:sz w:val="32"/>
          <w:szCs w:val="32"/>
          <w:highlight w:val="none"/>
          <w:lang w:val="en-US" w:eastAsia="zh-CN"/>
        </w:rPr>
        <w:t>基础</w:t>
      </w:r>
      <w:r>
        <w:rPr>
          <w:rFonts w:hint="eastAsia" w:ascii="仿宋_GB2312" w:eastAsia="仿宋_GB2312"/>
          <w:color w:val="auto"/>
          <w:spacing w:val="0"/>
          <w:sz w:val="32"/>
          <w:szCs w:val="32"/>
          <w:highlight w:val="none"/>
          <w:lang w:eastAsia="zh-CN"/>
        </w:rPr>
        <w:t>绩效</w:t>
      </w:r>
      <w:r>
        <w:rPr>
          <w:rFonts w:hint="eastAsia" w:ascii="仿宋_GB2312" w:eastAsia="仿宋_GB2312"/>
          <w:color w:val="auto"/>
          <w:spacing w:val="0"/>
          <w:sz w:val="32"/>
          <w:szCs w:val="32"/>
          <w:highlight w:val="none"/>
          <w:lang w:val="en-US" w:eastAsia="zh-CN"/>
        </w:rPr>
        <w:t>奖</w:t>
      </w:r>
      <w:r>
        <w:rPr>
          <w:rFonts w:hint="eastAsia" w:ascii="仿宋_GB2312" w:eastAsia="仿宋_GB2312"/>
          <w:color w:val="auto"/>
          <w:spacing w:val="0"/>
          <w:sz w:val="32"/>
          <w:szCs w:val="32"/>
          <w:highlight w:val="none"/>
          <w:lang w:eastAsia="zh-CN"/>
        </w:rPr>
        <w:t>；二是本年增加</w:t>
      </w:r>
      <w:r>
        <w:rPr>
          <w:rFonts w:hint="eastAsia" w:ascii="仿宋_GB2312" w:eastAsia="仿宋_GB2312"/>
          <w:color w:val="auto"/>
          <w:spacing w:val="0"/>
          <w:sz w:val="32"/>
          <w:szCs w:val="32"/>
          <w:highlight w:val="none"/>
          <w:lang w:val="en-US" w:eastAsia="zh-CN"/>
        </w:rPr>
        <w:t>在职人员艰苦边远津贴补贴</w:t>
      </w:r>
      <w:r>
        <w:rPr>
          <w:rFonts w:hint="eastAsia" w:ascii="仿宋_GB2312" w:eastAsia="仿宋_GB2312"/>
          <w:color w:val="auto"/>
          <w:spacing w:val="0"/>
          <w:sz w:val="32"/>
          <w:szCs w:val="32"/>
          <w:highlight w:val="none"/>
          <w:lang w:eastAsia="zh-CN"/>
        </w:rPr>
        <w:t>；三是年中追加</w:t>
      </w:r>
      <w:r>
        <w:rPr>
          <w:rFonts w:hint="eastAsia" w:ascii="仿宋_GB2312" w:eastAsia="仿宋_GB2312"/>
          <w:color w:val="auto"/>
          <w:spacing w:val="0"/>
          <w:sz w:val="32"/>
          <w:szCs w:val="32"/>
          <w:highlight w:val="none"/>
          <w:lang w:val="en-US" w:eastAsia="zh-CN"/>
        </w:rPr>
        <w:t>第五次全国经济普查</w:t>
      </w:r>
      <w:r>
        <w:rPr>
          <w:rFonts w:hint="eastAsia" w:ascii="仿宋_GB2312" w:eastAsia="仿宋_GB2312"/>
          <w:color w:val="auto"/>
          <w:spacing w:val="0"/>
          <w:sz w:val="32"/>
          <w:szCs w:val="32"/>
          <w:highlight w:val="none"/>
          <w:lang w:eastAsia="zh-CN"/>
        </w:rPr>
        <w:t>专项经费。</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213.31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79.92%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25.50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9.55%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4.24%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16.78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6.29%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1.一般公共服务支出（类）统计信息事务（款）行政运行（项）:支出决算数为117.66万元，比上年决算减少80.57万元，下降40.64%，主要原因是：上年支付了历年办公设备购置费欠款。</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5.40万元，比上年决算减少3.67万元，下降40.46%，主要原因是：医保政策变化，行政人员在退休之后，不再需要缴纳退休人员行政单位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3.卫生健康支出（类）行政事业单位医疗（款）事业单位医疗（项）:支出决算数为3.54万元，比上年决算减少0.52万元，下降12.81%，主要原因是：医保政策变化，事业人员在退休之后，不再需要缴纳退休基本医疗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2.37万元，比上年决算减少1.64万元，下降40.90%，主要原因是：医保政策变化，行政人员在退休之后，不再需要缴纳退休公务员医疗</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一般公共服务支出（类）统计信息事务（款）专项普查活动（项）:支出决算数为18.70万元，比上年决算增加8.70万元，增长87.00%，主要原因是：本年开展第五次全国经济普查工作，增加了普查专项经费，因此决算数比上年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6.住房保障支出（类）住房改革支出（款）住房公积金（项）:支出决算数为16.78万元，比上年决算增加0.74万元，增长4.61%，主要原因是：</w:t>
      </w:r>
      <w:r>
        <w:rPr>
          <w:rFonts w:hint="eastAsia" w:ascii="仿宋_GB2312" w:eastAsia="仿宋_GB2312"/>
          <w:color w:val="auto"/>
          <w:spacing w:val="0"/>
          <w:sz w:val="32"/>
          <w:szCs w:val="32"/>
          <w:highlight w:val="none"/>
          <w:lang w:val="en-US" w:eastAsia="zh-CN"/>
        </w:rPr>
        <w:t>工资调整、公积金基数增加，缴费增加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一般公共服务支出（类）统计信息事务（款）统计抽样调查（项）:支出决算数为8.90万元，比上年决算增加8.90万元，增长100%，主要原因是：根据自治区统计局工作安排，今年开展了人口抽样调查工作，并支付本年及上年两年的调查补助经费</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jc w:val="both"/>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一般公共服务支出（类）统计信息事务（款）事业运行（项）:支出决算数为68.04万元，比上年决算增加68.04万元，增长100%，主要原因是：2022年决算事业运行合并在行政运行中支出，本年行政运行与事业运行支出款项分开，单独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9.社会保障和就业支出（类）行政事业单位养老支出（款）事业单位离退休（项）:支出决算数为0.50万元，比上年决算增加0.44万元，增长733.33%，主要原因是：主要原因是：补发2022年度退休人员绩效工资</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10.社会保障和就业支出（类）行政事业单位养老支出（款）行政单位离退休（项）:支出决算数为3.92万元，比上年决算增加1.25万元，增长46.82%，主要原因是：补发2022年度退休人员绩效工资</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11.社会保障和就业支出（类）行政事业单位养老支出（款）机关事业单位基本养老保险缴费支出（项）:支出决算数为21.08万元，比上年决算增加3.12万元，增长17.37%，主要原因是：</w:t>
      </w:r>
      <w:r>
        <w:rPr>
          <w:rFonts w:hint="eastAsia" w:ascii="仿宋_GB2312" w:eastAsia="仿宋_GB2312"/>
          <w:color w:val="auto"/>
          <w:spacing w:val="0"/>
          <w:sz w:val="32"/>
          <w:szCs w:val="32"/>
          <w:highlight w:val="none"/>
          <w:lang w:val="en-US" w:eastAsia="zh-CN"/>
        </w:rPr>
        <w:t>工资调整、</w:t>
      </w:r>
      <w:r>
        <w:rPr>
          <w:rFonts w:hint="eastAsia" w:ascii="仿宋_GB2312" w:hAnsi="仿宋_GB2312" w:eastAsia="仿宋_GB2312" w:cs="仿宋_GB2312"/>
          <w:color w:val="auto"/>
          <w:kern w:val="2"/>
          <w:sz w:val="32"/>
          <w:szCs w:val="32"/>
          <w:highlight w:val="none"/>
          <w:lang w:val="en-US" w:eastAsia="zh-CN" w:bidi="ar-SA"/>
        </w:rPr>
        <w:t>养老保险</w:t>
      </w:r>
      <w:r>
        <w:rPr>
          <w:rFonts w:hint="eastAsia" w:ascii="仿宋_GB2312" w:eastAsia="仿宋_GB2312"/>
          <w:color w:val="auto"/>
          <w:spacing w:val="0"/>
          <w:sz w:val="32"/>
          <w:szCs w:val="32"/>
          <w:highlight w:val="none"/>
          <w:lang w:val="en-US" w:eastAsia="zh-CN"/>
        </w:rPr>
        <w:t>基数增加，缴费增加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一般公共服务支出（类）统计信息事务（款）专项统计业务（项）:支出决算数为0.00万元，比上年决算减少5.89万元，下降100%，主要原因是：上年开展第七次全国人口普查工作产生专项经费，本年无开展此项目，因此减少七人普专项业务经费</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239.29</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226.89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12.40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办公费、印刷费、电费、邮电费、差旅费、公务接待费、劳务费、工会经费、公务用车运行维护费。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“三公”经费支出1.71万元，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减少0.72万元，</w:t>
      </w:r>
      <w:r>
        <w:rPr>
          <w:rFonts w:hint="eastAsia" w:ascii="仿宋_GB2312" w:eastAsia="仿宋_GB2312"/>
          <w:color w:val="auto"/>
          <w:spacing w:val="0"/>
          <w:sz w:val="32"/>
          <w:szCs w:val="32"/>
          <w:highlight w:val="none"/>
          <w:lang w:val="en-US" w:eastAsia="zh-CN"/>
        </w:rPr>
        <w:t>下降29.63%,</w:t>
      </w:r>
      <w:r>
        <w:rPr>
          <w:rFonts w:hint="eastAsia" w:ascii="仿宋_GB2312" w:eastAsia="仿宋_GB2312"/>
          <w:color w:val="auto"/>
          <w:sz w:val="32"/>
          <w:szCs w:val="32"/>
          <w:highlight w:val="none"/>
          <w:lang w:val="zh-CN" w:eastAsia="zh-CN"/>
        </w:rPr>
        <w:t>主要原因是：厉行节约，本年公务用车购置及运行维护支出比上年减少，</w:t>
      </w:r>
      <w:r>
        <w:rPr>
          <w:rFonts w:hint="eastAsia" w:ascii="仿宋_GB2312" w:eastAsia="仿宋_GB2312"/>
          <w:color w:val="auto"/>
          <w:sz w:val="32"/>
          <w:szCs w:val="32"/>
          <w:highlight w:val="none"/>
          <w:lang w:val="en-US" w:eastAsia="zh-CN"/>
        </w:rPr>
        <w:t>因此</w:t>
      </w:r>
      <w:r>
        <w:rPr>
          <w:rFonts w:hint="eastAsia" w:ascii="仿宋_GB2312" w:eastAsia="仿宋_GB2312"/>
          <w:color w:val="auto"/>
          <w:sz w:val="32"/>
          <w:szCs w:val="32"/>
          <w:highlight w:val="none"/>
          <w:lang w:val="zh-CN" w:eastAsia="zh-CN"/>
        </w:rPr>
        <w:t>三公经费比上年减少。其中：因公出国（境）费支出0.00万元，占0.00%，比上年增加0.00万元，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主要原因是：我单位无因公出国（境）费支出；公务用车购置及运行维护费支出1.34万元，占78.36%，比上年减少0.78万元，</w:t>
      </w:r>
      <w:r>
        <w:rPr>
          <w:rFonts w:hint="eastAsia" w:ascii="仿宋_GB2312" w:eastAsia="仿宋_GB2312"/>
          <w:color w:val="auto"/>
          <w:spacing w:val="0"/>
          <w:sz w:val="32"/>
          <w:szCs w:val="32"/>
          <w:highlight w:val="none"/>
          <w:lang w:val="en-US" w:eastAsia="zh-CN"/>
        </w:rPr>
        <w:t>下降36.79%，</w:t>
      </w:r>
      <w:r>
        <w:rPr>
          <w:rFonts w:hint="eastAsia" w:ascii="仿宋_GB2312" w:eastAsia="仿宋_GB2312"/>
          <w:color w:val="auto"/>
          <w:sz w:val="32"/>
          <w:szCs w:val="32"/>
          <w:highlight w:val="none"/>
          <w:lang w:val="zh-CN" w:eastAsia="zh-CN"/>
        </w:rPr>
        <w:t>主要原因是：厉行节约，本年公务用车购置及运行维护支出比上年减少；公务接待费支出0.37万元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占21.64%，比上年增加0.05万元，</w:t>
      </w:r>
      <w:r>
        <w:rPr>
          <w:rFonts w:hint="eastAsia" w:ascii="仿宋_GB2312" w:eastAsia="仿宋_GB2312"/>
          <w:color w:val="auto"/>
          <w:spacing w:val="0"/>
          <w:sz w:val="32"/>
          <w:szCs w:val="32"/>
          <w:highlight w:val="none"/>
          <w:lang w:val="en-US" w:eastAsia="zh-CN"/>
        </w:rPr>
        <w:t>增长15.63%,</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本年因有第五次全国经济普查工作，接待上级检查比上年多</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1.34万元，其中：公务用车购置费0.00万元，公务用车运行维护费1.34万元。公务用车运行维护费开支内容包括公务用车燃油费，公务用车修理费，过路费等。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公务接待费0.37万元，开支内容包括</w:t>
      </w:r>
      <w:r>
        <w:rPr>
          <w:rFonts w:hint="eastAsia" w:ascii="仿宋_GB2312" w:eastAsia="仿宋_GB2312"/>
          <w:color w:val="auto"/>
          <w:sz w:val="32"/>
          <w:szCs w:val="32"/>
          <w:highlight w:val="none"/>
          <w:lang w:val="en-US" w:eastAsia="zh-CN"/>
        </w:rPr>
        <w:t>接待上级部门统计检查工作餐费</w:t>
      </w:r>
      <w:bookmarkStart w:id="48" w:name="_GoBack"/>
      <w:bookmarkEnd w:id="48"/>
      <w:r>
        <w:rPr>
          <w:rFonts w:hint="eastAsia" w:ascii="仿宋_GB2312" w:eastAsia="仿宋_GB2312"/>
          <w:color w:val="auto"/>
          <w:sz w:val="32"/>
          <w:szCs w:val="32"/>
          <w:highlight w:val="none"/>
          <w:lang w:val="zh-CN" w:eastAsia="zh-CN"/>
        </w:rPr>
        <w:t>。单位全年安排的国内公务接待7批次，62人次。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预算数1.71万元，决算数1.71万元，预决算差异率0.00%，主要原因是：</w:t>
      </w:r>
      <w:r>
        <w:rPr>
          <w:rFonts w:hint="eastAsia" w:ascii="仿宋_GB2312" w:eastAsia="仿宋_GB2312"/>
          <w:color w:val="auto"/>
          <w:sz w:val="32"/>
          <w:szCs w:val="32"/>
          <w:highlight w:val="none"/>
          <w:lang w:val="en-US" w:eastAsia="zh-CN"/>
        </w:rPr>
        <w:t>本单位严格控制三公经费支出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w:t>
      </w:r>
      <w:r>
        <w:rPr>
          <w:rFonts w:hint="eastAsia" w:ascii="仿宋_GB2312" w:eastAsia="仿宋_GB2312"/>
          <w:color w:val="auto"/>
          <w:sz w:val="32"/>
          <w:szCs w:val="32"/>
          <w:highlight w:val="none"/>
          <w:lang w:val="en-US" w:eastAsia="zh-CN"/>
        </w:rPr>
        <w:t>购置车辆</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预算数1.34万元，决算数1.34万元，预决算差异率0.00%，主要原因是：</w:t>
      </w:r>
      <w:r>
        <w:rPr>
          <w:rFonts w:hint="eastAsia" w:ascii="仿宋_GB2312" w:eastAsia="仿宋_GB2312"/>
          <w:color w:val="auto"/>
          <w:sz w:val="32"/>
          <w:szCs w:val="32"/>
          <w:highlight w:val="none"/>
          <w:lang w:val="en-US" w:eastAsia="zh-CN"/>
        </w:rPr>
        <w:t>本单位严格控制三公经费支出</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预算数0.37万元，决算数0.37万元，预决算差异率0.00%，主要原因是：</w:t>
      </w:r>
      <w:r>
        <w:rPr>
          <w:rFonts w:hint="eastAsia" w:ascii="仿宋_GB2312" w:eastAsia="仿宋_GB2312"/>
          <w:color w:val="auto"/>
          <w:sz w:val="32"/>
          <w:szCs w:val="32"/>
          <w:highlight w:val="none"/>
          <w:lang w:val="en-US" w:eastAsia="zh-CN"/>
        </w:rPr>
        <w:t>本单位严格控制三公经费支出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沙湾市统计局（行政单位和参照公务员法管理事业单位）机关运行经费支出12.40万元，</w:t>
      </w:r>
      <w:r>
        <w:rPr>
          <w:rFonts w:hint="eastAsia" w:ascii="仿宋_GB2312" w:hAnsi="仿宋_GB2312" w:eastAsia="仿宋_GB2312" w:cs="仿宋_GB2312"/>
          <w:color w:val="auto"/>
          <w:sz w:val="32"/>
          <w:szCs w:val="32"/>
          <w:highlight w:val="none"/>
          <w:lang w:val="zh-CN" w:eastAsia="zh-CN"/>
        </w:rPr>
        <w:t>比上年增加0.85万元，增长7.36%，主要原因是：</w:t>
      </w:r>
      <w:r>
        <w:rPr>
          <w:rFonts w:hint="eastAsia" w:ascii="仿宋_GB2312" w:hAnsi="仿宋_GB2312" w:eastAsia="仿宋_GB2312" w:cs="仿宋_GB2312"/>
          <w:color w:val="auto"/>
          <w:sz w:val="32"/>
          <w:szCs w:val="32"/>
          <w:highlight w:val="none"/>
          <w:lang w:val="en-US" w:eastAsia="zh-CN"/>
        </w:rPr>
        <w:t>本年增加了支付办公用房暖气费支出项目</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8.28万元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其中：政府采购货物支出6.38万元、政府采购工程支出0.00万元、政府采购服务支出1.9万元。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授予中小企业合同金额8.28万元，占政府采购支出总额的100.00%，其中：授予小微企业合同金额7.42万元，占政府采购支出总额的89.61%</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212.81</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屋0.00平方米，价值0.00万元。车辆1辆，价值21.94万元，其中：副部（省）级及以上领导用车0辆、主要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用车0辆、其他用车1辆，其他用车主要是：服务机关办公用车；单价100万元（含）以上设备（不含车辆）0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预算总额266.89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实际执行总额266.89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全年预算数27.6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全年执行数27.6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一是完成了我市本年城乡一体化记账户账本记账工作，为我市经济发展决策提供了相应的数据保障；二是支付了第七次全国人口普查项目经费尾款，确保绩效项目的实施；三是发放普查员生活补助，发挥了明显的社会效益，满意度高。发现的问题及原因：一是本单位在此项工作中没有问题，二是本单位在此项工作中没有问题，三是本单位在此项工作中没有问题。下一步改进措施：一是我单位无改进措施，二是我单位无改进措施，三是我单位无改进措施。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zZTU0M2Q3ZTY1YzljNWQzZDdkZTc4NDNmYTY5MWE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8006B5"/>
    <w:rsid w:val="08A0354D"/>
    <w:rsid w:val="08CD4C49"/>
    <w:rsid w:val="09114954"/>
    <w:rsid w:val="09121B4F"/>
    <w:rsid w:val="095A5B83"/>
    <w:rsid w:val="096001D2"/>
    <w:rsid w:val="096466E3"/>
    <w:rsid w:val="0968304D"/>
    <w:rsid w:val="09AF3D17"/>
    <w:rsid w:val="0A7809B7"/>
    <w:rsid w:val="0A7B4867"/>
    <w:rsid w:val="0A840954"/>
    <w:rsid w:val="0A9928ED"/>
    <w:rsid w:val="0AA16CAC"/>
    <w:rsid w:val="0B61769D"/>
    <w:rsid w:val="0B8C3ECC"/>
    <w:rsid w:val="0B9C639D"/>
    <w:rsid w:val="0BB052B2"/>
    <w:rsid w:val="0BD33FFC"/>
    <w:rsid w:val="0BE97AC1"/>
    <w:rsid w:val="0C1C4780"/>
    <w:rsid w:val="0C3613A3"/>
    <w:rsid w:val="0C5E519C"/>
    <w:rsid w:val="0C7227A7"/>
    <w:rsid w:val="0C9B7B8E"/>
    <w:rsid w:val="0CA52EE8"/>
    <w:rsid w:val="0CBD6988"/>
    <w:rsid w:val="0CD208AC"/>
    <w:rsid w:val="0D172DAA"/>
    <w:rsid w:val="0D4903E8"/>
    <w:rsid w:val="0D7A4A46"/>
    <w:rsid w:val="0E640559"/>
    <w:rsid w:val="0E80375B"/>
    <w:rsid w:val="0EE67DD9"/>
    <w:rsid w:val="0F1113DA"/>
    <w:rsid w:val="0F78534A"/>
    <w:rsid w:val="0F89358A"/>
    <w:rsid w:val="0F8C6D51"/>
    <w:rsid w:val="105B0B5E"/>
    <w:rsid w:val="10D029C4"/>
    <w:rsid w:val="112E58D0"/>
    <w:rsid w:val="11731CAC"/>
    <w:rsid w:val="119500A0"/>
    <w:rsid w:val="11C0733B"/>
    <w:rsid w:val="11D50D17"/>
    <w:rsid w:val="11D63724"/>
    <w:rsid w:val="120E0809"/>
    <w:rsid w:val="127F665A"/>
    <w:rsid w:val="12F7068C"/>
    <w:rsid w:val="14207DC0"/>
    <w:rsid w:val="14B932DA"/>
    <w:rsid w:val="14F0074E"/>
    <w:rsid w:val="14F733F0"/>
    <w:rsid w:val="150A66AF"/>
    <w:rsid w:val="154C1139"/>
    <w:rsid w:val="15865B65"/>
    <w:rsid w:val="158C5B77"/>
    <w:rsid w:val="15DE4FB8"/>
    <w:rsid w:val="160D1149"/>
    <w:rsid w:val="163563C0"/>
    <w:rsid w:val="164315EF"/>
    <w:rsid w:val="16557DFE"/>
    <w:rsid w:val="167268FB"/>
    <w:rsid w:val="16767EF8"/>
    <w:rsid w:val="16770D0A"/>
    <w:rsid w:val="169A0039"/>
    <w:rsid w:val="16D50C50"/>
    <w:rsid w:val="16E120E1"/>
    <w:rsid w:val="17385A05"/>
    <w:rsid w:val="173B3901"/>
    <w:rsid w:val="176747F9"/>
    <w:rsid w:val="17954A6E"/>
    <w:rsid w:val="17BE2C86"/>
    <w:rsid w:val="180059E9"/>
    <w:rsid w:val="18070A66"/>
    <w:rsid w:val="184510FD"/>
    <w:rsid w:val="18483F49"/>
    <w:rsid w:val="190648B0"/>
    <w:rsid w:val="19071D6C"/>
    <w:rsid w:val="19D26CD4"/>
    <w:rsid w:val="19E60D19"/>
    <w:rsid w:val="1A3A6493"/>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34E4D"/>
    <w:rsid w:val="1EAA4A5F"/>
    <w:rsid w:val="1EC51648"/>
    <w:rsid w:val="1EE869A7"/>
    <w:rsid w:val="1F3F37CF"/>
    <w:rsid w:val="1FA15E62"/>
    <w:rsid w:val="1FED69B6"/>
    <w:rsid w:val="2064678E"/>
    <w:rsid w:val="20DC1AB9"/>
    <w:rsid w:val="20DD6197"/>
    <w:rsid w:val="212631E0"/>
    <w:rsid w:val="2138666F"/>
    <w:rsid w:val="214B06D9"/>
    <w:rsid w:val="21742080"/>
    <w:rsid w:val="2189597F"/>
    <w:rsid w:val="21A53757"/>
    <w:rsid w:val="21F879E1"/>
    <w:rsid w:val="221236C6"/>
    <w:rsid w:val="22A66E3A"/>
    <w:rsid w:val="22D7662C"/>
    <w:rsid w:val="23326B7F"/>
    <w:rsid w:val="2380045B"/>
    <w:rsid w:val="23BC04D2"/>
    <w:rsid w:val="23EF1892"/>
    <w:rsid w:val="2483647E"/>
    <w:rsid w:val="24A32D55"/>
    <w:rsid w:val="24CE6D9A"/>
    <w:rsid w:val="25292727"/>
    <w:rsid w:val="252E5CA9"/>
    <w:rsid w:val="256F7692"/>
    <w:rsid w:val="257F0197"/>
    <w:rsid w:val="25BA2154"/>
    <w:rsid w:val="25C8773F"/>
    <w:rsid w:val="25E72121"/>
    <w:rsid w:val="26235823"/>
    <w:rsid w:val="264A7253"/>
    <w:rsid w:val="26F0170C"/>
    <w:rsid w:val="26FE3B9A"/>
    <w:rsid w:val="27201D62"/>
    <w:rsid w:val="27286E73"/>
    <w:rsid w:val="27B16A38"/>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1A1CA3"/>
    <w:rsid w:val="2BB94DBF"/>
    <w:rsid w:val="2BDA7550"/>
    <w:rsid w:val="2BF37410"/>
    <w:rsid w:val="2C6F314E"/>
    <w:rsid w:val="2CC206BE"/>
    <w:rsid w:val="2D1136DF"/>
    <w:rsid w:val="2D20606D"/>
    <w:rsid w:val="2D6729FE"/>
    <w:rsid w:val="2DB87198"/>
    <w:rsid w:val="2DB93C54"/>
    <w:rsid w:val="2E3D144C"/>
    <w:rsid w:val="2E7037F4"/>
    <w:rsid w:val="2E891204"/>
    <w:rsid w:val="2F3F0A28"/>
    <w:rsid w:val="2FBF7029"/>
    <w:rsid w:val="2FD0187F"/>
    <w:rsid w:val="2FD27414"/>
    <w:rsid w:val="2FFE4BB0"/>
    <w:rsid w:val="300E7B60"/>
    <w:rsid w:val="300F6E18"/>
    <w:rsid w:val="305008CA"/>
    <w:rsid w:val="30862F5F"/>
    <w:rsid w:val="30A4775A"/>
    <w:rsid w:val="314029C9"/>
    <w:rsid w:val="31C63837"/>
    <w:rsid w:val="31C82E39"/>
    <w:rsid w:val="32601BAD"/>
    <w:rsid w:val="329F6389"/>
    <w:rsid w:val="336D03DF"/>
    <w:rsid w:val="3389023A"/>
    <w:rsid w:val="33CB74FA"/>
    <w:rsid w:val="343642F2"/>
    <w:rsid w:val="343F3010"/>
    <w:rsid w:val="345D0A00"/>
    <w:rsid w:val="34713BFD"/>
    <w:rsid w:val="34A51EA6"/>
    <w:rsid w:val="34C13589"/>
    <w:rsid w:val="34F54566"/>
    <w:rsid w:val="353369E3"/>
    <w:rsid w:val="35B21E0B"/>
    <w:rsid w:val="35E00D72"/>
    <w:rsid w:val="35F8304A"/>
    <w:rsid w:val="36965B9D"/>
    <w:rsid w:val="36C549FD"/>
    <w:rsid w:val="36EF1EDE"/>
    <w:rsid w:val="3735039E"/>
    <w:rsid w:val="37786D71"/>
    <w:rsid w:val="377B2771"/>
    <w:rsid w:val="37A755DD"/>
    <w:rsid w:val="37F33BFE"/>
    <w:rsid w:val="37F94FA0"/>
    <w:rsid w:val="380D3381"/>
    <w:rsid w:val="38115B1F"/>
    <w:rsid w:val="385E3AC3"/>
    <w:rsid w:val="387D6B9E"/>
    <w:rsid w:val="38B75FF0"/>
    <w:rsid w:val="38D45016"/>
    <w:rsid w:val="38D90432"/>
    <w:rsid w:val="3914510A"/>
    <w:rsid w:val="3926770B"/>
    <w:rsid w:val="39336D56"/>
    <w:rsid w:val="3982065B"/>
    <w:rsid w:val="398D3668"/>
    <w:rsid w:val="39DA0497"/>
    <w:rsid w:val="3A893816"/>
    <w:rsid w:val="3A893B6D"/>
    <w:rsid w:val="3AD1763A"/>
    <w:rsid w:val="3AE513BB"/>
    <w:rsid w:val="3B196883"/>
    <w:rsid w:val="3B6716E3"/>
    <w:rsid w:val="3B6C6B2D"/>
    <w:rsid w:val="3C242659"/>
    <w:rsid w:val="3C96719C"/>
    <w:rsid w:val="3CA72BE8"/>
    <w:rsid w:val="3CDC1E1E"/>
    <w:rsid w:val="3CF37F8C"/>
    <w:rsid w:val="3CFB3CCC"/>
    <w:rsid w:val="3D137554"/>
    <w:rsid w:val="3D5275AC"/>
    <w:rsid w:val="3DCC2473"/>
    <w:rsid w:val="3DEB0883"/>
    <w:rsid w:val="3E2527BF"/>
    <w:rsid w:val="3E70484C"/>
    <w:rsid w:val="3E731662"/>
    <w:rsid w:val="3E7E6629"/>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9742AD"/>
    <w:rsid w:val="41CE128F"/>
    <w:rsid w:val="41DA6F12"/>
    <w:rsid w:val="4202064A"/>
    <w:rsid w:val="42171FB1"/>
    <w:rsid w:val="42C10D7B"/>
    <w:rsid w:val="434E6957"/>
    <w:rsid w:val="4399292A"/>
    <w:rsid w:val="43BA0E31"/>
    <w:rsid w:val="43C15147"/>
    <w:rsid w:val="43E14DD2"/>
    <w:rsid w:val="43F800E9"/>
    <w:rsid w:val="442F629B"/>
    <w:rsid w:val="443A7E4B"/>
    <w:rsid w:val="443E0D85"/>
    <w:rsid w:val="444A7D08"/>
    <w:rsid w:val="452F5B3A"/>
    <w:rsid w:val="454E7FD2"/>
    <w:rsid w:val="46061BDC"/>
    <w:rsid w:val="461404F8"/>
    <w:rsid w:val="46413018"/>
    <w:rsid w:val="464B7E04"/>
    <w:rsid w:val="468041AA"/>
    <w:rsid w:val="468123C6"/>
    <w:rsid w:val="46901EEE"/>
    <w:rsid w:val="469C74D2"/>
    <w:rsid w:val="46E67840"/>
    <w:rsid w:val="47445515"/>
    <w:rsid w:val="474B4782"/>
    <w:rsid w:val="47C86CBE"/>
    <w:rsid w:val="47D90D14"/>
    <w:rsid w:val="47DE1152"/>
    <w:rsid w:val="48387FB0"/>
    <w:rsid w:val="483A6114"/>
    <w:rsid w:val="488727DB"/>
    <w:rsid w:val="48B82268"/>
    <w:rsid w:val="48C354B3"/>
    <w:rsid w:val="493D58B5"/>
    <w:rsid w:val="494A7A04"/>
    <w:rsid w:val="49605EF7"/>
    <w:rsid w:val="49964E20"/>
    <w:rsid w:val="4A0A26D2"/>
    <w:rsid w:val="4A2019A5"/>
    <w:rsid w:val="4A241A0B"/>
    <w:rsid w:val="4A5C2BD7"/>
    <w:rsid w:val="4A7B2875"/>
    <w:rsid w:val="4A934476"/>
    <w:rsid w:val="4AAA220A"/>
    <w:rsid w:val="4AE12E67"/>
    <w:rsid w:val="4B4C0111"/>
    <w:rsid w:val="4B4F7CFD"/>
    <w:rsid w:val="4B8553A9"/>
    <w:rsid w:val="4BD26977"/>
    <w:rsid w:val="4BDB3730"/>
    <w:rsid w:val="4C200F7A"/>
    <w:rsid w:val="4CEE3180"/>
    <w:rsid w:val="4CF9464A"/>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410ECF"/>
    <w:rsid w:val="518D0ED5"/>
    <w:rsid w:val="525C687F"/>
    <w:rsid w:val="52A3740A"/>
    <w:rsid w:val="52F647F7"/>
    <w:rsid w:val="52F92565"/>
    <w:rsid w:val="53817A57"/>
    <w:rsid w:val="53AE735E"/>
    <w:rsid w:val="53D03877"/>
    <w:rsid w:val="54185903"/>
    <w:rsid w:val="542F73CA"/>
    <w:rsid w:val="5430786D"/>
    <w:rsid w:val="545A1D2A"/>
    <w:rsid w:val="54C811C0"/>
    <w:rsid w:val="55115D15"/>
    <w:rsid w:val="555F1EAC"/>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865AA8"/>
    <w:rsid w:val="58CD2491"/>
    <w:rsid w:val="591B41B2"/>
    <w:rsid w:val="59254A26"/>
    <w:rsid w:val="59326325"/>
    <w:rsid w:val="595C505B"/>
    <w:rsid w:val="595E55C3"/>
    <w:rsid w:val="596E7E20"/>
    <w:rsid w:val="5A306CF1"/>
    <w:rsid w:val="5A5D23AA"/>
    <w:rsid w:val="5A60780B"/>
    <w:rsid w:val="5AB34579"/>
    <w:rsid w:val="5AB40E78"/>
    <w:rsid w:val="5AE66136"/>
    <w:rsid w:val="5AF417EB"/>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163F3"/>
    <w:rsid w:val="622B0ABA"/>
    <w:rsid w:val="622F002B"/>
    <w:rsid w:val="62512BB4"/>
    <w:rsid w:val="625D7D1A"/>
    <w:rsid w:val="62660469"/>
    <w:rsid w:val="62DD7D21"/>
    <w:rsid w:val="637D586B"/>
    <w:rsid w:val="638B60E7"/>
    <w:rsid w:val="63A5560B"/>
    <w:rsid w:val="63CB58D8"/>
    <w:rsid w:val="63E9091F"/>
    <w:rsid w:val="642746F5"/>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39154C"/>
    <w:rsid w:val="67521A59"/>
    <w:rsid w:val="67C304AB"/>
    <w:rsid w:val="683F0658"/>
    <w:rsid w:val="689C6793"/>
    <w:rsid w:val="68DB0208"/>
    <w:rsid w:val="68FB170C"/>
    <w:rsid w:val="69186D71"/>
    <w:rsid w:val="691B3D98"/>
    <w:rsid w:val="693748F0"/>
    <w:rsid w:val="695343B9"/>
    <w:rsid w:val="69846A0E"/>
    <w:rsid w:val="69AA1366"/>
    <w:rsid w:val="69AD798C"/>
    <w:rsid w:val="69D005C0"/>
    <w:rsid w:val="69D80B96"/>
    <w:rsid w:val="69F47AD7"/>
    <w:rsid w:val="6A2C39D4"/>
    <w:rsid w:val="6B68175F"/>
    <w:rsid w:val="6BFD799F"/>
    <w:rsid w:val="6C262737"/>
    <w:rsid w:val="6C4A2E5A"/>
    <w:rsid w:val="6C8138D0"/>
    <w:rsid w:val="6C894811"/>
    <w:rsid w:val="6CEF0725"/>
    <w:rsid w:val="6D202294"/>
    <w:rsid w:val="6D4B2604"/>
    <w:rsid w:val="6D77358F"/>
    <w:rsid w:val="6D8030E4"/>
    <w:rsid w:val="6E0E35C4"/>
    <w:rsid w:val="6E0F7A08"/>
    <w:rsid w:val="6E3947F5"/>
    <w:rsid w:val="6E6733A0"/>
    <w:rsid w:val="6E6E3938"/>
    <w:rsid w:val="6E9C74ED"/>
    <w:rsid w:val="6EDE7AD0"/>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5F6621"/>
    <w:rsid w:val="748D790E"/>
    <w:rsid w:val="749820CC"/>
    <w:rsid w:val="74CE04EC"/>
    <w:rsid w:val="74DB70A0"/>
    <w:rsid w:val="74E76DCD"/>
    <w:rsid w:val="751D7C0A"/>
    <w:rsid w:val="753F64C9"/>
    <w:rsid w:val="75722D56"/>
    <w:rsid w:val="75975E5C"/>
    <w:rsid w:val="75A969A3"/>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8D746B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44171"/>
    <w:rsid w:val="7BB607FE"/>
    <w:rsid w:val="7BEF4B1F"/>
    <w:rsid w:val="7C7248A0"/>
    <w:rsid w:val="7C976D69"/>
    <w:rsid w:val="7CD752DA"/>
    <w:rsid w:val="7CDE40AB"/>
    <w:rsid w:val="7CE7596C"/>
    <w:rsid w:val="7CF057E2"/>
    <w:rsid w:val="7D1548B5"/>
    <w:rsid w:val="7DF84014"/>
    <w:rsid w:val="7E207949"/>
    <w:rsid w:val="7E3A77C4"/>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1</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2025-04-10T09:19:50Z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