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中共沙湾市纪律检查委员会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（1）负责党的纪律监察工作。贯彻落实上级纪委监委和市委关于纪律监察工作的决定，维护党的章程和其他党内法规，检查党的路线方针政策和决议的执行情况，协助</w:t>
      </w:r>
      <w:r>
        <w:rPr>
          <w:rFonts w:hint="eastAsia" w:ascii="仿宋_GB2312" w:eastAsia="仿宋_GB2312"/>
          <w:sz w:val="32"/>
          <w:szCs w:val="32"/>
          <w:highlight w:val="none"/>
          <w:lang w:eastAsia="zh-CN"/>
        </w:rPr>
        <w:t>市</w:t>
      </w:r>
      <w:r>
        <w:rPr>
          <w:rFonts w:hint="eastAsia" w:ascii="仿宋_GB2312" w:eastAsia="仿宋_GB2312"/>
          <w:sz w:val="32"/>
          <w:szCs w:val="32"/>
          <w:highlight w:val="none"/>
        </w:rPr>
        <w:t>委推进全面从严治党、加强党风建设和组织协调反腐败工作。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（2）依照党的章程和其他党内法规履行监督、执纪、问责职责。</w:t>
      </w:r>
      <w:r>
        <w:rPr>
          <w:rFonts w:hint="eastAsia" w:ascii="仿宋_GB2312" w:eastAsia="仿宋_GB2312"/>
          <w:sz w:val="32"/>
          <w:szCs w:val="32"/>
          <w:highlight w:val="none"/>
        </w:rPr>
        <w:br w:type="textWrapping"/>
      </w:r>
      <w:r>
        <w:rPr>
          <w:rFonts w:hint="eastAsia" w:ascii="仿宋_GB2312" w:eastAsia="仿宋_GB2312"/>
          <w:sz w:val="32"/>
          <w:szCs w:val="32"/>
          <w:highlight w:val="none"/>
        </w:rPr>
        <w:t>　　（3）在市委领导下组织开展巡察工作。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4）负责全市纪检监察工作。贯彻落实党中央、国家监委和上级党委关于监委工作的决定，维护宪法法律，依法对市委管理的行使公权力的公职人员进行监督，调查职务违法和职务犯罪，开展党风廉政建设和反腐败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（5）依照法律规定履行监督、调查、处置职责。</w:t>
      </w:r>
      <w:r>
        <w:rPr>
          <w:rFonts w:hint="eastAsia" w:ascii="仿宋_GB2312" w:eastAsia="仿宋_GB2312"/>
          <w:sz w:val="32"/>
          <w:szCs w:val="32"/>
          <w:highlight w:val="none"/>
        </w:rPr>
        <w:br w:type="textWrapping"/>
      </w:r>
      <w:r>
        <w:rPr>
          <w:rFonts w:hint="eastAsia" w:ascii="仿宋_GB2312" w:eastAsia="仿宋_GB2312"/>
          <w:sz w:val="32"/>
          <w:szCs w:val="32"/>
          <w:highlight w:val="none"/>
        </w:rPr>
        <w:t>　　（6）负责组织协调沙湾市全面从严治党、党风廉政建设和反腐败宣传教育工作。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7）负责综合分析沙湾市全面从严治党、党风廉政建设和反腐败工作情况，对纪检监察工作重要理论及实践问题进行调查研究：按照党中央、中央纪委、国家监委重大决策部署，自治区党委，自治区纪委监委、地委、地区纪委监委安排部署和市委工作要求，修改完善县纪检监察工作规章制度、规范性文件。</w:t>
      </w:r>
      <w:r>
        <w:rPr>
          <w:rFonts w:hint="eastAsia" w:ascii="仿宋_GB2312" w:eastAsia="仿宋_GB2312"/>
          <w:sz w:val="32"/>
          <w:szCs w:val="32"/>
          <w:highlight w:val="none"/>
        </w:rPr>
        <w:br w:type="textWrapping"/>
      </w:r>
      <w:r>
        <w:rPr>
          <w:rFonts w:hint="eastAsia" w:ascii="仿宋_GB2312" w:eastAsia="仿宋_GB2312"/>
          <w:sz w:val="32"/>
          <w:szCs w:val="32"/>
          <w:highlight w:val="none"/>
        </w:rPr>
        <w:t>　　（8）配合地区纪委监委做好反腐败国际追逃追赃和防逃工作的组织协调，督促有关单位做好相关工作。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9）根据干部管理权限，负责市纪检监察系统领导班子建设、干部队伍建设和组织建设的综合规划、政策研究、制度建设以及纪检监察机构改革相关工作；会同有关方面做好市纪委监委派驻（派出）机构领导班子建设有关工作；组织和指导市纪检监察系统干部教育培训工作等。</w:t>
      </w:r>
      <w:r>
        <w:rPr>
          <w:rFonts w:hint="eastAsia" w:ascii="仿宋_GB2312" w:eastAsia="仿宋_GB2312"/>
          <w:sz w:val="32"/>
          <w:szCs w:val="32"/>
          <w:highlight w:val="none"/>
        </w:rPr>
        <w:br w:type="textWrapping"/>
      </w:r>
      <w:r>
        <w:rPr>
          <w:rFonts w:hint="eastAsia" w:ascii="仿宋_GB2312" w:eastAsia="仿宋_GB2312"/>
          <w:sz w:val="32"/>
          <w:szCs w:val="32"/>
          <w:highlight w:val="none"/>
        </w:rPr>
        <w:t>　　（10）完成地区纪委监委和市委交办的其他事项。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中共沙湾市纪律检查委员会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3092"/>
      <w:bookmarkStart w:id="7" w:name="_Toc29374"/>
      <w:r>
        <w:rPr>
          <w:rFonts w:hint="eastAsia" w:ascii="仿宋_GB2312" w:eastAsia="仿宋_GB2312"/>
          <w:sz w:val="32"/>
          <w:szCs w:val="32"/>
          <w:highlight w:val="none"/>
          <w:lang w:eastAsia="zh-CN"/>
        </w:rPr>
        <w:t>单位无下属预算单位，下设20个处室，分别是：办公室、组宣部、案件审理室、案件监督管理室、信访室、纪检监察干部监督室、党风政风监督室、第一纪检监察室、第二纪检监察室、第三纪检监察室、第四纪检监察室、第五纪检监察室、第六纪检监察室、纪检监察工委、派驻第一纪检监察组、派驻第二纪检监察组、派驻第三纪检监察组、派驻第四纪检监察组、派驻第五纪检监察组、派驻第六纪检监察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2,377.41万元，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2,377.41万元，使用非财政拨款结余0.00万元，年初结转和结余0.00万元。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2,377.41万元，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2,377.41万元，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增加211.57万元</w:t>
      </w:r>
      <w:r>
        <w:rPr>
          <w:rFonts w:hint="eastAsia" w:ascii="仿宋_GB2312" w:eastAsia="仿宋_GB2312"/>
          <w:color w:val="auto"/>
          <w:spacing w:val="0"/>
          <w:sz w:val="32"/>
          <w:szCs w:val="32"/>
          <w:highlight w:val="none"/>
          <w:lang w:eastAsia="zh-CN"/>
        </w:rPr>
        <w:t>，增长9.77%，主要原因是：一是</w:t>
      </w:r>
      <w:r>
        <w:rPr>
          <w:rFonts w:hint="eastAsia" w:ascii="仿宋_GB2312" w:eastAsia="仿宋_GB2312"/>
          <w:sz w:val="32"/>
          <w:szCs w:val="32"/>
          <w:highlight w:val="none"/>
        </w:rPr>
        <w:t>人员工资增长，人员工资薪酬增加；</w:t>
      </w:r>
      <w:r>
        <w:rPr>
          <w:rFonts w:hint="eastAsia" w:ascii="仿宋_GB2312" w:eastAsia="仿宋_GB2312"/>
          <w:color w:val="auto"/>
          <w:spacing w:val="0"/>
          <w:sz w:val="32"/>
          <w:szCs w:val="32"/>
          <w:highlight w:val="none"/>
          <w:lang w:eastAsia="zh-CN"/>
        </w:rPr>
        <w:t>二是本年增加在职人员基础绩效奖；三是</w:t>
      </w:r>
      <w:r>
        <w:rPr>
          <w:rFonts w:hint="eastAsia" w:ascii="仿宋_GB2312" w:eastAsia="仿宋_GB2312"/>
          <w:sz w:val="32"/>
          <w:szCs w:val="32"/>
          <w:highlight w:val="none"/>
        </w:rPr>
        <w:t>社保基数增加</w:t>
      </w:r>
      <w:r>
        <w:rPr>
          <w:rFonts w:hint="eastAsia" w:ascii="仿宋_GB2312" w:eastAsia="仿宋_GB2312"/>
          <w:sz w:val="32"/>
          <w:szCs w:val="32"/>
          <w:highlight w:val="none"/>
          <w:lang w:eastAsia="zh-CN"/>
        </w:rPr>
        <w:t>，社保缴费增加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2,377.41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2,377.41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本年支出2,377.41万元，其中：基本支出2,341.56万元，占98.49%；项目支出35.85万元，占1.51%；上缴上级支出0.00万元，占0.00%；经营支出0.00万元，占0.00%；对附属单位补助支出0.00万元，占0.00%。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2,377.41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2,377.41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2,377.41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2,377.41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增加211.57万元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增长9.77%,</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sz w:val="32"/>
          <w:szCs w:val="32"/>
          <w:highlight w:val="none"/>
        </w:rPr>
        <w:t>人员工资增长，人员工资薪酬增加；</w:t>
      </w:r>
      <w:r>
        <w:rPr>
          <w:rFonts w:hint="eastAsia" w:ascii="仿宋_GB2312" w:eastAsia="仿宋_GB2312"/>
          <w:color w:val="auto"/>
          <w:spacing w:val="0"/>
          <w:sz w:val="32"/>
          <w:szCs w:val="32"/>
          <w:highlight w:val="none"/>
          <w:lang w:eastAsia="zh-CN"/>
        </w:rPr>
        <w:t>二是本年增加在职人员基础绩效奖；三是</w:t>
      </w:r>
      <w:r>
        <w:rPr>
          <w:rFonts w:hint="eastAsia" w:ascii="仿宋_GB2312" w:eastAsia="仿宋_GB2312"/>
          <w:sz w:val="32"/>
          <w:szCs w:val="32"/>
          <w:highlight w:val="none"/>
        </w:rPr>
        <w:t>社保基数增加</w:t>
      </w:r>
      <w:r>
        <w:rPr>
          <w:rFonts w:hint="eastAsia" w:ascii="仿宋_GB2312" w:eastAsia="仿宋_GB2312"/>
          <w:sz w:val="32"/>
          <w:szCs w:val="32"/>
          <w:highlight w:val="none"/>
          <w:lang w:eastAsia="zh-CN"/>
        </w:rPr>
        <w:t>，社保缴费增加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2,237.55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2,377.41</w:t>
      </w:r>
      <w:r>
        <w:rPr>
          <w:rFonts w:hint="eastAsia" w:ascii="仿宋_GB2312" w:eastAsia="仿宋_GB2312"/>
          <w:color w:val="auto"/>
          <w:spacing w:val="0"/>
          <w:sz w:val="32"/>
          <w:szCs w:val="32"/>
          <w:highlight w:val="none"/>
          <w:lang w:eastAsia="zh-CN"/>
        </w:rPr>
        <w:t>万元，预决算差异率6.25%，主要原因是：一是年中追加专项工作经费；二是本年增加在职人员基础绩效奖；三是本年增加在职人员艰苦边远津贴补贴。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2023年度一般公共预算财政拨款支出2,377.41万元，占本年支出合计的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增加211.57万元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增长9.77%,</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sz w:val="32"/>
          <w:szCs w:val="32"/>
          <w:highlight w:val="none"/>
        </w:rPr>
        <w:t>人员工资增长，人员工资薪酬增加；</w:t>
      </w:r>
      <w:r>
        <w:rPr>
          <w:rFonts w:hint="eastAsia" w:ascii="仿宋_GB2312" w:eastAsia="仿宋_GB2312"/>
          <w:color w:val="auto"/>
          <w:spacing w:val="0"/>
          <w:sz w:val="32"/>
          <w:szCs w:val="32"/>
          <w:highlight w:val="none"/>
          <w:lang w:eastAsia="zh-CN"/>
        </w:rPr>
        <w:t>二是本年增加在职人员基础绩效奖；三是</w:t>
      </w:r>
      <w:r>
        <w:rPr>
          <w:rFonts w:hint="eastAsia" w:ascii="仿宋_GB2312" w:eastAsia="仿宋_GB2312"/>
          <w:sz w:val="32"/>
          <w:szCs w:val="32"/>
          <w:highlight w:val="none"/>
        </w:rPr>
        <w:t>社保基数增加</w:t>
      </w:r>
      <w:r>
        <w:rPr>
          <w:rFonts w:hint="eastAsia" w:ascii="仿宋_GB2312" w:eastAsia="仿宋_GB2312"/>
          <w:sz w:val="32"/>
          <w:szCs w:val="32"/>
          <w:highlight w:val="none"/>
          <w:lang w:eastAsia="zh-CN"/>
        </w:rPr>
        <w:t>，社保缴费增加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2,237.55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2,377.41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6.25%</w:t>
      </w:r>
      <w:r>
        <w:rPr>
          <w:rFonts w:hint="eastAsia" w:ascii="仿宋_GB2312" w:eastAsia="仿宋_GB2312"/>
          <w:color w:val="auto"/>
          <w:spacing w:val="0"/>
          <w:sz w:val="32"/>
          <w:szCs w:val="32"/>
          <w:highlight w:val="none"/>
          <w:lang w:eastAsia="zh-CN"/>
        </w:rPr>
        <w:t>，主要原因是：一是年中追加专项工作经费；二是本年增加在职人员基础绩效奖；三是本年增加在职人员艰苦边远津贴补贴。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1,879.20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229.95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114.42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143.84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0.42%</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1.卫生健康支出（类）行政事业单位医疗（款）行政单位医疗（项）:支出决算数为72.08万元，比上年决算减少4.49万元，下降5.86%，主要原因是：</w:t>
      </w:r>
      <w:r>
        <w:rPr>
          <w:rFonts w:hint="eastAsia" w:ascii="仿宋_GB2312" w:hAnsi="仿宋_GB2312" w:eastAsia="仿宋_GB2312" w:cs="仿宋_GB2312"/>
          <w:color w:val="auto"/>
          <w:kern w:val="2"/>
          <w:sz w:val="32"/>
          <w:szCs w:val="32"/>
          <w:highlight w:val="none"/>
          <w:lang w:val="zh-CN" w:eastAsia="zh-CN" w:bidi="ar-SA"/>
        </w:rPr>
        <w:t>医疗政策变化，退休人员不再需要缴纳基本医疗。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2.卫生健康支出（类）行政事业单位医疗（款）事业单位医疗（项）:支出决算数为7.15万元，比上年决算减少0.77万元，下降9.72%，主要原因是：退休人员基本医疗保险单位缴费部分收回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35.19万元，比上年决算减少1.55万元，下降4.22%，主要原因是：行政人员调出16人、事业人员调出3人、在职转退休4人，死亡1人；退休人员公务员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4.住房保障支出（类）住房改革支出（款）住房公积金（项）:支出决算数为143.84万元，比上年决算增加8.34万元，增长6.15%，主要原因是：</w:t>
      </w:r>
      <w:r>
        <w:rPr>
          <w:rFonts w:hint="eastAsia" w:ascii="仿宋_GB2312" w:hAnsi="仿宋_GB2312" w:eastAsia="仿宋_GB2312" w:cs="仿宋_GB2312"/>
          <w:color w:val="auto"/>
          <w:kern w:val="2"/>
          <w:sz w:val="32"/>
          <w:szCs w:val="32"/>
          <w:highlight w:val="none"/>
          <w:lang w:val="zh-CN" w:eastAsia="zh-CN" w:bidi="ar-SA"/>
        </w:rPr>
        <w:t>工资调整、公积金基数增加，缴费增加。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纪检监察事务（款）事业运行（项）:支出决算数为138.72万元，比上年决算增加138.72万元，增长100%，主要原因是：2022年决算事业运行合并在行政运行中支出，本年行政运行与事业运行支出款项分开，单独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6.一般公共服务支出（类）纪检监察事务（款）其他纪检监察事务支出（项）:支出决算数为25.85万元，比上年决算减少42.45万元，下降62.15%，主要原因是：今年</w:t>
      </w:r>
      <w:r>
        <w:rPr>
          <w:rFonts w:hint="eastAsia" w:ascii="仿宋_GB2312" w:hAnsi="仿宋_GB2312" w:eastAsia="仿宋_GB2312" w:cs="仿宋_GB2312"/>
          <w:color w:val="auto"/>
          <w:kern w:val="2"/>
          <w:sz w:val="32"/>
          <w:szCs w:val="32"/>
          <w:highlight w:val="none"/>
          <w:lang w:val="zh-CN" w:eastAsia="zh-CN" w:bidi="ar-SA"/>
        </w:rPr>
        <w:t>中央政法纪检监察专项转移支付资金减少。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7.社会保障和就业支出（类）行政事业单位养老支出（款）行政单位离退休（项）:支出决算数为13.56万元，比上年决算增加7.45万元，增长121.93%，主要原因是：</w:t>
      </w:r>
      <w:r>
        <w:rPr>
          <w:rFonts w:hint="eastAsia" w:ascii="仿宋_GB2312" w:hAnsi="仿宋_GB2312" w:eastAsia="仿宋_GB2312" w:cs="仿宋_GB2312"/>
          <w:color w:val="auto"/>
          <w:kern w:val="2"/>
          <w:sz w:val="32"/>
          <w:szCs w:val="32"/>
          <w:highlight w:val="none"/>
          <w:lang w:val="zh-CN" w:eastAsia="zh-CN" w:bidi="ar-SA"/>
        </w:rPr>
        <w:t>退休人员绩效工资增加。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8.一般公共服务支出（类）纪检监察事务（款）行政运行（项）:支出决算数为1,714.64万元，比上年决算增加47.25万元，增长2.83%，主要原因是：</w:t>
      </w:r>
      <w:r>
        <w:rPr>
          <w:rFonts w:hint="eastAsia" w:ascii="仿宋_GB2312" w:eastAsia="仿宋_GB2312"/>
          <w:color w:val="auto"/>
          <w:spacing w:val="0"/>
          <w:sz w:val="32"/>
          <w:szCs w:val="32"/>
          <w:highlight w:val="none"/>
          <w:lang w:eastAsia="zh-CN"/>
        </w:rPr>
        <w:t>年中追加专项工作经费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33.34万元，比上年决算增加28.46万元，增长583.20%，主要原因是：本年3名在职转退休人员缴纳退休人员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10.其他支出（类）其他支出（款）其他支出（项）:支出决算数为10.00万元，比上年决算增加0.00万元，增长0.00%，主要原因是：</w:t>
      </w:r>
      <w:r>
        <w:rPr>
          <w:rFonts w:hint="eastAsia" w:ascii="仿宋_GB2312" w:eastAsia="仿宋_GB2312"/>
          <w:sz w:val="32"/>
          <w:szCs w:val="32"/>
          <w:highlight w:val="none"/>
          <w:lang w:val="en-US" w:eastAsia="zh-CN"/>
        </w:rPr>
        <w:t>工作经费没有变化</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183.04万元，比上年决算增加31.37万元，增长20.68%，主要原因是：工资调整、养老保险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12.社会保障和就业支出（类）行政事业单位养老支出（款）事业单位离退休（项）:支出决算数为0.00万元，比上年决算减少0.76万元，下降100%，主要原因是：</w:t>
      </w:r>
      <w:r>
        <w:rPr>
          <w:rFonts w:hint="eastAsia" w:ascii="仿宋_GB2312" w:hAnsi="仿宋_GB2312" w:eastAsia="仿宋_GB2312" w:cs="仿宋_GB2312"/>
          <w:color w:val="auto"/>
          <w:kern w:val="2"/>
          <w:sz w:val="32"/>
          <w:szCs w:val="32"/>
          <w:highlight w:val="none"/>
          <w:lang w:val="zh-CN" w:eastAsia="zh-CN" w:bidi="ar-SA"/>
        </w:rPr>
        <w:t>本年没有事业离退休。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2,341.56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2,026.60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314.96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办公费、印刷费、水费、电费、邮电费、取暖费、差旅费、维修（护）费、培训费、公务接待费、劳务费、工会经费、公务用车运行维护费、其他商品和服务支出。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“三公”经费支出46.35万元，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增加3.92万元，</w:t>
      </w:r>
      <w:r>
        <w:rPr>
          <w:rFonts w:hint="eastAsia" w:ascii="仿宋_GB2312" w:eastAsia="仿宋_GB2312"/>
          <w:color w:val="auto"/>
          <w:spacing w:val="0"/>
          <w:sz w:val="32"/>
          <w:szCs w:val="32"/>
          <w:highlight w:val="none"/>
          <w:lang w:val="en-US" w:eastAsia="zh-CN"/>
        </w:rPr>
        <w:t>增长9.24%,</w:t>
      </w:r>
      <w:r>
        <w:rPr>
          <w:rFonts w:hint="eastAsia" w:ascii="仿宋_GB2312" w:eastAsia="仿宋_GB2312"/>
          <w:color w:val="auto"/>
          <w:sz w:val="32"/>
          <w:szCs w:val="32"/>
          <w:highlight w:val="none"/>
          <w:lang w:val="zh-CN" w:eastAsia="zh-CN"/>
        </w:rPr>
        <w:t>主要原因是：任务增加工作量增大，外出办案多，车辆运行费用增加。其中：因公出国（境）费支出0.00万元，占0.00%，比上年增加0.00万元，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；公务用车购置及运行维护费支出41.36万元，占89.23%，比上年增加3.87万元，</w:t>
      </w:r>
      <w:r>
        <w:rPr>
          <w:rFonts w:hint="eastAsia" w:ascii="仿宋_GB2312" w:eastAsia="仿宋_GB2312"/>
          <w:color w:val="auto"/>
          <w:spacing w:val="0"/>
          <w:sz w:val="32"/>
          <w:szCs w:val="32"/>
          <w:highlight w:val="none"/>
          <w:lang w:val="en-US" w:eastAsia="zh-CN"/>
        </w:rPr>
        <w:t>增长10.32%,</w:t>
      </w:r>
      <w:r>
        <w:rPr>
          <w:rFonts w:hint="eastAsia" w:ascii="仿宋_GB2312" w:eastAsia="仿宋_GB2312"/>
          <w:color w:val="auto"/>
          <w:sz w:val="32"/>
          <w:szCs w:val="32"/>
          <w:highlight w:val="none"/>
          <w:lang w:val="zh-CN" w:eastAsia="zh-CN"/>
        </w:rPr>
        <w:t>主要原因是：任务增加工作量增大，外出办案多，车辆运行费用增加；公务接待费支出4.99万元，占10.77%，比上年增加0.04万元，</w:t>
      </w:r>
      <w:r>
        <w:rPr>
          <w:rFonts w:hint="eastAsia" w:ascii="仿宋_GB2312" w:eastAsia="仿宋_GB2312"/>
          <w:color w:val="auto"/>
          <w:spacing w:val="0"/>
          <w:sz w:val="32"/>
          <w:szCs w:val="32"/>
          <w:highlight w:val="none"/>
          <w:lang w:val="en-US" w:eastAsia="zh-CN"/>
        </w:rPr>
        <w:t>增长0.81%,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2023年巡察任务增加，联系对接巡察工作，接待费略有增加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41.36万元，其中：公务用车购置费0.00万元，公务用车运行维护费41.36万元。公务用车运行维护费开支内容包括公务用车燃油费、公务用车修理费、过路费等。公务用车购置数0辆，公务用车保有量16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5辆车因工作需要原因由机关事务服务中心协调调剂给我单位工作使用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公务接待费4.99万元，开支内容包括接待上级纪检监察系统督导检查和办案人员</w:t>
      </w:r>
      <w:r>
        <w:rPr>
          <w:rFonts w:hint="eastAsia" w:ascii="仿宋_GB2312" w:eastAsia="仿宋_GB2312"/>
          <w:color w:val="auto"/>
          <w:sz w:val="32"/>
          <w:szCs w:val="32"/>
          <w:highlight w:val="none"/>
          <w:lang w:val="en-US" w:eastAsia="zh-CN"/>
        </w:rPr>
        <w:t>餐</w:t>
      </w:r>
      <w:bookmarkStart w:id="48" w:name="_GoBack"/>
      <w:bookmarkEnd w:id="48"/>
      <w:r>
        <w:rPr>
          <w:rFonts w:hint="eastAsia" w:ascii="仿宋_GB2312" w:eastAsia="仿宋_GB2312"/>
          <w:color w:val="auto"/>
          <w:sz w:val="32"/>
          <w:szCs w:val="32"/>
          <w:highlight w:val="none"/>
          <w:lang w:val="zh-CN" w:eastAsia="zh-CN"/>
        </w:rPr>
        <w:t>费。单位全年安排的国内公务接待42批次，471人次。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预算数46.35万元，决算数46.35万元，预决算差异率0.00%，主要原因是：本单位严格控制三公经费支出。其中：因公出国（境）费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预算数0.00万元，决算数0.00万元，预决算差异率0.00%，主要原因是：我单位无购置车辆；公务用车运行费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预算数41.36万元，决算数41.36万元，预决算差异率0.00%，主要原因是：本单位严格控制三公经费支出；公务接待费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预算数4.99万元，决算数4.99万元，预决算差异率0.00%，主要原因是：本单位严格控制三公经费支出。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中共沙湾市纪律检查委员会（行政单位和参照公务员法管理事业单位）机关运行经费支出314.96万元，</w:t>
      </w:r>
      <w:r>
        <w:rPr>
          <w:rFonts w:hint="eastAsia" w:ascii="仿宋_GB2312" w:hAnsi="仿宋_GB2312" w:eastAsia="仿宋_GB2312" w:cs="仿宋_GB2312"/>
          <w:color w:val="auto"/>
          <w:sz w:val="32"/>
          <w:szCs w:val="32"/>
          <w:highlight w:val="none"/>
          <w:lang w:val="zh-CN" w:eastAsia="zh-CN"/>
        </w:rPr>
        <w:t>比上年增加126.79万元，增长67.38%，主要原因是：</w:t>
      </w:r>
      <w:r>
        <w:rPr>
          <w:rFonts w:hint="eastAsia" w:ascii="仿宋_GB2312" w:eastAsia="仿宋_GB2312"/>
          <w:color w:val="auto"/>
          <w:spacing w:val="0"/>
          <w:sz w:val="32"/>
          <w:szCs w:val="32"/>
          <w:highlight w:val="none"/>
          <w:lang w:eastAsia="zh-CN"/>
        </w:rPr>
        <w:t>年中追加专项工作经费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168.13万元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其中：政府采购货物支出57.38万元、政府采购工程支出30.12万元、政府采购服务支出80.64万元。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授予中小企业合同金额168.13万元，占政府采购支出总额的100.00%，其中：授予小微企业合同金额168.13万元，占政府采购支出总额的100.00%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1,048.78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屋2,000.00平方米，价值691.92万元。车辆11辆，价值110.48万元，其中：副部（省）级及以上领导用车0辆、主要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用车0辆、其他用车11辆，其他用车主要是：公务用车11辆；单价100万元（含）以上设备（不含车辆）0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1张</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val="en-US" w:eastAsia="zh-CN"/>
        </w:rPr>
        <w:t>全年预算总额</w:t>
      </w:r>
      <w:r>
        <w:rPr>
          <w:rFonts w:hint="eastAsia" w:ascii="仿宋_GB2312" w:eastAsia="仿宋_GB2312"/>
          <w:color w:val="auto"/>
          <w:sz w:val="32"/>
          <w:szCs w:val="32"/>
          <w:highlight w:val="none"/>
          <w:lang w:eastAsia="zh-CN"/>
        </w:rPr>
        <w:t>2,377.41万元，</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2,377.41万元。预算绩效项目</w:t>
      </w:r>
      <w:r>
        <w:rPr>
          <w:rFonts w:hint="eastAsia" w:ascii="仿宋_GB2312" w:eastAsia="仿宋_GB2312"/>
          <w:color w:val="auto"/>
          <w:sz w:val="32"/>
          <w:szCs w:val="32"/>
          <w:highlight w:val="none"/>
          <w:lang w:val="en-US" w:eastAsia="zh-CN"/>
        </w:rPr>
        <w:t>2个，预算数35.85万元，全年执行数35.85万元。其中本单位sm项目2个，涉密项目金额35.85万元，不予以公开绩效自评表。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FF0000"/>
          <w:sz w:val="32"/>
          <w:szCs w:val="32"/>
          <w:highlight w:val="none"/>
        </w:rPr>
      </w:pP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rPr>
        <w:t>通过专项监督检查，强化“不敢腐”的震慑，人民群众对政府形象满意度显著提高，提升了党风廉政建设水平</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rPr>
        <w:t>营造风清气正的政治环境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增强了反腐败斗争成效。</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rPr>
        <w:t>经费预算编制精准度有待提高</w:t>
      </w:r>
      <w:r>
        <w:rPr>
          <w:rFonts w:hint="eastAsia" w:ascii="仿宋_GB2312" w:eastAsia="仿宋_GB2312"/>
          <w:color w:val="auto"/>
          <w:sz w:val="32"/>
          <w:szCs w:val="32"/>
          <w:highlight w:val="none"/>
          <w:lang w:eastAsia="zh-CN"/>
        </w:rPr>
        <w:t>；二是业</w:t>
      </w:r>
      <w:r>
        <w:rPr>
          <w:rFonts w:hint="eastAsia" w:ascii="仿宋_GB2312" w:eastAsia="仿宋_GB2312"/>
          <w:bCs/>
          <w:color w:val="auto"/>
          <w:sz w:val="32"/>
          <w:szCs w:val="32"/>
          <w:highlight w:val="none"/>
        </w:rPr>
        <w:t>务人员业务素质有待进一步提高</w:t>
      </w:r>
      <w:r>
        <w:rPr>
          <w:rFonts w:hint="eastAsia" w:ascii="仿宋_GB2312" w:eastAsia="仿宋_GB2312"/>
          <w:color w:val="auto"/>
          <w:sz w:val="32"/>
          <w:szCs w:val="32"/>
          <w:highlight w:val="none"/>
          <w:lang w:eastAsia="zh-CN"/>
        </w:rPr>
        <w:t>。下一步改进措施：一是</w:t>
      </w:r>
      <w:r>
        <w:rPr>
          <w:rStyle w:val="14"/>
          <w:rFonts w:hint="eastAsia" w:ascii="仿宋_GB2312" w:hAnsi="仿宋_GB2312" w:eastAsia="仿宋_GB2312" w:cs="仿宋_GB2312"/>
          <w:b w:val="0"/>
          <w:bCs w:val="0"/>
          <w:color w:val="auto"/>
          <w:spacing w:val="-4"/>
          <w:sz w:val="32"/>
          <w:szCs w:val="32"/>
          <w:highlight w:val="none"/>
        </w:rPr>
        <w:t>加强预算执行管理。做好事前审批、事中管理和事后监督工作，不断加快预算执行进度，推动预算执行按照资金计划有序进行</w:t>
      </w:r>
      <w:r>
        <w:rPr>
          <w:rFonts w:hint="eastAsia" w:ascii="仿宋_GB2312" w:eastAsia="仿宋_GB2312"/>
          <w:color w:val="auto"/>
          <w:sz w:val="32"/>
          <w:szCs w:val="32"/>
          <w:highlight w:val="none"/>
          <w:lang w:eastAsia="zh-CN"/>
        </w:rPr>
        <w:t>；二是</w:t>
      </w:r>
      <w:r>
        <w:rPr>
          <w:rStyle w:val="14"/>
          <w:rFonts w:hint="eastAsia" w:ascii="仿宋_GB2312" w:hAnsi="仿宋_GB2312" w:eastAsia="仿宋_GB2312" w:cs="仿宋_GB2312"/>
          <w:b w:val="0"/>
          <w:bCs w:val="0"/>
          <w:color w:val="auto"/>
          <w:spacing w:val="-4"/>
          <w:sz w:val="32"/>
          <w:szCs w:val="32"/>
          <w:highlight w:val="none"/>
        </w:rPr>
        <w:t>不断完善会计人员继续教育管理机制，灵活继续教育方式，不断组织开展业务技能和会计职业道德的培训</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仿宋_GB2312" w:eastAsia="仿宋_GB2312"/>
          <w:color w:val="auto"/>
          <w:sz w:val="32"/>
          <w:szCs w:val="32"/>
          <w:highlight w:val="none"/>
          <w:lang w:val="en-US" w:eastAsia="zh-CN"/>
        </w:rPr>
      </w:pPr>
      <w:bookmarkStart w:id="30" w:name="_Toc3250"/>
      <w:bookmarkStart w:id="31" w:name="_Toc24143"/>
      <w:r>
        <w:rPr>
          <w:rFonts w:hint="eastAsia" w:ascii="仿宋_GB2312" w:eastAsia="仿宋_GB2312"/>
          <w:color w:val="auto"/>
          <w:sz w:val="32"/>
          <w:szCs w:val="32"/>
          <w:highlight w:val="none"/>
          <w:lang w:eastAsia="zh-CN"/>
        </w:rPr>
        <w:t>本单位涉</w:t>
      </w: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2个，预算数35.85万元，全年执行数35.85万元。不予以公开项目自评表。</w:t>
      </w:r>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105FA99E"/>
    <w:multiLevelType w:val="singleLevel"/>
    <w:tmpl w:val="105FA99E"/>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1MGFhNmY4MGU4MmU1ODNiZjYxZDczNTU5MzQ4ZWIifQ=="/>
    <w:docVar w:name="KSO_WPS_MARK_KEY" w:val="41ee2a61-2d54-4f93-83be-afdb9a40d732"/>
  </w:docVars>
  <w:rsids>
    <w:rsidRoot w:val="00000000"/>
    <w:rsid w:val="00213C59"/>
    <w:rsid w:val="003210CE"/>
    <w:rsid w:val="00B70D59"/>
    <w:rsid w:val="00F52A8D"/>
    <w:rsid w:val="019404F8"/>
    <w:rsid w:val="01C30B6B"/>
    <w:rsid w:val="01ED22F2"/>
    <w:rsid w:val="02460027"/>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8FF42E1"/>
    <w:rsid w:val="09114954"/>
    <w:rsid w:val="095A5B83"/>
    <w:rsid w:val="096466E3"/>
    <w:rsid w:val="0968304D"/>
    <w:rsid w:val="09AF3D17"/>
    <w:rsid w:val="0A7809B7"/>
    <w:rsid w:val="0A7B4867"/>
    <w:rsid w:val="0A840954"/>
    <w:rsid w:val="0A9928ED"/>
    <w:rsid w:val="0B61769D"/>
    <w:rsid w:val="0B8C3ECC"/>
    <w:rsid w:val="0B9C639D"/>
    <w:rsid w:val="0BB052B2"/>
    <w:rsid w:val="0BC87F6C"/>
    <w:rsid w:val="0BD33FFC"/>
    <w:rsid w:val="0BE97AC1"/>
    <w:rsid w:val="0C1C4780"/>
    <w:rsid w:val="0C3613A3"/>
    <w:rsid w:val="0C5E519C"/>
    <w:rsid w:val="0C7227A7"/>
    <w:rsid w:val="0CA52EE8"/>
    <w:rsid w:val="0CBD6988"/>
    <w:rsid w:val="0CD208AC"/>
    <w:rsid w:val="0D172DAA"/>
    <w:rsid w:val="0D4903E8"/>
    <w:rsid w:val="0D7A4A46"/>
    <w:rsid w:val="0DFA5F3F"/>
    <w:rsid w:val="0E4708F7"/>
    <w:rsid w:val="0E640559"/>
    <w:rsid w:val="0F1113DA"/>
    <w:rsid w:val="0F54757D"/>
    <w:rsid w:val="0F78534A"/>
    <w:rsid w:val="0F89358A"/>
    <w:rsid w:val="0F8C6D51"/>
    <w:rsid w:val="105B0B5E"/>
    <w:rsid w:val="112E58D0"/>
    <w:rsid w:val="11731CAC"/>
    <w:rsid w:val="119500A0"/>
    <w:rsid w:val="11C0733B"/>
    <w:rsid w:val="11D50D17"/>
    <w:rsid w:val="120E0809"/>
    <w:rsid w:val="12587EAA"/>
    <w:rsid w:val="127F665A"/>
    <w:rsid w:val="12F7068C"/>
    <w:rsid w:val="13EB5EC8"/>
    <w:rsid w:val="14207DC0"/>
    <w:rsid w:val="14B932DA"/>
    <w:rsid w:val="150A66AF"/>
    <w:rsid w:val="154C1139"/>
    <w:rsid w:val="158C5B77"/>
    <w:rsid w:val="160D1149"/>
    <w:rsid w:val="163563C0"/>
    <w:rsid w:val="164315EF"/>
    <w:rsid w:val="16557DFE"/>
    <w:rsid w:val="167268FB"/>
    <w:rsid w:val="16770D0A"/>
    <w:rsid w:val="168A7DA3"/>
    <w:rsid w:val="169A0039"/>
    <w:rsid w:val="16D50C50"/>
    <w:rsid w:val="16E120E1"/>
    <w:rsid w:val="17306E6C"/>
    <w:rsid w:val="17385A05"/>
    <w:rsid w:val="173B3901"/>
    <w:rsid w:val="176747F9"/>
    <w:rsid w:val="17954A6E"/>
    <w:rsid w:val="17BD5C5B"/>
    <w:rsid w:val="17BE2C86"/>
    <w:rsid w:val="17FD4FBA"/>
    <w:rsid w:val="180059E9"/>
    <w:rsid w:val="184510FD"/>
    <w:rsid w:val="190648B0"/>
    <w:rsid w:val="19071D6C"/>
    <w:rsid w:val="19642DC0"/>
    <w:rsid w:val="19D26CD4"/>
    <w:rsid w:val="19E60D19"/>
    <w:rsid w:val="1A3E3450"/>
    <w:rsid w:val="1A443CC8"/>
    <w:rsid w:val="1AD807E5"/>
    <w:rsid w:val="1B39345B"/>
    <w:rsid w:val="1BFB2A1F"/>
    <w:rsid w:val="1C015D4A"/>
    <w:rsid w:val="1C290ED5"/>
    <w:rsid w:val="1C317E4F"/>
    <w:rsid w:val="1C472464"/>
    <w:rsid w:val="1C6866E3"/>
    <w:rsid w:val="1D22799A"/>
    <w:rsid w:val="1D5C1A72"/>
    <w:rsid w:val="1DAF458D"/>
    <w:rsid w:val="1E086ACE"/>
    <w:rsid w:val="1E62130A"/>
    <w:rsid w:val="1E7C37D3"/>
    <w:rsid w:val="1E97358B"/>
    <w:rsid w:val="1EAA4A5F"/>
    <w:rsid w:val="1EE869A7"/>
    <w:rsid w:val="1F3F37CF"/>
    <w:rsid w:val="1FA15E62"/>
    <w:rsid w:val="1FED69B6"/>
    <w:rsid w:val="2064678E"/>
    <w:rsid w:val="20DC1AB9"/>
    <w:rsid w:val="20DD6197"/>
    <w:rsid w:val="212631E0"/>
    <w:rsid w:val="2138666F"/>
    <w:rsid w:val="21742080"/>
    <w:rsid w:val="21A53757"/>
    <w:rsid w:val="21B412C8"/>
    <w:rsid w:val="21CF77E5"/>
    <w:rsid w:val="21F879E1"/>
    <w:rsid w:val="221236C6"/>
    <w:rsid w:val="22462CF1"/>
    <w:rsid w:val="22D7662C"/>
    <w:rsid w:val="231D1CA3"/>
    <w:rsid w:val="23326B7F"/>
    <w:rsid w:val="2380045B"/>
    <w:rsid w:val="23BC04D2"/>
    <w:rsid w:val="23EF1892"/>
    <w:rsid w:val="23EF7967"/>
    <w:rsid w:val="2483647E"/>
    <w:rsid w:val="24A32D55"/>
    <w:rsid w:val="24CE6D9A"/>
    <w:rsid w:val="25292727"/>
    <w:rsid w:val="252E5CA9"/>
    <w:rsid w:val="256F7692"/>
    <w:rsid w:val="25BA2154"/>
    <w:rsid w:val="25C8773F"/>
    <w:rsid w:val="26235823"/>
    <w:rsid w:val="264A7253"/>
    <w:rsid w:val="26673A0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D824AE"/>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7B18F4"/>
    <w:rsid w:val="30862F5F"/>
    <w:rsid w:val="30A4775A"/>
    <w:rsid w:val="314029C9"/>
    <w:rsid w:val="31C63837"/>
    <w:rsid w:val="31C82E39"/>
    <w:rsid w:val="32601BAD"/>
    <w:rsid w:val="329F6389"/>
    <w:rsid w:val="3389023A"/>
    <w:rsid w:val="33982E26"/>
    <w:rsid w:val="33CB74FA"/>
    <w:rsid w:val="343642F2"/>
    <w:rsid w:val="34386223"/>
    <w:rsid w:val="343F3010"/>
    <w:rsid w:val="345D0A00"/>
    <w:rsid w:val="34713BFD"/>
    <w:rsid w:val="34C13589"/>
    <w:rsid w:val="353369E3"/>
    <w:rsid w:val="35B21E0B"/>
    <w:rsid w:val="35E00D72"/>
    <w:rsid w:val="363D58C9"/>
    <w:rsid w:val="36965B9D"/>
    <w:rsid w:val="36C549FD"/>
    <w:rsid w:val="37A755DD"/>
    <w:rsid w:val="37F33BFE"/>
    <w:rsid w:val="37F94FA0"/>
    <w:rsid w:val="380D3381"/>
    <w:rsid w:val="38115B1F"/>
    <w:rsid w:val="385E3AC3"/>
    <w:rsid w:val="387D6B9E"/>
    <w:rsid w:val="38961E84"/>
    <w:rsid w:val="38B75FF0"/>
    <w:rsid w:val="38D45016"/>
    <w:rsid w:val="38D90432"/>
    <w:rsid w:val="3914510A"/>
    <w:rsid w:val="3926770B"/>
    <w:rsid w:val="3982065B"/>
    <w:rsid w:val="398D3668"/>
    <w:rsid w:val="39DA0497"/>
    <w:rsid w:val="3A893816"/>
    <w:rsid w:val="3A893B6D"/>
    <w:rsid w:val="3A930336"/>
    <w:rsid w:val="3AD1763A"/>
    <w:rsid w:val="3B196883"/>
    <w:rsid w:val="3B6716E3"/>
    <w:rsid w:val="3B6C6B2D"/>
    <w:rsid w:val="3B9013B7"/>
    <w:rsid w:val="3C242659"/>
    <w:rsid w:val="3C96719C"/>
    <w:rsid w:val="3CA72BE8"/>
    <w:rsid w:val="3CDC1E1E"/>
    <w:rsid w:val="3CF37F8C"/>
    <w:rsid w:val="3D137554"/>
    <w:rsid w:val="3D5275AC"/>
    <w:rsid w:val="3DCC2473"/>
    <w:rsid w:val="3DEB0883"/>
    <w:rsid w:val="3E2527BF"/>
    <w:rsid w:val="3E70484C"/>
    <w:rsid w:val="3E731662"/>
    <w:rsid w:val="3E734A16"/>
    <w:rsid w:val="3E8168DD"/>
    <w:rsid w:val="3EA7725F"/>
    <w:rsid w:val="3EB03713"/>
    <w:rsid w:val="3EBF1A11"/>
    <w:rsid w:val="3EC52607"/>
    <w:rsid w:val="3EEC6CEF"/>
    <w:rsid w:val="3F183429"/>
    <w:rsid w:val="3F444EF1"/>
    <w:rsid w:val="3FB77A1D"/>
    <w:rsid w:val="3FDC3674"/>
    <w:rsid w:val="3FED7F8A"/>
    <w:rsid w:val="40094AEF"/>
    <w:rsid w:val="405470BD"/>
    <w:rsid w:val="40794A29"/>
    <w:rsid w:val="40834692"/>
    <w:rsid w:val="411C7750"/>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276B29"/>
    <w:rsid w:val="493D58B5"/>
    <w:rsid w:val="494A7A04"/>
    <w:rsid w:val="49605EF7"/>
    <w:rsid w:val="49AE4D5A"/>
    <w:rsid w:val="4A0A26D2"/>
    <w:rsid w:val="4A2019A5"/>
    <w:rsid w:val="4A241A0B"/>
    <w:rsid w:val="4A5C2BD7"/>
    <w:rsid w:val="4A7B2875"/>
    <w:rsid w:val="4A934476"/>
    <w:rsid w:val="4AAA220A"/>
    <w:rsid w:val="4AE12E67"/>
    <w:rsid w:val="4B4C0111"/>
    <w:rsid w:val="4B8553A9"/>
    <w:rsid w:val="4BDB3730"/>
    <w:rsid w:val="4C200F7A"/>
    <w:rsid w:val="4CC132CB"/>
    <w:rsid w:val="4CEE3180"/>
    <w:rsid w:val="4D0F4AF6"/>
    <w:rsid w:val="4D1A5E8D"/>
    <w:rsid w:val="4DF94F37"/>
    <w:rsid w:val="4E0A1DD5"/>
    <w:rsid w:val="4E3160E5"/>
    <w:rsid w:val="4E4D37AF"/>
    <w:rsid w:val="4E8C6496"/>
    <w:rsid w:val="4EFD18DE"/>
    <w:rsid w:val="4F144236"/>
    <w:rsid w:val="4F212364"/>
    <w:rsid w:val="4F663C87"/>
    <w:rsid w:val="4F7E29A8"/>
    <w:rsid w:val="4F9E1FFC"/>
    <w:rsid w:val="50447CC2"/>
    <w:rsid w:val="50874A7C"/>
    <w:rsid w:val="50895EE7"/>
    <w:rsid w:val="50921B9D"/>
    <w:rsid w:val="50D16158"/>
    <w:rsid w:val="50DB5F45"/>
    <w:rsid w:val="51025EB1"/>
    <w:rsid w:val="51141503"/>
    <w:rsid w:val="513C450E"/>
    <w:rsid w:val="518D0ED5"/>
    <w:rsid w:val="51BC40D6"/>
    <w:rsid w:val="51CD2963"/>
    <w:rsid w:val="525C687F"/>
    <w:rsid w:val="52A3740A"/>
    <w:rsid w:val="52F647F7"/>
    <w:rsid w:val="52F92565"/>
    <w:rsid w:val="53AE735E"/>
    <w:rsid w:val="53D03877"/>
    <w:rsid w:val="542F73CA"/>
    <w:rsid w:val="5430786D"/>
    <w:rsid w:val="545A1D2A"/>
    <w:rsid w:val="545D4396"/>
    <w:rsid w:val="54C811C0"/>
    <w:rsid w:val="556A442D"/>
    <w:rsid w:val="55DA564E"/>
    <w:rsid w:val="55E816A3"/>
    <w:rsid w:val="5604127D"/>
    <w:rsid w:val="56044E6C"/>
    <w:rsid w:val="56166703"/>
    <w:rsid w:val="56510474"/>
    <w:rsid w:val="567A49A6"/>
    <w:rsid w:val="56861525"/>
    <w:rsid w:val="56A93273"/>
    <w:rsid w:val="56BD550C"/>
    <w:rsid w:val="56E07045"/>
    <w:rsid w:val="56FF28AF"/>
    <w:rsid w:val="57540E7D"/>
    <w:rsid w:val="577B4878"/>
    <w:rsid w:val="57926973"/>
    <w:rsid w:val="57D1482F"/>
    <w:rsid w:val="57E52016"/>
    <w:rsid w:val="58175352"/>
    <w:rsid w:val="581F2200"/>
    <w:rsid w:val="583059FA"/>
    <w:rsid w:val="584A0929"/>
    <w:rsid w:val="58701487"/>
    <w:rsid w:val="589D3B69"/>
    <w:rsid w:val="58CD2491"/>
    <w:rsid w:val="591B41B2"/>
    <w:rsid w:val="59254A26"/>
    <w:rsid w:val="59326325"/>
    <w:rsid w:val="595C505B"/>
    <w:rsid w:val="595E55C3"/>
    <w:rsid w:val="596E7E20"/>
    <w:rsid w:val="597C6A1D"/>
    <w:rsid w:val="5A5D23AA"/>
    <w:rsid w:val="5A60780B"/>
    <w:rsid w:val="5AB34579"/>
    <w:rsid w:val="5AB40E78"/>
    <w:rsid w:val="5AF80B40"/>
    <w:rsid w:val="5AFC6609"/>
    <w:rsid w:val="5B113480"/>
    <w:rsid w:val="5BD456CE"/>
    <w:rsid w:val="5C0D1F49"/>
    <w:rsid w:val="5CBB0CE2"/>
    <w:rsid w:val="5CC17177"/>
    <w:rsid w:val="5CF306BC"/>
    <w:rsid w:val="5D3D7A05"/>
    <w:rsid w:val="5D3F3D64"/>
    <w:rsid w:val="5D833043"/>
    <w:rsid w:val="5DD92690"/>
    <w:rsid w:val="5DDB1CFD"/>
    <w:rsid w:val="5E7E6D93"/>
    <w:rsid w:val="5E82459B"/>
    <w:rsid w:val="5ED44800"/>
    <w:rsid w:val="5F350BDE"/>
    <w:rsid w:val="5F61632C"/>
    <w:rsid w:val="5FA17648"/>
    <w:rsid w:val="5FE705CB"/>
    <w:rsid w:val="6007714E"/>
    <w:rsid w:val="603D5080"/>
    <w:rsid w:val="606842D0"/>
    <w:rsid w:val="606C266E"/>
    <w:rsid w:val="60D0261B"/>
    <w:rsid w:val="618E3791"/>
    <w:rsid w:val="61947DCA"/>
    <w:rsid w:val="61A46A97"/>
    <w:rsid w:val="61D1382F"/>
    <w:rsid w:val="61F114A2"/>
    <w:rsid w:val="622B0ABA"/>
    <w:rsid w:val="62512BB4"/>
    <w:rsid w:val="625D7D1A"/>
    <w:rsid w:val="62660469"/>
    <w:rsid w:val="62811C4E"/>
    <w:rsid w:val="62DD7D21"/>
    <w:rsid w:val="637D586B"/>
    <w:rsid w:val="63A5560B"/>
    <w:rsid w:val="63E9091F"/>
    <w:rsid w:val="64322AF9"/>
    <w:rsid w:val="64D6010D"/>
    <w:rsid w:val="64D82665"/>
    <w:rsid w:val="64E47C96"/>
    <w:rsid w:val="651E5741"/>
    <w:rsid w:val="655C7C25"/>
    <w:rsid w:val="655D7702"/>
    <w:rsid w:val="658A4877"/>
    <w:rsid w:val="658D448B"/>
    <w:rsid w:val="65A00902"/>
    <w:rsid w:val="65AC6EDD"/>
    <w:rsid w:val="65D97752"/>
    <w:rsid w:val="66085536"/>
    <w:rsid w:val="66105BF7"/>
    <w:rsid w:val="66150023"/>
    <w:rsid w:val="6628010D"/>
    <w:rsid w:val="669B4528"/>
    <w:rsid w:val="66CC12D7"/>
    <w:rsid w:val="67134CEF"/>
    <w:rsid w:val="671F1ABD"/>
    <w:rsid w:val="67521A59"/>
    <w:rsid w:val="67C304AB"/>
    <w:rsid w:val="683F0658"/>
    <w:rsid w:val="68454B74"/>
    <w:rsid w:val="6888718C"/>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3C1EF7"/>
    <w:rsid w:val="6F795A80"/>
    <w:rsid w:val="6F7C1D2E"/>
    <w:rsid w:val="6F8E0407"/>
    <w:rsid w:val="6FDD069F"/>
    <w:rsid w:val="6FE46BFC"/>
    <w:rsid w:val="701E3F32"/>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34662E"/>
    <w:rsid w:val="743F5D68"/>
    <w:rsid w:val="748D790E"/>
    <w:rsid w:val="749820CC"/>
    <w:rsid w:val="74CC659F"/>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904AA1"/>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CF91441"/>
    <w:rsid w:val="7D1548B5"/>
    <w:rsid w:val="7DF84014"/>
    <w:rsid w:val="7E207949"/>
    <w:rsid w:val="7E5C0A47"/>
    <w:rsid w:val="7E670C75"/>
    <w:rsid w:val="7EC100EC"/>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afterLines="0"/>
      <w:ind w:left="420" w:leftChars="200"/>
    </w:p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character" w:styleId="14">
    <w:name w:val="Strong"/>
    <w:basedOn w:val="13"/>
    <w:qFormat/>
    <w:uiPriority w:val="0"/>
    <w:rPr>
      <w:b/>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6438</Words>
  <Characters>7233</Characters>
  <Lines>0</Lines>
  <Paragraphs>0</Paragraphs>
  <TotalTime>1</TotalTime>
  <ScaleCrop>false</ScaleCrop>
  <LinksUpToDate>false</LinksUpToDate>
  <CharactersWithSpaces>7262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2025-04-10T10:23:26Z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