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中国共产党沙湾市委员会直属机关工作委员会</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bookmarkStart w:id="4" w:name="_Toc31238"/>
      <w:bookmarkStart w:id="5" w:name="_Toc2151"/>
    </w:p>
    <w:p>
      <w:pPr>
        <w:keepNext w:val="0"/>
        <w:keepLines w:val="0"/>
        <w:pageBreakBefore w:val="0"/>
        <w:widowControl w:val="0"/>
        <w:kinsoku/>
        <w:wordWrap/>
        <w:overflowPunct/>
        <w:topLinePunct w:val="0"/>
        <w:autoSpaceDE/>
        <w:autoSpaceDN/>
        <w:bidi w:val="0"/>
        <w:adjustRightInd/>
        <w:snapToGrid/>
        <w:spacing w:line="240" w:lineRule="auto"/>
        <w:ind w:firstLine="1280" w:firstLineChars="400"/>
        <w:jc w:val="both"/>
        <w:textAlignment w:val="auto"/>
        <w:outlineLvl w:val="1"/>
        <w:rPr>
          <w:rFonts w:hint="eastAsia" w:ascii="仿宋_GB2312" w:eastAsia="仿宋_GB2312"/>
          <w:color w:val="auto"/>
          <w:sz w:val="32"/>
          <w:szCs w:val="32"/>
          <w:highlight w:val="none"/>
          <w:lang w:val="en-US" w:eastAsia="zh-CN"/>
        </w:rPr>
      </w:pPr>
      <w:r>
        <w:rPr>
          <w:rFonts w:hint="eastAsia" w:ascii="黑体" w:hAnsi="黑体" w:eastAsia="黑体" w:cs="宋体"/>
          <w:bCs/>
          <w:color w:val="auto"/>
          <w:kern w:val="0"/>
          <w:sz w:val="32"/>
          <w:szCs w:val="32"/>
          <w:highlight w:val="none"/>
          <w:lang w:val="en-US" w:eastAsia="zh-CN"/>
        </w:rPr>
        <w:t>1、</w:t>
      </w:r>
      <w:r>
        <w:rPr>
          <w:rFonts w:hint="eastAsia" w:ascii="仿宋_GB2312" w:eastAsia="仿宋_GB2312"/>
          <w:color w:val="auto"/>
          <w:sz w:val="32"/>
          <w:szCs w:val="32"/>
          <w:highlight w:val="none"/>
          <w:lang w:val="en-US" w:eastAsia="zh-CN"/>
        </w:rPr>
        <w:t>统一组织、规划、部署市直属机关党的工作，提出加强和改进机关党的建设的意见，研究制定工作规划，并抓好组织实施。2、指导督促市直党组认真履行党建主体责任，指导市直属机关党的政治建设、思想建设、组织建设、作风建设、纪律建设，把制度建设贯穿其中，深入推进反腐败斗争。3、指导市直属机关党组织和广大党员学习马列主义、毛泽东思想、邓小平理论、“三个代表”重要思想、科学发展观、习近平新时代中国特色社会主义思想。4、督促指导市直属机关基层党组织按期进行换届;审批市直属机关基层党组织关于召开党员大会或者党员代表大会的请示;审批市直属机关党组织领导班子的组成及书记、副书记任免。5、对市直属机关党组织党员领导干部落实党建责任制、遵守政治纪律和政治规矩进行检查，并向市委报告。6、配合市委有关部门抓好市直属机关领导班子思想政治建设，参与对党员领导干部民主生活会和党组(党委)中心组学习的督促检查和指导工作，了解和掌握情况，按规定报送情况报告。7、指导所属机关基层党组织加强党风廉政建设，实施对党员特别是党员领导干部的监督。8、了解和掌握市直属机关工作人员的思想状况，指导所属机关基层党组织加强思想政治工作和精神文明建设。9、指导市直属机关党组织加强基层组织建设，做好发展党员、教育和管理工作。10、承办市委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中国共产党沙湾市委员会直属机关工作委员会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960" w:firstLineChars="3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94.32万元，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94.32万元，使用非财政拨款结余0.00万元，年初结转和结余0.00万元。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960" w:firstLineChars="3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94.32万元，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94.32万元，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960" w:firstLineChars="3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增加12.22万元</w:t>
      </w:r>
      <w:r>
        <w:rPr>
          <w:rFonts w:hint="eastAsia" w:ascii="仿宋_GB2312" w:eastAsia="仿宋_GB2312"/>
          <w:color w:val="auto"/>
          <w:spacing w:val="0"/>
          <w:sz w:val="32"/>
          <w:szCs w:val="32"/>
          <w:highlight w:val="none"/>
          <w:lang w:eastAsia="zh-CN"/>
        </w:rPr>
        <w:t>，增长14.88%，主要原因是：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94.32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94.32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本年支出94.32万元，其中：基本支出94.32万元，占100.00%；项目支出0.00万元，占0.00%；上缴上级支出0.00万元，占0.00%；经营支出0.00万元，占0.00%；对附属单位补助支出0.00万元，占0.00%。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94.32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94.32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94.32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94.32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增加12.22万元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增长14.88%,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89.39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94.32</w:t>
      </w:r>
      <w:r>
        <w:rPr>
          <w:rFonts w:hint="eastAsia" w:ascii="仿宋_GB2312" w:eastAsia="仿宋_GB2312"/>
          <w:color w:val="auto"/>
          <w:spacing w:val="0"/>
          <w:sz w:val="32"/>
          <w:szCs w:val="32"/>
          <w:highlight w:val="none"/>
          <w:lang w:eastAsia="zh-CN"/>
        </w:rPr>
        <w:t>万元，预决算差异率5.52%，主要原因是：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2023年度一般公共预算财政拨款支出94.32万元，占本年支出合计的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增加12.22万元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增长14.88%,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89.39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94.32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5.52%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73.89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78.34%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9.50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4.46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4.73%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6.86%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1.卫生健康支出（类）行政事业单位医疗（款）行政单位医疗（项）:支出决算数为1.93万元，比上年决算减少1.04万元，下降35.02%，主要原因是：医保政策变化，退休人员退休后，不再需要缴纳基本医疗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2.卫生健康支出（类）行政事业单位医疗（款）事业单位医疗（项）:支出决算数为1.56万元，比上年决算增加0.39万元，增长33.33%，主要原因是：单位本年调入人员1人，事业医疗缴费增加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3.卫生健康支出（类）行政事业单位医疗（款）公务员医疗补助（项）:支出决算数为0.97万元，比上年决算减少0.50万元，下降34.01%，主要原因是：医保政策变化，部分退休人员退休后，不再需要缴纳公务员医疗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4.住房保障支出（类）住房改革支出（款）住房公积金（项）:支出决算数为6.47万元，比上年决算增加0.95万元，增长17.21%，主要原因是：</w:t>
      </w:r>
      <w:r>
        <w:rPr>
          <w:rFonts w:hint="eastAsia" w:ascii="仿宋_GB2312" w:eastAsia="仿宋_GB2312"/>
          <w:color w:val="auto"/>
          <w:spacing w:val="0"/>
          <w:sz w:val="32"/>
          <w:szCs w:val="32"/>
          <w:highlight w:val="none"/>
          <w:lang w:val="en-US" w:eastAsia="zh-CN"/>
        </w:rPr>
        <w:t>工资调整、公积金基数增加，缴费增加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5.一般公共服务支出（类）其他共产党事务支出（款）事业运行（项）:支出决算数为29.20万元，比上年决算增加29.20万元，增长100%，主要原因是：本年</w:t>
      </w:r>
      <w:bookmarkStart w:id="48" w:name="_GoBack"/>
      <w:bookmarkEnd w:id="48"/>
      <w:r>
        <w:rPr>
          <w:rFonts w:hint="eastAsia" w:ascii="仿宋_GB2312" w:hAnsi="仿宋_GB2312" w:eastAsia="仿宋_GB2312" w:cs="仿宋_GB2312"/>
          <w:color w:val="auto"/>
          <w:kern w:val="2"/>
          <w:sz w:val="32"/>
          <w:szCs w:val="32"/>
          <w:highlight w:val="none"/>
          <w:lang w:val="en-US" w:eastAsia="zh-CN" w:bidi="ar-SA"/>
        </w:rPr>
        <w:t>支付单位历欠经费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6.社会保障和就业支出（类）行政事业单位养老支出（款）行政单位离退休（项）:支出决算数为1.27万元，比上年决算增加0.42万元，增长49.41%，主要原因是：本年发放退休人员绩效工资</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FF0000"/>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7.一般公共服务支出（类）其他共产党事务支出（款）行政运行（项）:支出决算数为44.69万元，比上年决算减少19.31万元，下降30.17%，主要原因是：本年严控项目支出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8.社会保障和就业支出（类）行政事业单位养老支出（款）机关事业单位基本养老保险缴费支出（项）:支出决算数为8.23万元，比上年决算增加2.12万元，增长34.70%，主要原因是：</w:t>
      </w:r>
      <w:r>
        <w:rPr>
          <w:rFonts w:hint="eastAsia" w:ascii="仿宋_GB2312" w:hAnsi="仿宋_GB2312" w:eastAsia="仿宋_GB2312" w:cs="仿宋_GB2312"/>
          <w:color w:val="auto"/>
          <w:kern w:val="2"/>
          <w:sz w:val="32"/>
          <w:szCs w:val="32"/>
          <w:highlight w:val="none"/>
          <w:lang w:val="zh-CN" w:eastAsia="zh-CN" w:bidi="ar-SA"/>
        </w:rPr>
        <w:t>本年度人员工资标准上调和基础绩效奖标准提高，因此养老保险缴费增加。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left="319" w:leftChars="152" w:firstLine="320" w:firstLineChars="1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94.32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87.85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left="319" w:leftChars="152"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6.47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办公费、电费、邮电费、劳务费、工会经费。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主要原因是：我单位无安排“三公”经费支出。其中：因公出国（境）费支出0.00万元，占0.00%，比上年增加0.00万元，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无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预算数0.00万元，决算数0.00万元，预决算差异率0.00%，主要原因是：我单位未安排因公出国（境）费，预决算无差异；公务用车运行费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中国共产党沙湾市委员会直属机关工作委员会（行政单位和参照公务员法管理事业单位）机关运行经费支出6.47万元，</w:t>
      </w:r>
      <w:r>
        <w:rPr>
          <w:rFonts w:hint="eastAsia" w:ascii="仿宋_GB2312" w:hAnsi="仿宋_GB2312" w:eastAsia="仿宋_GB2312" w:cs="仿宋_GB2312"/>
          <w:color w:val="auto"/>
          <w:sz w:val="32"/>
          <w:szCs w:val="32"/>
          <w:highlight w:val="none"/>
          <w:lang w:val="zh-CN" w:eastAsia="zh-CN"/>
        </w:rPr>
        <w:t>比上年增加0.49万元，增长8.19%，主要原因是：</w:t>
      </w:r>
      <w:r>
        <w:rPr>
          <w:rFonts w:hint="eastAsia" w:ascii="仿宋_GB2312" w:hAnsi="仿宋_GB2312" w:eastAsia="仿宋_GB2312" w:cs="仿宋_GB2312"/>
          <w:color w:val="auto"/>
          <w:sz w:val="32"/>
          <w:szCs w:val="32"/>
          <w:highlight w:val="none"/>
          <w:lang w:val="en-US" w:eastAsia="zh-CN"/>
        </w:rPr>
        <w:t>我单位2023年支付厉欠公用经费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6.50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用车0辆、其他用车0辆，其他用车主要是：无单位</w:t>
      </w:r>
      <w:r>
        <w:rPr>
          <w:rFonts w:hint="eastAsia" w:ascii="仿宋_GB2312" w:hAnsi="仿宋_GB2312" w:eastAsia="仿宋_GB2312" w:cs="仿宋_GB2312"/>
          <w:color w:val="auto"/>
          <w:sz w:val="32"/>
          <w:szCs w:val="32"/>
          <w:highlight w:val="none"/>
          <w:lang w:val="en-US" w:eastAsia="zh-CN"/>
        </w:rPr>
        <w:t>其他</w:t>
      </w:r>
      <w:r>
        <w:rPr>
          <w:rFonts w:hint="eastAsia" w:ascii="仿宋_GB2312" w:hAnsi="仿宋_GB2312" w:eastAsia="仿宋_GB2312" w:cs="仿宋_GB2312"/>
          <w:color w:val="auto"/>
          <w:sz w:val="32"/>
          <w:szCs w:val="32"/>
          <w:highlight w:val="none"/>
          <w:lang w:val="zh-CN" w:eastAsia="zh-CN"/>
        </w:rPr>
        <w:t>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预算总额94.32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实际执行总额94.32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预算绩效管理取得的成效：一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工作上一个新台阶。</w:t>
      </w:r>
      <w:r>
        <w:rPr>
          <w:rFonts w:hint="eastAsia" w:ascii="仿宋_GB2312" w:eastAsia="仿宋_GB2312"/>
          <w:color w:val="auto"/>
          <w:sz w:val="32"/>
          <w:szCs w:val="32"/>
          <w:highlight w:val="none"/>
          <w:lang w:eastAsia="zh-CN"/>
        </w:rPr>
        <w:t>无预算绩效评价项目。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本单位无政府采购货物、服务、工程，故</w:t>
      </w:r>
      <w:r>
        <w:rPr>
          <w:rFonts w:hint="eastAsia" w:ascii="仿宋_GB2312" w:hAnsi="仿宋_GB2312" w:eastAsia="仿宋_GB2312" w:cs="仿宋_GB2312"/>
          <w:color w:val="auto"/>
          <w:sz w:val="32"/>
          <w:szCs w:val="32"/>
          <w:highlight w:val="none"/>
          <w:lang w:val="zh-CN" w:eastAsia="zh-CN"/>
        </w:rPr>
        <w:t>授予小微企业合同金额为</w:t>
      </w:r>
      <w:r>
        <w:rPr>
          <w:rFonts w:hint="eastAsia" w:ascii="仿宋_GB2312" w:hAnsi="仿宋_GB2312" w:eastAsia="仿宋_GB2312" w:cs="仿宋_GB2312"/>
          <w:color w:val="auto"/>
          <w:sz w:val="32"/>
          <w:szCs w:val="32"/>
          <w:highlight w:val="none"/>
          <w:lang w:val="en-US" w:eastAsia="zh-CN"/>
        </w:rPr>
        <w:t>0。</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ZWRmZWIzNDBhZGIzOWVjNDlmZGRkNDZiYjFiODc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16322A"/>
    <w:rsid w:val="074A34FC"/>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0B51EC"/>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8E2A6C"/>
    <w:rsid w:val="12F7068C"/>
    <w:rsid w:val="14207DC0"/>
    <w:rsid w:val="14B932DA"/>
    <w:rsid w:val="14D473DD"/>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C17327"/>
    <w:rsid w:val="1BFB2A1F"/>
    <w:rsid w:val="1C015D4A"/>
    <w:rsid w:val="1C290ED5"/>
    <w:rsid w:val="1C317E4F"/>
    <w:rsid w:val="1C472464"/>
    <w:rsid w:val="1D22799A"/>
    <w:rsid w:val="1D5C1A72"/>
    <w:rsid w:val="1D9A182A"/>
    <w:rsid w:val="1DAF458D"/>
    <w:rsid w:val="1E086ACE"/>
    <w:rsid w:val="1E62130A"/>
    <w:rsid w:val="1E97358B"/>
    <w:rsid w:val="1EAA4A5F"/>
    <w:rsid w:val="1EE869A7"/>
    <w:rsid w:val="1F202559"/>
    <w:rsid w:val="1F3F37CF"/>
    <w:rsid w:val="1F6A6C29"/>
    <w:rsid w:val="1FA15E62"/>
    <w:rsid w:val="1FED69B6"/>
    <w:rsid w:val="2064678E"/>
    <w:rsid w:val="20DC1AB9"/>
    <w:rsid w:val="20DD6197"/>
    <w:rsid w:val="212631E0"/>
    <w:rsid w:val="2138666F"/>
    <w:rsid w:val="21742080"/>
    <w:rsid w:val="21A53757"/>
    <w:rsid w:val="21F879E1"/>
    <w:rsid w:val="221236C6"/>
    <w:rsid w:val="22425CB5"/>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446E1C"/>
    <w:rsid w:val="29CB58F0"/>
    <w:rsid w:val="2A053397"/>
    <w:rsid w:val="2A145E96"/>
    <w:rsid w:val="2A2131BB"/>
    <w:rsid w:val="2AF5378F"/>
    <w:rsid w:val="2BB94DBF"/>
    <w:rsid w:val="2BD5425A"/>
    <w:rsid w:val="2BF37410"/>
    <w:rsid w:val="2C6F314E"/>
    <w:rsid w:val="2CC206BE"/>
    <w:rsid w:val="2D1136DF"/>
    <w:rsid w:val="2D20606D"/>
    <w:rsid w:val="2D646D8B"/>
    <w:rsid w:val="2D647A1A"/>
    <w:rsid w:val="2D6729FE"/>
    <w:rsid w:val="2D7A6395"/>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BA534B"/>
    <w:rsid w:val="38D45016"/>
    <w:rsid w:val="38D90432"/>
    <w:rsid w:val="3914510A"/>
    <w:rsid w:val="3926770B"/>
    <w:rsid w:val="3982065B"/>
    <w:rsid w:val="398D3668"/>
    <w:rsid w:val="39DA0497"/>
    <w:rsid w:val="3A893816"/>
    <w:rsid w:val="3A893B6D"/>
    <w:rsid w:val="3AD1763A"/>
    <w:rsid w:val="3B196883"/>
    <w:rsid w:val="3B6716E3"/>
    <w:rsid w:val="3B6C6B2D"/>
    <w:rsid w:val="3C242659"/>
    <w:rsid w:val="3C330574"/>
    <w:rsid w:val="3C96719C"/>
    <w:rsid w:val="3CA72BE8"/>
    <w:rsid w:val="3CDC1E1E"/>
    <w:rsid w:val="3CF37F8C"/>
    <w:rsid w:val="3D137554"/>
    <w:rsid w:val="3D2C19B9"/>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E57DD7"/>
    <w:rsid w:val="43F800E9"/>
    <w:rsid w:val="443A7E4B"/>
    <w:rsid w:val="444A7D08"/>
    <w:rsid w:val="45140EE9"/>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62688"/>
    <w:rsid w:val="4AAA220A"/>
    <w:rsid w:val="4AE12E67"/>
    <w:rsid w:val="4B4C0111"/>
    <w:rsid w:val="4B8553A9"/>
    <w:rsid w:val="4BDB3730"/>
    <w:rsid w:val="4C200F7A"/>
    <w:rsid w:val="4CEE3180"/>
    <w:rsid w:val="4D0F4AF6"/>
    <w:rsid w:val="4DF94F37"/>
    <w:rsid w:val="4E0A1DD5"/>
    <w:rsid w:val="4E3160E5"/>
    <w:rsid w:val="4E4D37AF"/>
    <w:rsid w:val="4E8C6496"/>
    <w:rsid w:val="4EFD18DE"/>
    <w:rsid w:val="4F051DC2"/>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A53587"/>
    <w:rsid w:val="54C811C0"/>
    <w:rsid w:val="554017C7"/>
    <w:rsid w:val="556A442D"/>
    <w:rsid w:val="55DA564E"/>
    <w:rsid w:val="55E816A3"/>
    <w:rsid w:val="55FE497E"/>
    <w:rsid w:val="56030B2C"/>
    <w:rsid w:val="5604127D"/>
    <w:rsid w:val="56044E6C"/>
    <w:rsid w:val="56166703"/>
    <w:rsid w:val="56462D2A"/>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9814269"/>
    <w:rsid w:val="59E07C39"/>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985BDA"/>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53A57"/>
    <w:rsid w:val="6EF72976"/>
    <w:rsid w:val="6F795A80"/>
    <w:rsid w:val="6F7C1D2E"/>
    <w:rsid w:val="6F8E0407"/>
    <w:rsid w:val="6FDD069F"/>
    <w:rsid w:val="702B4D16"/>
    <w:rsid w:val="70AA6621"/>
    <w:rsid w:val="7111480F"/>
    <w:rsid w:val="71261F49"/>
    <w:rsid w:val="712E6956"/>
    <w:rsid w:val="71473612"/>
    <w:rsid w:val="71504F32"/>
    <w:rsid w:val="7152309F"/>
    <w:rsid w:val="718F7F65"/>
    <w:rsid w:val="71CC12F9"/>
    <w:rsid w:val="71DA6992"/>
    <w:rsid w:val="727B234E"/>
    <w:rsid w:val="728A58B0"/>
    <w:rsid w:val="72D068C7"/>
    <w:rsid w:val="72E42ED8"/>
    <w:rsid w:val="72FC34C3"/>
    <w:rsid w:val="735F4CB9"/>
    <w:rsid w:val="7361549F"/>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2E1204"/>
    <w:rsid w:val="7A6242BF"/>
    <w:rsid w:val="7A794513"/>
    <w:rsid w:val="7A9B3811"/>
    <w:rsid w:val="7AB467DA"/>
    <w:rsid w:val="7AB9318D"/>
    <w:rsid w:val="7AE952D2"/>
    <w:rsid w:val="7B9F26AF"/>
    <w:rsid w:val="7BB607FE"/>
    <w:rsid w:val="7C7248A0"/>
    <w:rsid w:val="7C976D69"/>
    <w:rsid w:val="7CD752DA"/>
    <w:rsid w:val="7CDE40AB"/>
    <w:rsid w:val="7CF057E2"/>
    <w:rsid w:val="7D1548B5"/>
    <w:rsid w:val="7D443C0C"/>
    <w:rsid w:val="7DF84014"/>
    <w:rsid w:val="7E207949"/>
    <w:rsid w:val="7E5C0A47"/>
    <w:rsid w:val="7E670C75"/>
    <w:rsid w:val="7EE24272"/>
    <w:rsid w:val="7EEA6053"/>
    <w:rsid w:val="7F487C04"/>
    <w:rsid w:val="7F611CBA"/>
    <w:rsid w:val="7F6E6851"/>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5582</Words>
  <Characters>6151</Characters>
  <Lines>0</Lines>
  <Paragraphs>0</Paragraphs>
  <TotalTime>10</TotalTime>
  <ScaleCrop>false</ScaleCrop>
  <LinksUpToDate>false</LinksUpToDate>
  <CharactersWithSpaces>6161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2025-01-08T11:15:57Z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