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中共沙湾市委员会机构编制委员会办公室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00" w:firstLineChars="200"/>
        <w:jc w:val="both"/>
        <w:textAlignment w:val="auto"/>
        <w:rPr>
          <w:rFonts w:hint="default" w:ascii="仿宋_GB2312" w:eastAsia="仿宋_GB2312"/>
          <w:color w:val="auto"/>
          <w:sz w:val="32"/>
          <w:szCs w:val="32"/>
          <w:highlight w:val="none"/>
          <w:lang w:val="en-US" w:eastAsia="zh-CN"/>
        </w:rPr>
      </w:pPr>
      <w:r>
        <w:rPr>
          <w:rFonts w:hint="eastAsia" w:ascii="宋体" w:hAnsi="宋体" w:cs="宋体"/>
          <w:sz w:val="30"/>
          <w:szCs w:val="30"/>
          <w:lang w:val="en-US" w:eastAsia="zh-CN"/>
        </w:rPr>
        <w:t xml:space="preserve"> </w:t>
      </w:r>
      <w:r>
        <w:rPr>
          <w:rFonts w:hint="eastAsia" w:ascii="仿宋_GB2312" w:eastAsia="仿宋_GB2312"/>
          <w:color w:val="auto"/>
          <w:sz w:val="32"/>
          <w:szCs w:val="32"/>
          <w:highlight w:val="none"/>
          <w:lang w:val="en-US" w:eastAsia="zh-CN"/>
        </w:rPr>
        <w:t>(一)贯彻党中央、国务院、自治区及地区关于行政管理体制改革、机构改革和机构编制管理的方针、政策、法规。研究拟定沙湾市行政管理体制改革、机构改革和机构编制管理的规定和办法，并负责组织实施。 (二)统一管理全市各级党政机关，人大、政协、法院、检察机关，各民主党派、人民团体机关及事业单位的机构编制工作。 (三)研究拟定全市行政管理体制与机构改革的总体方案，并组织实施。审核全市党政机关、人大、政协、法院、检察机关，各民主党派、人民团体机关的机构改革方案；研究拟定全市乡(镇)机构改革方案；指导、协调乡(镇)行政管理体制改革和机构改革以及机构编制管理工作。 (四)协调全市党政机关各部门职能配置及其调整。研究拟定全市党政机关及党政机关各部门与乡镇之间有关事权划分和职责分工的意见、建议 。 (五)审核全市党政机关(含政府驻外机构)机构设置和人员编制、领导职数；负责研究拟定(提出)全市副科级以上机构设置、领导职数的建议和报批工作；审核全市党政机关股级机构设置和乡(镇)机构编制分类和人员编制总额；负责研究拟定全市各类开发区、工业园区管理体制和机构设置。 (六)研究拟定全市事业单位分类改革方案，贯彻党中央、国务院以及自治区关于事业单位机构编制管理的政策、法规和规章；研究拟定全市事业单位机构编制管理的办法和意见并负责组织实施；负责对自治区研究拟定各类事业单位的机构编制标准提出建议和意见；审核或审批全市股级事业单位的机构设置和人员编制总额；审核或审批市直属和本级党政机关各部门所属事业单位的机构编制；负责事业机构编制管理方面的其他重要事项；指导并协调全市事业单位分类改革和机构编制管理工作。(七)负责指导全市事业单位登记管理工作；贯彻执行国家、自治区有关事业单位登记管理的方针、政策和规定，并组织实施；依法对全市事业单位登记管理工作进行监督检查。 (八)监督检查全市行政管理体制改革、机构改革以及机构编制政策、法规的执行情况。  (九)研究市域经济社会发展中涉及有关体制机制及社会管理创新等方面的重大问题并提出对策建议。  (十)负责全市党政群机关、事业单位机构编制实名制管理及统计工作；负责全市机构编制电子政务和信息化建设工作；指导和规范全市党政群机关、事业单位网上中文域名注册管理工作。  (十一)负责行政管理体制改革、机构改革、机构编制管理的理论研究和信息收集工作；负责全市各单位承担机构编制管理工作的干部的培训工作。 (十二)负责联系、协调双重领导、条条管理为主单位的有关机构编制事宜。 (十三)承办市委、市政府和机构编制委员会交办的其他事项。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中共沙湾市委员会机构编制委员会办公室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该单位无下属预算单位，下设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198.39万元，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198.39万元，使用非财政拨款结余0.00万元，年初结转和结余0.00万元。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198.39万元，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198.39万元，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增加40.20万元</w:t>
      </w:r>
      <w:r>
        <w:rPr>
          <w:rFonts w:hint="eastAsia" w:ascii="仿宋_GB2312" w:eastAsia="仿宋_GB2312"/>
          <w:color w:val="auto"/>
          <w:spacing w:val="0"/>
          <w:sz w:val="32"/>
          <w:szCs w:val="32"/>
          <w:highlight w:val="none"/>
          <w:lang w:eastAsia="zh-CN"/>
        </w:rPr>
        <w:t>，增长25.41%，主要原因是：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198.39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198.39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本年支出198.39万元，其中：基本支出198.39万元，占100.00%；项目支出0.00万元，占0.00%；上缴上级支出0.00万元，占0.00%；经营支出0.00万元，占0.00%；对附属单位补助支出0.00万元，占0.00%。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198.39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198.39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198.39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198.39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增加40.20万元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增长25.41%,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183.75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198.39</w:t>
      </w:r>
      <w:r>
        <w:rPr>
          <w:rFonts w:hint="eastAsia" w:ascii="仿宋_GB2312" w:eastAsia="仿宋_GB2312"/>
          <w:color w:val="auto"/>
          <w:spacing w:val="0"/>
          <w:sz w:val="32"/>
          <w:szCs w:val="32"/>
          <w:highlight w:val="none"/>
          <w:lang w:eastAsia="zh-CN"/>
        </w:rPr>
        <w:t>万元，预决算差异率7.97%，主要原因是：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2023年度一般公共预算财政拨款支出198.39万元，占本年支出合计的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增加40.20万元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增长25.41%,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183.75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198.39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156.03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78.65%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14.07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7.09%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1.卫生健康支出（类）行政事业单位医疗（款）行政单位医疗（项）:支出决算数为4.97万元，比上年决算减少0.18万元，下降3.50%，主要原因是：医保政策变化，退休人员医保退休后，不再需要缴纳基本医疗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2.卫生健康支出（类）行政事业单位医疗（款）事业单位医疗（项）:支出决算数为2.60万元，比上年决算增加0.84万元，增长47.73%，主要原因是：2023年基本工资、绩效调资，相应医保缴费增加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3.卫生健康支出（类）行政事业单位医疗（款）公务员医疗补助（项）:支出决算数为2.26万元，比上年决算减少0.04万元，下降1.74%，主要原因是：医保政策变化，部分退休人员退休后，不再需要缴纳公务员医疗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4.住房保障支出（类）住房改革支出（款）住房公积金（项）:支出决算数为14.07万元，比上年决算增加2.45万元，增长21.08%，主要原因是：</w:t>
      </w:r>
      <w:r>
        <w:rPr>
          <w:rFonts w:hint="eastAsia" w:ascii="仿宋_GB2312" w:eastAsia="仿宋_GB2312"/>
          <w:color w:val="auto"/>
          <w:spacing w:val="0"/>
          <w:sz w:val="32"/>
          <w:szCs w:val="32"/>
          <w:highlight w:val="none"/>
          <w:lang w:val="en-US" w:eastAsia="zh-CN"/>
        </w:rPr>
        <w:t>工资调整、公积金基数增加，缴费增加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其他共产党事务支出（款）事业运行（项）:支出决算数为46.60万元，比上年决算增加46.60万元，增长100%，主要原因是：2022年决算事业运行合并在行政运行中支出，2023年决算事业运行和行政经费分开，单独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0.62万元，比上年决算增加0.21万元，增长51.22%，主要原因是：2023年支付2022年退休人员生活补贴，2023年退休人员生活补贴标准提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7.一般公共服务支出（类）其他共产党事务支出（款）行政运行（项）:支出决算数为109.43万元，比上年决算减少14.63万元，下降11.79%，主要原因是：</w:t>
      </w:r>
      <w:r>
        <w:rPr>
          <w:rFonts w:hint="eastAsia" w:ascii="仿宋_GB2312" w:hAnsi="仿宋_GB2312" w:eastAsia="仿宋_GB2312" w:cs="仿宋_GB2312"/>
          <w:color w:val="auto"/>
          <w:kern w:val="2"/>
          <w:sz w:val="32"/>
          <w:szCs w:val="32"/>
          <w:highlight w:val="none"/>
          <w:lang w:val="zh-CN" w:eastAsia="zh-CN" w:bidi="ar-SA"/>
        </w:rPr>
        <w:t>我单位</w:t>
      </w:r>
      <w:r>
        <w:rPr>
          <w:rFonts w:hint="eastAsia" w:ascii="仿宋_GB2312" w:hAnsi="仿宋_GB2312" w:eastAsia="仿宋_GB2312" w:cs="仿宋_GB2312"/>
          <w:color w:val="auto"/>
          <w:kern w:val="2"/>
          <w:sz w:val="32"/>
          <w:szCs w:val="32"/>
          <w:highlight w:val="none"/>
          <w:lang w:val="en-US" w:eastAsia="zh-CN" w:bidi="ar-SA"/>
        </w:rPr>
        <w:t>2023年减少项目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8.社会保障和就业支出（类）行政事业单位养老支出（款）机关事业单位基本养老保险缴费支出（项）:支出决算数为17.84万元，比上年决算增加4.96万元，增长38.51%，主要原因是：</w:t>
      </w:r>
      <w:r>
        <w:rPr>
          <w:rFonts w:hint="eastAsia" w:ascii="仿宋_GB2312" w:eastAsia="仿宋_GB2312"/>
          <w:color w:val="auto"/>
          <w:spacing w:val="0"/>
          <w:sz w:val="32"/>
          <w:szCs w:val="32"/>
          <w:highlight w:val="none"/>
          <w:lang w:val="en-US" w:eastAsia="zh-CN"/>
        </w:rPr>
        <w:t>工资调整、</w:t>
      </w:r>
      <w:r>
        <w:rPr>
          <w:rFonts w:hint="eastAsia" w:ascii="仿宋_GB2312" w:hAnsi="仿宋_GB2312" w:eastAsia="仿宋_GB2312" w:cs="仿宋_GB2312"/>
          <w:color w:val="auto"/>
          <w:kern w:val="2"/>
          <w:sz w:val="32"/>
          <w:szCs w:val="32"/>
          <w:highlight w:val="none"/>
          <w:lang w:val="en-US" w:eastAsia="zh-CN" w:bidi="ar-SA"/>
        </w:rPr>
        <w:t>养老保险</w:t>
      </w:r>
      <w:r>
        <w:rPr>
          <w:rFonts w:hint="eastAsia" w:ascii="仿宋_GB2312" w:eastAsia="仿宋_GB2312"/>
          <w:color w:val="auto"/>
          <w:spacing w:val="0"/>
          <w:sz w:val="32"/>
          <w:szCs w:val="32"/>
          <w:highlight w:val="none"/>
          <w:lang w:val="en-US" w:eastAsia="zh-CN"/>
        </w:rPr>
        <w:t>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198.39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185.17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13.22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办公费、电费、公务接待费、工会经费。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减少0.33万元，</w:t>
      </w:r>
      <w:r>
        <w:rPr>
          <w:rFonts w:hint="eastAsia" w:ascii="仿宋_GB2312" w:eastAsia="仿宋_GB2312"/>
          <w:color w:val="auto"/>
          <w:spacing w:val="0"/>
          <w:sz w:val="32"/>
          <w:szCs w:val="32"/>
          <w:highlight w:val="none"/>
          <w:lang w:val="en-US" w:eastAsia="zh-CN"/>
        </w:rPr>
        <w:t>下降78.57%,</w:t>
      </w:r>
      <w:r>
        <w:rPr>
          <w:rFonts w:hint="eastAsia" w:ascii="仿宋_GB2312" w:eastAsia="仿宋_GB2312"/>
          <w:color w:val="auto"/>
          <w:sz w:val="32"/>
          <w:szCs w:val="32"/>
          <w:highlight w:val="none"/>
          <w:lang w:val="zh-CN" w:eastAsia="zh-CN"/>
        </w:rPr>
        <w:t>主要原因是：我单位严格按要求压缩“三公”经费支出，节约资源。其中：因公出国（境）费支出0.00万元，占0.00%，比上年增加0.00万元，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主要原因是：我单位无因公出国（境）费支出；公务用车购置及运行维护费支出0.00万元，占0.00%，比上年减少0.42万元，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未安排公务用车购置及运行维护费支出；公务接待费支出0.09万元，占100.00%，比上年增加0.09万元，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2022年未安排公务接待费，2023年按文件要求，接待上级检查指导就餐费用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原因是：车辆移交至机关事务管理局，车辆编制还未移交，故有差异。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公务接待费0.09万元，开支内容包括接待上级检查指导</w:t>
      </w:r>
      <w:r>
        <w:rPr>
          <w:rFonts w:hint="eastAsia" w:ascii="仿宋_GB2312" w:eastAsia="仿宋_GB2312"/>
          <w:color w:val="auto"/>
          <w:sz w:val="32"/>
          <w:szCs w:val="32"/>
          <w:highlight w:val="none"/>
          <w:lang w:val="en-US" w:eastAsia="zh-CN"/>
        </w:rPr>
        <w:t>就餐费用</w:t>
      </w:r>
      <w:bookmarkStart w:id="48" w:name="_GoBack"/>
      <w:bookmarkEnd w:id="48"/>
      <w:r>
        <w:rPr>
          <w:rFonts w:hint="eastAsia" w:ascii="仿宋_GB2312" w:eastAsia="仿宋_GB2312"/>
          <w:color w:val="auto"/>
          <w:sz w:val="32"/>
          <w:szCs w:val="32"/>
          <w:highlight w:val="none"/>
          <w:lang w:val="zh-CN" w:eastAsia="zh-CN"/>
        </w:rPr>
        <w:t>。单位全年安排的国内公务接待2批次，36人次。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预算数0.09万元，决算数0.09万元，预决算差异率0.00%，主要原因是：“三公”经费严格按预算执行，预决算无差异。其中：因公出国（境）费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预算数0.09万元，决算数0.09万元，预决算差异率0.00%，主要原因是：公务接待费预决算一致无差异。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中共沙湾市委员会机构编制委员会办公室（行政单位和参照公务员法管理事业单位）机关运行经费支出13.22万元，</w:t>
      </w:r>
      <w:r>
        <w:rPr>
          <w:rFonts w:hint="eastAsia" w:ascii="仿宋_GB2312" w:hAnsi="仿宋_GB2312" w:eastAsia="仿宋_GB2312" w:cs="仿宋_GB2312"/>
          <w:color w:val="auto"/>
          <w:sz w:val="32"/>
          <w:szCs w:val="32"/>
          <w:highlight w:val="none"/>
          <w:lang w:val="zh-CN" w:eastAsia="zh-CN"/>
        </w:rPr>
        <w:t>比上年增加6.81万元，增长106.24%，主要原因是：我单位</w:t>
      </w:r>
      <w:r>
        <w:rPr>
          <w:rFonts w:hint="eastAsia" w:ascii="仿宋_GB2312" w:hAnsi="仿宋_GB2312" w:eastAsia="仿宋_GB2312" w:cs="仿宋_GB2312"/>
          <w:color w:val="auto"/>
          <w:sz w:val="32"/>
          <w:szCs w:val="32"/>
          <w:highlight w:val="none"/>
          <w:lang w:val="en-US" w:eastAsia="zh-CN"/>
        </w:rPr>
        <w:t>2023年支付历欠资金</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36.90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屋0.00平方米，价值0.00万元。车辆1辆，价值15.93万元，其中：副部（省）级及以上领导用车0辆、主要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用车0辆、其他用车1辆，其他用车主要是：服务机关办公用车；单价100万元（含）以上设备（不含车辆）0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预算总额198.39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实际执行总额198.39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预算绩效评价项目0个，全年预算数0万元，全年执行数0万元。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w:t>
      </w:r>
      <w:r>
        <w:rPr>
          <w:rFonts w:hint="eastAsia" w:ascii="仿宋_GB2312" w:eastAsia="仿宋_GB2312"/>
          <w:color w:val="auto"/>
          <w:sz w:val="32"/>
          <w:szCs w:val="32"/>
          <w:highlight w:val="none"/>
          <w:lang w:eastAsia="zh-CN"/>
        </w:rPr>
        <w:t>无绩效预算评价项目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DF10D4"/>
    <w:rsid w:val="03E05CE8"/>
    <w:rsid w:val="03F973EE"/>
    <w:rsid w:val="043E5B56"/>
    <w:rsid w:val="04C04386"/>
    <w:rsid w:val="04D1736D"/>
    <w:rsid w:val="04D96608"/>
    <w:rsid w:val="04F210E4"/>
    <w:rsid w:val="04FA68C4"/>
    <w:rsid w:val="050D1756"/>
    <w:rsid w:val="053F5AE6"/>
    <w:rsid w:val="0567714F"/>
    <w:rsid w:val="057C0B0F"/>
    <w:rsid w:val="059862AA"/>
    <w:rsid w:val="05A5551E"/>
    <w:rsid w:val="05EF4B48"/>
    <w:rsid w:val="05F76ECA"/>
    <w:rsid w:val="06183A24"/>
    <w:rsid w:val="06792773"/>
    <w:rsid w:val="06FD75CA"/>
    <w:rsid w:val="07093795"/>
    <w:rsid w:val="07804730"/>
    <w:rsid w:val="079052BE"/>
    <w:rsid w:val="07B44F01"/>
    <w:rsid w:val="08145C21"/>
    <w:rsid w:val="08422688"/>
    <w:rsid w:val="085854ED"/>
    <w:rsid w:val="0879188F"/>
    <w:rsid w:val="08A0354D"/>
    <w:rsid w:val="08CD4C49"/>
    <w:rsid w:val="090A654E"/>
    <w:rsid w:val="09114954"/>
    <w:rsid w:val="095A5B83"/>
    <w:rsid w:val="096466E3"/>
    <w:rsid w:val="0968304D"/>
    <w:rsid w:val="096B41D3"/>
    <w:rsid w:val="09AF3D17"/>
    <w:rsid w:val="09DA5D23"/>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1C5369"/>
    <w:rsid w:val="0E640559"/>
    <w:rsid w:val="0E80524F"/>
    <w:rsid w:val="0EE709CB"/>
    <w:rsid w:val="0F1113DA"/>
    <w:rsid w:val="0F78534A"/>
    <w:rsid w:val="0F89358A"/>
    <w:rsid w:val="0F8C6D51"/>
    <w:rsid w:val="105B0B5E"/>
    <w:rsid w:val="106C67E5"/>
    <w:rsid w:val="112E58D0"/>
    <w:rsid w:val="11731CAC"/>
    <w:rsid w:val="119500A0"/>
    <w:rsid w:val="11C0733B"/>
    <w:rsid w:val="11D00F59"/>
    <w:rsid w:val="11D50D17"/>
    <w:rsid w:val="120E0809"/>
    <w:rsid w:val="127F665A"/>
    <w:rsid w:val="12F7068C"/>
    <w:rsid w:val="14207DC0"/>
    <w:rsid w:val="14507FDE"/>
    <w:rsid w:val="14B932DA"/>
    <w:rsid w:val="150A66AF"/>
    <w:rsid w:val="154C1139"/>
    <w:rsid w:val="158C5B77"/>
    <w:rsid w:val="160D1149"/>
    <w:rsid w:val="16321FA9"/>
    <w:rsid w:val="163563C0"/>
    <w:rsid w:val="164315EF"/>
    <w:rsid w:val="16557DFE"/>
    <w:rsid w:val="167268FB"/>
    <w:rsid w:val="16770D0A"/>
    <w:rsid w:val="167F7753"/>
    <w:rsid w:val="169A0039"/>
    <w:rsid w:val="16D50C50"/>
    <w:rsid w:val="16E120E1"/>
    <w:rsid w:val="17385A05"/>
    <w:rsid w:val="173B3901"/>
    <w:rsid w:val="17594748"/>
    <w:rsid w:val="176747F9"/>
    <w:rsid w:val="17954A6E"/>
    <w:rsid w:val="17BE2C86"/>
    <w:rsid w:val="180059E9"/>
    <w:rsid w:val="183638F2"/>
    <w:rsid w:val="184510FD"/>
    <w:rsid w:val="190648B0"/>
    <w:rsid w:val="19071D6C"/>
    <w:rsid w:val="19542EB3"/>
    <w:rsid w:val="19D26CD4"/>
    <w:rsid w:val="19E60D19"/>
    <w:rsid w:val="1A3E3450"/>
    <w:rsid w:val="1AD807E5"/>
    <w:rsid w:val="1B39345B"/>
    <w:rsid w:val="1BD274D8"/>
    <w:rsid w:val="1BFB2A1F"/>
    <w:rsid w:val="1C015D4A"/>
    <w:rsid w:val="1C290ED5"/>
    <w:rsid w:val="1C317E4F"/>
    <w:rsid w:val="1C472464"/>
    <w:rsid w:val="1C787468"/>
    <w:rsid w:val="1CA53654"/>
    <w:rsid w:val="1D22799A"/>
    <w:rsid w:val="1D5C1A72"/>
    <w:rsid w:val="1DAF458D"/>
    <w:rsid w:val="1E086ACE"/>
    <w:rsid w:val="1E4368BC"/>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8253F6"/>
    <w:rsid w:val="22D7662C"/>
    <w:rsid w:val="23326B7F"/>
    <w:rsid w:val="2380045B"/>
    <w:rsid w:val="23980370"/>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AE062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EB9709F"/>
    <w:rsid w:val="2F3F0A28"/>
    <w:rsid w:val="2F5E05E2"/>
    <w:rsid w:val="2FBF7029"/>
    <w:rsid w:val="2FD0187F"/>
    <w:rsid w:val="2FD27414"/>
    <w:rsid w:val="2FE661D6"/>
    <w:rsid w:val="2FF32CBC"/>
    <w:rsid w:val="2FFE4BB0"/>
    <w:rsid w:val="300E7B60"/>
    <w:rsid w:val="300F6E18"/>
    <w:rsid w:val="30862F5F"/>
    <w:rsid w:val="30A4775A"/>
    <w:rsid w:val="314029C9"/>
    <w:rsid w:val="31C63837"/>
    <w:rsid w:val="31C82E39"/>
    <w:rsid w:val="324F4F96"/>
    <w:rsid w:val="32601BAD"/>
    <w:rsid w:val="328F5D06"/>
    <w:rsid w:val="329F6389"/>
    <w:rsid w:val="3389023A"/>
    <w:rsid w:val="33CB74FA"/>
    <w:rsid w:val="343642F2"/>
    <w:rsid w:val="343F3010"/>
    <w:rsid w:val="345D0A00"/>
    <w:rsid w:val="34713BFD"/>
    <w:rsid w:val="34C13589"/>
    <w:rsid w:val="353369E3"/>
    <w:rsid w:val="35B21E0B"/>
    <w:rsid w:val="35E00D72"/>
    <w:rsid w:val="36965B9D"/>
    <w:rsid w:val="36C549FD"/>
    <w:rsid w:val="374D3D49"/>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CB3127"/>
    <w:rsid w:val="3AD1763A"/>
    <w:rsid w:val="3B196883"/>
    <w:rsid w:val="3B6716E3"/>
    <w:rsid w:val="3B6C6B2D"/>
    <w:rsid w:val="3C1D2AB9"/>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3FEE3457"/>
    <w:rsid w:val="40094AEF"/>
    <w:rsid w:val="405470BD"/>
    <w:rsid w:val="40794A29"/>
    <w:rsid w:val="40834692"/>
    <w:rsid w:val="40EE2E6B"/>
    <w:rsid w:val="41431AD5"/>
    <w:rsid w:val="414B3C0F"/>
    <w:rsid w:val="417C1CE7"/>
    <w:rsid w:val="41900018"/>
    <w:rsid w:val="41944406"/>
    <w:rsid w:val="41CE128F"/>
    <w:rsid w:val="41CF270F"/>
    <w:rsid w:val="41DA6F12"/>
    <w:rsid w:val="42171FB1"/>
    <w:rsid w:val="42C10D7B"/>
    <w:rsid w:val="434E6957"/>
    <w:rsid w:val="43BA0E31"/>
    <w:rsid w:val="43C15147"/>
    <w:rsid w:val="43E14DD2"/>
    <w:rsid w:val="43F800E9"/>
    <w:rsid w:val="443A7E4B"/>
    <w:rsid w:val="444A7D08"/>
    <w:rsid w:val="452F5B3A"/>
    <w:rsid w:val="454E7FD2"/>
    <w:rsid w:val="45DA0C3C"/>
    <w:rsid w:val="46061BDC"/>
    <w:rsid w:val="461404F8"/>
    <w:rsid w:val="46413018"/>
    <w:rsid w:val="464B7E04"/>
    <w:rsid w:val="468041AA"/>
    <w:rsid w:val="468123C6"/>
    <w:rsid w:val="46901EEE"/>
    <w:rsid w:val="469C74D2"/>
    <w:rsid w:val="47445515"/>
    <w:rsid w:val="474B4782"/>
    <w:rsid w:val="47D90D14"/>
    <w:rsid w:val="47DE1152"/>
    <w:rsid w:val="48387FB0"/>
    <w:rsid w:val="483A6114"/>
    <w:rsid w:val="484B784C"/>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0C7A08"/>
    <w:rsid w:val="4C200F7A"/>
    <w:rsid w:val="4CEE3180"/>
    <w:rsid w:val="4D0F4AF6"/>
    <w:rsid w:val="4DF94F37"/>
    <w:rsid w:val="4E0A1DD5"/>
    <w:rsid w:val="4E1A4F00"/>
    <w:rsid w:val="4E2C47BE"/>
    <w:rsid w:val="4E2E4440"/>
    <w:rsid w:val="4E3160E5"/>
    <w:rsid w:val="4E4D37AF"/>
    <w:rsid w:val="4E8C6496"/>
    <w:rsid w:val="4EFD18DE"/>
    <w:rsid w:val="4F043943"/>
    <w:rsid w:val="4F144236"/>
    <w:rsid w:val="4F663C87"/>
    <w:rsid w:val="4F7E29A8"/>
    <w:rsid w:val="4F9E1FFC"/>
    <w:rsid w:val="50447CC2"/>
    <w:rsid w:val="50874A7C"/>
    <w:rsid w:val="50895EE7"/>
    <w:rsid w:val="50921B9D"/>
    <w:rsid w:val="50D16158"/>
    <w:rsid w:val="50DB5F45"/>
    <w:rsid w:val="51025EB1"/>
    <w:rsid w:val="51141503"/>
    <w:rsid w:val="513C450E"/>
    <w:rsid w:val="518D0ED5"/>
    <w:rsid w:val="51DC562C"/>
    <w:rsid w:val="52336F48"/>
    <w:rsid w:val="525C687F"/>
    <w:rsid w:val="52653444"/>
    <w:rsid w:val="52A3740A"/>
    <w:rsid w:val="52F647F7"/>
    <w:rsid w:val="52F92565"/>
    <w:rsid w:val="53584D8B"/>
    <w:rsid w:val="53AE735E"/>
    <w:rsid w:val="53D03877"/>
    <w:rsid w:val="542F73CA"/>
    <w:rsid w:val="5430786D"/>
    <w:rsid w:val="545A1D2A"/>
    <w:rsid w:val="54C811C0"/>
    <w:rsid w:val="556A442D"/>
    <w:rsid w:val="556F6F40"/>
    <w:rsid w:val="55DA564E"/>
    <w:rsid w:val="55E816A3"/>
    <w:rsid w:val="5604127D"/>
    <w:rsid w:val="56044E6C"/>
    <w:rsid w:val="56166703"/>
    <w:rsid w:val="56510474"/>
    <w:rsid w:val="56861525"/>
    <w:rsid w:val="56A93273"/>
    <w:rsid w:val="56BD550C"/>
    <w:rsid w:val="56E07045"/>
    <w:rsid w:val="56FF28AF"/>
    <w:rsid w:val="57277930"/>
    <w:rsid w:val="575231DC"/>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943727"/>
    <w:rsid w:val="5CBB0CE2"/>
    <w:rsid w:val="5CC17177"/>
    <w:rsid w:val="5CF306BC"/>
    <w:rsid w:val="5D3F3D64"/>
    <w:rsid w:val="5D833043"/>
    <w:rsid w:val="5DD336DB"/>
    <w:rsid w:val="5DD92690"/>
    <w:rsid w:val="5DDB1CFD"/>
    <w:rsid w:val="5E680DCC"/>
    <w:rsid w:val="5E7E6D93"/>
    <w:rsid w:val="5E82459B"/>
    <w:rsid w:val="5ED44800"/>
    <w:rsid w:val="5F350BDE"/>
    <w:rsid w:val="5F61632C"/>
    <w:rsid w:val="5F89256B"/>
    <w:rsid w:val="5FA17648"/>
    <w:rsid w:val="5FA4333D"/>
    <w:rsid w:val="5FE705CB"/>
    <w:rsid w:val="6007714E"/>
    <w:rsid w:val="603D5080"/>
    <w:rsid w:val="606842D0"/>
    <w:rsid w:val="60D0261B"/>
    <w:rsid w:val="611A77F1"/>
    <w:rsid w:val="613B01C7"/>
    <w:rsid w:val="618E3791"/>
    <w:rsid w:val="61947DCA"/>
    <w:rsid w:val="61A46A97"/>
    <w:rsid w:val="61D1382F"/>
    <w:rsid w:val="61F114A2"/>
    <w:rsid w:val="622B0ABA"/>
    <w:rsid w:val="62512BB4"/>
    <w:rsid w:val="625D7D1A"/>
    <w:rsid w:val="62660469"/>
    <w:rsid w:val="62DD7D21"/>
    <w:rsid w:val="631C3982"/>
    <w:rsid w:val="637D586B"/>
    <w:rsid w:val="63A5560B"/>
    <w:rsid w:val="63B764BF"/>
    <w:rsid w:val="63E9091F"/>
    <w:rsid w:val="64322AF9"/>
    <w:rsid w:val="64D6010D"/>
    <w:rsid w:val="64D82665"/>
    <w:rsid w:val="64E47C96"/>
    <w:rsid w:val="651E5741"/>
    <w:rsid w:val="655D7702"/>
    <w:rsid w:val="658A4877"/>
    <w:rsid w:val="65A00902"/>
    <w:rsid w:val="65AC6EDD"/>
    <w:rsid w:val="65D97752"/>
    <w:rsid w:val="66085536"/>
    <w:rsid w:val="660E7574"/>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AF92607"/>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E168B"/>
    <w:rsid w:val="71DA6992"/>
    <w:rsid w:val="727B234E"/>
    <w:rsid w:val="728A58B0"/>
    <w:rsid w:val="72A35F21"/>
    <w:rsid w:val="72D068C7"/>
    <w:rsid w:val="72E42ED8"/>
    <w:rsid w:val="72FC34C3"/>
    <w:rsid w:val="7342179E"/>
    <w:rsid w:val="735F4CB9"/>
    <w:rsid w:val="73674C62"/>
    <w:rsid w:val="73845865"/>
    <w:rsid w:val="739B6D9E"/>
    <w:rsid w:val="73BC1D76"/>
    <w:rsid w:val="73FB6630"/>
    <w:rsid w:val="748D790E"/>
    <w:rsid w:val="749820CC"/>
    <w:rsid w:val="74CE04EC"/>
    <w:rsid w:val="74E76DCD"/>
    <w:rsid w:val="75135701"/>
    <w:rsid w:val="751D7C0A"/>
    <w:rsid w:val="75722D56"/>
    <w:rsid w:val="75DB5477"/>
    <w:rsid w:val="75E10A9F"/>
    <w:rsid w:val="75FC6AC3"/>
    <w:rsid w:val="760201FB"/>
    <w:rsid w:val="7616619B"/>
    <w:rsid w:val="76660D7C"/>
    <w:rsid w:val="766C5968"/>
    <w:rsid w:val="76BE0C8F"/>
    <w:rsid w:val="76CD53B2"/>
    <w:rsid w:val="76E6594C"/>
    <w:rsid w:val="770719AC"/>
    <w:rsid w:val="776526CC"/>
    <w:rsid w:val="77A262E1"/>
    <w:rsid w:val="77B13C33"/>
    <w:rsid w:val="77DC095A"/>
    <w:rsid w:val="77ED6F44"/>
    <w:rsid w:val="77F45548"/>
    <w:rsid w:val="77FC440B"/>
    <w:rsid w:val="78380A8A"/>
    <w:rsid w:val="784E7CA6"/>
    <w:rsid w:val="78574801"/>
    <w:rsid w:val="7873527F"/>
    <w:rsid w:val="790A6425"/>
    <w:rsid w:val="790E2D96"/>
    <w:rsid w:val="791B54B2"/>
    <w:rsid w:val="793C0F89"/>
    <w:rsid w:val="795A0A34"/>
    <w:rsid w:val="797339C3"/>
    <w:rsid w:val="79D57D57"/>
    <w:rsid w:val="79F00650"/>
    <w:rsid w:val="7A4A198C"/>
    <w:rsid w:val="7A6242BF"/>
    <w:rsid w:val="7A794513"/>
    <w:rsid w:val="7A855F6B"/>
    <w:rsid w:val="7A9B3811"/>
    <w:rsid w:val="7AB44F03"/>
    <w:rsid w:val="7AB467DA"/>
    <w:rsid w:val="7AB9318D"/>
    <w:rsid w:val="7AE952D2"/>
    <w:rsid w:val="7B9F26AF"/>
    <w:rsid w:val="7BB607FE"/>
    <w:rsid w:val="7C7248A0"/>
    <w:rsid w:val="7C976D69"/>
    <w:rsid w:val="7CD752DA"/>
    <w:rsid w:val="7CDE40AB"/>
    <w:rsid w:val="7CF057E2"/>
    <w:rsid w:val="7D1548B5"/>
    <w:rsid w:val="7DDC78B8"/>
    <w:rsid w:val="7DF84014"/>
    <w:rsid w:val="7E207949"/>
    <w:rsid w:val="7E5C0A47"/>
    <w:rsid w:val="7E670C75"/>
    <w:rsid w:val="7ED34849"/>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6139</Words>
  <Characters>6777</Characters>
  <Lines>0</Lines>
  <Paragraphs>0</Paragraphs>
  <TotalTime>0</TotalTime>
  <ScaleCrop>false</ScaleCrop>
  <LinksUpToDate>false</LinksUpToDate>
  <CharactersWithSpaces>6804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