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沙湾市机关事务服务中心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根据党和国家、自治区、地区的有关政策、规章制度，研究制定沙湾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机关事务服务工作的规章制度和管理办法并组织实施;负责沙湾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机关事务服务、保障工作。</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研究制定沙湾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机关后勤体制改革的方案、措施并组织实施;指导全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机关后勤管理工作。</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公共机构节能降耗监督管理工作;会同有关部门制定全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公共机构节能规划并组织实施;组织开展公共机构节能统计、监测和评价考核工作;负责指导、协调各部门、各乡镇的公共机构节能降耗工作。</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委、人大、政府、政协的对外公务接待服务工作和区内外有关部门及领导来沙湾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参观、学习、考察、调研、检查、招商引资等公务活动的接待服务工作;负责沙湾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重大活动和召开大型会议的接待服务工作。</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负责沙湾</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本级党政机关办公用房的统一管理;负责</w:t>
      </w:r>
      <w:r>
        <w:rPr>
          <w:rFonts w:hint="eastAsia" w:ascii="仿宋_GB2312" w:hAnsi="仿宋_GB2312" w:eastAsia="仿宋_GB2312" w:cs="仿宋_GB2312"/>
          <w:sz w:val="32"/>
          <w:szCs w:val="32"/>
          <w:lang w:eastAsia="zh-CN"/>
        </w:rPr>
        <w:t>本市</w:t>
      </w:r>
      <w:r>
        <w:rPr>
          <w:rFonts w:hint="eastAsia" w:ascii="仿宋_GB2312" w:hAnsi="仿宋_GB2312" w:eastAsia="仿宋_GB2312" w:cs="仿宋_GB2312"/>
          <w:sz w:val="32"/>
          <w:szCs w:val="32"/>
        </w:rPr>
        <w:t>干部周转房的统一管理;负责国有资产经营用房的</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负责沙湾市党政机关一般公务用车的统一管理。</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eastAsia="仿宋_GB2312"/>
          <w:color w:val="auto"/>
          <w:sz w:val="32"/>
          <w:szCs w:val="32"/>
          <w:highlight w:val="none"/>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完成市委、市政府交办的其他工作。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沙湾市机关事务服务中心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595.96万元，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595.96万元，使用非财政拨款结余0.00万元，年初结转和结余0.00万元。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595.96万元，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595.96万元，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减少1,518.71万元</w:t>
      </w:r>
      <w:r>
        <w:rPr>
          <w:rFonts w:hint="eastAsia" w:ascii="仿宋_GB2312" w:eastAsia="仿宋_GB2312"/>
          <w:color w:val="auto"/>
          <w:spacing w:val="0"/>
          <w:sz w:val="32"/>
          <w:szCs w:val="32"/>
          <w:highlight w:val="none"/>
          <w:lang w:eastAsia="zh-CN"/>
        </w:rPr>
        <w:t>，下降71.82%，主要原因是：上年</w:t>
      </w:r>
      <w:r>
        <w:rPr>
          <w:rFonts w:hint="eastAsia" w:ascii="仿宋_GB2312" w:eastAsia="仿宋_GB2312"/>
          <w:sz w:val="32"/>
          <w:szCs w:val="32"/>
          <w:lang w:eastAsia="zh-CN"/>
        </w:rPr>
        <w:t>在</w:t>
      </w:r>
      <w:r>
        <w:rPr>
          <w:rFonts w:hint="eastAsia" w:ascii="仿宋_GB2312" w:eastAsia="仿宋_GB2312"/>
          <w:sz w:val="32"/>
          <w:szCs w:val="32"/>
        </w:rPr>
        <w:t>疫情防控</w:t>
      </w:r>
      <w:r>
        <w:rPr>
          <w:rFonts w:hint="eastAsia" w:ascii="仿宋_GB2312" w:eastAsia="仿宋_GB2312"/>
          <w:sz w:val="32"/>
          <w:szCs w:val="32"/>
          <w:lang w:eastAsia="zh-CN"/>
        </w:rPr>
        <w:t>期间</w:t>
      </w:r>
      <w:r>
        <w:rPr>
          <w:rFonts w:hint="eastAsia" w:ascii="仿宋_GB2312" w:eastAsia="仿宋_GB2312"/>
          <w:sz w:val="32"/>
          <w:szCs w:val="32"/>
        </w:rPr>
        <w:t>，</w:t>
      </w:r>
      <w:r>
        <w:rPr>
          <w:rFonts w:hint="eastAsia" w:ascii="仿宋_GB2312" w:eastAsia="仿宋_GB2312"/>
          <w:sz w:val="32"/>
          <w:szCs w:val="32"/>
          <w:lang w:eastAsia="zh-CN"/>
        </w:rPr>
        <w:t>为</w:t>
      </w:r>
      <w:r>
        <w:rPr>
          <w:rFonts w:hint="eastAsia" w:ascii="仿宋_GB2312" w:eastAsia="仿宋_GB2312"/>
          <w:sz w:val="32"/>
          <w:szCs w:val="32"/>
        </w:rPr>
        <w:t>提高医院基础设施服务采购大批设备与物资</w:t>
      </w:r>
      <w:r>
        <w:rPr>
          <w:rFonts w:hint="eastAsia" w:ascii="仿宋_GB2312" w:eastAsia="仿宋_GB2312"/>
          <w:sz w:val="32"/>
          <w:szCs w:val="32"/>
          <w:lang w:eastAsia="zh-CN"/>
        </w:rPr>
        <w:t>，收入支出金额较大，故</w:t>
      </w:r>
      <w:r>
        <w:rPr>
          <w:rFonts w:hint="eastAsia" w:ascii="仿宋_GB2312" w:eastAsia="仿宋_GB2312"/>
          <w:sz w:val="32"/>
          <w:szCs w:val="32"/>
          <w:lang w:val="en-US" w:eastAsia="zh-CN"/>
        </w:rPr>
        <w:t>2023年</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下降较大。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595.96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595.96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64"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pacing w:val="6"/>
          <w:sz w:val="32"/>
          <w:szCs w:val="32"/>
          <w:highlight w:val="none"/>
          <w:lang w:val="zh-CN" w:eastAsia="zh-CN"/>
        </w:rPr>
        <w:t>本年支出595.96万元，其中：基本支出323.39万元，</w:t>
      </w:r>
      <w:r>
        <w:rPr>
          <w:rFonts w:hint="eastAsia" w:ascii="仿宋_GB2312" w:hAnsi="仿宋_GB2312" w:eastAsia="仿宋_GB2312" w:cs="仿宋_GB2312"/>
          <w:color w:val="auto"/>
          <w:sz w:val="32"/>
          <w:szCs w:val="32"/>
          <w:highlight w:val="none"/>
          <w:lang w:val="zh-CN" w:eastAsia="zh-CN"/>
        </w:rPr>
        <w:t>占54.26%；项目支出272.57万元，占45.74%；上缴上级支出0.00万元，占0.00%；经营支出0.00万元，占0.00%；对附属单位补助支出0.00万元，占0.00%。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减少1,518.71万元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下降71.82%,</w:t>
      </w:r>
      <w:r>
        <w:rPr>
          <w:rFonts w:hint="eastAsia" w:ascii="仿宋_GB2312" w:eastAsia="仿宋_GB2312"/>
          <w:color w:val="auto"/>
          <w:spacing w:val="0"/>
          <w:sz w:val="32"/>
          <w:szCs w:val="32"/>
          <w:highlight w:val="none"/>
          <w:lang w:eastAsia="zh-CN"/>
        </w:rPr>
        <w:t>主要原因是：上年</w:t>
      </w:r>
      <w:r>
        <w:rPr>
          <w:rFonts w:hint="eastAsia" w:ascii="仿宋_GB2312" w:eastAsia="仿宋_GB2312"/>
          <w:sz w:val="32"/>
          <w:szCs w:val="32"/>
          <w:lang w:eastAsia="zh-CN"/>
        </w:rPr>
        <w:t>在</w:t>
      </w:r>
      <w:r>
        <w:rPr>
          <w:rFonts w:hint="eastAsia" w:ascii="仿宋_GB2312" w:eastAsia="仿宋_GB2312"/>
          <w:sz w:val="32"/>
          <w:szCs w:val="32"/>
        </w:rPr>
        <w:t>疫情防控</w:t>
      </w:r>
      <w:r>
        <w:rPr>
          <w:rFonts w:hint="eastAsia" w:ascii="仿宋_GB2312" w:eastAsia="仿宋_GB2312"/>
          <w:sz w:val="32"/>
          <w:szCs w:val="32"/>
          <w:lang w:eastAsia="zh-CN"/>
        </w:rPr>
        <w:t>期间</w:t>
      </w:r>
      <w:r>
        <w:rPr>
          <w:rFonts w:hint="eastAsia" w:ascii="仿宋_GB2312" w:eastAsia="仿宋_GB2312"/>
          <w:sz w:val="32"/>
          <w:szCs w:val="32"/>
        </w:rPr>
        <w:t>，</w:t>
      </w:r>
      <w:r>
        <w:rPr>
          <w:rFonts w:hint="eastAsia" w:ascii="仿宋_GB2312" w:eastAsia="仿宋_GB2312"/>
          <w:sz w:val="32"/>
          <w:szCs w:val="32"/>
          <w:lang w:eastAsia="zh-CN"/>
        </w:rPr>
        <w:t>为</w:t>
      </w:r>
      <w:r>
        <w:rPr>
          <w:rFonts w:hint="eastAsia" w:ascii="仿宋_GB2312" w:eastAsia="仿宋_GB2312"/>
          <w:sz w:val="32"/>
          <w:szCs w:val="32"/>
        </w:rPr>
        <w:t>提高医院基础设施服务采购大批设备与物资</w:t>
      </w:r>
      <w:r>
        <w:rPr>
          <w:rFonts w:hint="eastAsia" w:ascii="仿宋_GB2312" w:eastAsia="仿宋_GB2312"/>
          <w:sz w:val="32"/>
          <w:szCs w:val="32"/>
          <w:lang w:eastAsia="zh-CN"/>
        </w:rPr>
        <w:t>，故</w:t>
      </w:r>
      <w:r>
        <w:rPr>
          <w:rFonts w:hint="eastAsia" w:ascii="仿宋_GB2312" w:eastAsia="仿宋_GB2312"/>
          <w:sz w:val="32"/>
          <w:szCs w:val="32"/>
          <w:lang w:val="en-US" w:eastAsia="zh-CN"/>
        </w:rPr>
        <w:t>2023年</w:t>
      </w:r>
      <w:r>
        <w:rPr>
          <w:rFonts w:hint="eastAsia" w:ascii="仿宋_GB2312" w:eastAsia="仿宋_GB2312"/>
          <w:sz w:val="32"/>
          <w:szCs w:val="32"/>
          <w:lang w:eastAsia="zh-CN"/>
        </w:rPr>
        <w:t>财政拨款收入</w:t>
      </w:r>
      <w:r>
        <w:rPr>
          <w:rFonts w:hint="eastAsia" w:ascii="仿宋_GB2312" w:eastAsia="仿宋_GB2312"/>
          <w:color w:val="auto"/>
          <w:spacing w:val="0"/>
          <w:sz w:val="32"/>
          <w:szCs w:val="32"/>
          <w:highlight w:val="none"/>
          <w:lang w:val="en-US" w:eastAsia="zh-CN"/>
        </w:rPr>
        <w:t>与上年相比</w:t>
      </w:r>
      <w:r>
        <w:rPr>
          <w:rFonts w:hint="eastAsia" w:ascii="仿宋_GB2312" w:eastAsia="仿宋_GB2312"/>
          <w:color w:val="auto"/>
          <w:spacing w:val="0"/>
          <w:sz w:val="32"/>
          <w:szCs w:val="32"/>
          <w:highlight w:val="none"/>
          <w:lang w:eastAsia="zh-CN"/>
        </w:rPr>
        <w:t>下降较大。与年初预算相比，年初预算数</w:t>
      </w:r>
      <w:r>
        <w:rPr>
          <w:rFonts w:hint="eastAsia" w:ascii="仿宋_GB2312" w:eastAsia="仿宋_GB2312"/>
          <w:color w:val="auto"/>
          <w:spacing w:val="0"/>
          <w:sz w:val="32"/>
          <w:szCs w:val="32"/>
          <w:highlight w:val="none"/>
          <w:lang w:val="zh-CN" w:eastAsia="zh-CN"/>
        </w:rPr>
        <w:t>360.50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万元，预决算差异率65.31%，主要原因是：</w:t>
      </w:r>
      <w:r>
        <w:rPr>
          <w:rFonts w:hint="eastAsia" w:ascii="仿宋_GB2312" w:eastAsia="仿宋_GB2312"/>
          <w:color w:val="auto"/>
          <w:spacing w:val="0"/>
          <w:sz w:val="32"/>
          <w:szCs w:val="32"/>
          <w:highlight w:val="none"/>
          <w:lang w:val="en-US" w:eastAsia="zh-CN"/>
        </w:rPr>
        <w:t>2023年</w:t>
      </w:r>
      <w:r>
        <w:rPr>
          <w:rFonts w:hint="eastAsia" w:ascii="仿宋_GB2312" w:eastAsia="仿宋_GB2312"/>
          <w:color w:val="auto"/>
          <w:spacing w:val="0"/>
          <w:sz w:val="32"/>
          <w:szCs w:val="32"/>
          <w:highlight w:val="none"/>
          <w:lang w:eastAsia="zh-CN"/>
        </w:rPr>
        <w:t>年底从各单位调剂公务接待费</w:t>
      </w:r>
      <w:r>
        <w:rPr>
          <w:rFonts w:hint="eastAsia" w:ascii="仿宋_GB2312" w:eastAsia="仿宋_GB2312"/>
          <w:color w:val="auto"/>
          <w:spacing w:val="0"/>
          <w:sz w:val="32"/>
          <w:szCs w:val="32"/>
          <w:highlight w:val="none"/>
          <w:lang w:val="en-US" w:eastAsia="zh-CN"/>
        </w:rPr>
        <w:t>101.9万元，年中追加突发公共卫生事件应急处理费用115.85万元、环保督察整改办办公设备购置费2.45万元，干部周转房维修款等15.26万元，故</w:t>
      </w:r>
      <w:r>
        <w:rPr>
          <w:rFonts w:hint="eastAsia" w:ascii="仿宋_GB2312" w:eastAsia="仿宋_GB2312"/>
          <w:color w:val="auto"/>
          <w:spacing w:val="0"/>
          <w:sz w:val="32"/>
          <w:szCs w:val="32"/>
          <w:highlight w:val="none"/>
          <w:lang w:eastAsia="zh-CN"/>
        </w:rPr>
        <w:t>预决算有差异率。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2023年度一般公共预算财政拨款支出595.96万元，占本年支出合计的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减少1,518.71万元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下降71.82%,</w:t>
      </w:r>
      <w:r>
        <w:rPr>
          <w:rFonts w:hint="eastAsia" w:ascii="仿宋_GB2312" w:eastAsia="仿宋_GB2312"/>
          <w:color w:val="auto"/>
          <w:spacing w:val="0"/>
          <w:sz w:val="32"/>
          <w:szCs w:val="32"/>
          <w:highlight w:val="none"/>
          <w:lang w:eastAsia="zh-CN"/>
        </w:rPr>
        <w:t>主要原因是：上年</w:t>
      </w:r>
      <w:r>
        <w:rPr>
          <w:rFonts w:hint="eastAsia" w:ascii="仿宋_GB2312" w:eastAsia="仿宋_GB2312"/>
          <w:sz w:val="32"/>
          <w:szCs w:val="32"/>
          <w:lang w:eastAsia="zh-CN"/>
        </w:rPr>
        <w:t>在</w:t>
      </w:r>
      <w:r>
        <w:rPr>
          <w:rFonts w:hint="eastAsia" w:ascii="仿宋_GB2312" w:eastAsia="仿宋_GB2312"/>
          <w:sz w:val="32"/>
          <w:szCs w:val="32"/>
        </w:rPr>
        <w:t>疫情防控</w:t>
      </w:r>
      <w:r>
        <w:rPr>
          <w:rFonts w:hint="eastAsia" w:ascii="仿宋_GB2312" w:eastAsia="仿宋_GB2312"/>
          <w:sz w:val="32"/>
          <w:szCs w:val="32"/>
          <w:lang w:eastAsia="zh-CN"/>
        </w:rPr>
        <w:t>期间</w:t>
      </w:r>
      <w:r>
        <w:rPr>
          <w:rFonts w:hint="eastAsia" w:ascii="仿宋_GB2312" w:eastAsia="仿宋_GB2312"/>
          <w:sz w:val="32"/>
          <w:szCs w:val="32"/>
        </w:rPr>
        <w:t>，</w:t>
      </w:r>
      <w:r>
        <w:rPr>
          <w:rFonts w:hint="eastAsia" w:ascii="仿宋_GB2312" w:eastAsia="仿宋_GB2312"/>
          <w:sz w:val="32"/>
          <w:szCs w:val="32"/>
          <w:lang w:eastAsia="zh-CN"/>
        </w:rPr>
        <w:t>为</w:t>
      </w:r>
      <w:r>
        <w:rPr>
          <w:rFonts w:hint="eastAsia" w:ascii="仿宋_GB2312" w:eastAsia="仿宋_GB2312"/>
          <w:sz w:val="32"/>
          <w:szCs w:val="32"/>
        </w:rPr>
        <w:t>提高医院基础设施服务采购大批设备与物资</w:t>
      </w:r>
      <w:r>
        <w:rPr>
          <w:rFonts w:hint="eastAsia" w:ascii="仿宋_GB2312" w:eastAsia="仿宋_GB2312"/>
          <w:sz w:val="32"/>
          <w:szCs w:val="32"/>
          <w:lang w:eastAsia="zh-CN"/>
        </w:rPr>
        <w:t>，故</w:t>
      </w:r>
      <w:r>
        <w:rPr>
          <w:rFonts w:hint="eastAsia" w:ascii="仿宋_GB2312" w:eastAsia="仿宋_GB2312"/>
          <w:sz w:val="32"/>
          <w:szCs w:val="32"/>
          <w:lang w:val="en-US" w:eastAsia="zh-CN"/>
        </w:rPr>
        <w:t>2023年一般公共</w:t>
      </w:r>
      <w:r>
        <w:rPr>
          <w:rFonts w:hint="eastAsia" w:ascii="仿宋_GB2312" w:eastAsia="仿宋_GB2312"/>
          <w:spacing w:val="6"/>
          <w:sz w:val="32"/>
          <w:szCs w:val="32"/>
          <w:lang w:val="en-US" w:eastAsia="zh-CN"/>
        </w:rPr>
        <w:t>预算</w:t>
      </w:r>
      <w:r>
        <w:rPr>
          <w:rFonts w:hint="eastAsia" w:ascii="仿宋_GB2312" w:eastAsia="仿宋_GB2312"/>
          <w:spacing w:val="6"/>
          <w:sz w:val="32"/>
          <w:szCs w:val="32"/>
          <w:lang w:eastAsia="zh-CN"/>
        </w:rPr>
        <w:t>财政拨款支出</w:t>
      </w:r>
      <w:r>
        <w:rPr>
          <w:rFonts w:hint="eastAsia" w:ascii="仿宋_GB2312" w:eastAsia="仿宋_GB2312"/>
          <w:color w:val="auto"/>
          <w:spacing w:val="6"/>
          <w:sz w:val="32"/>
          <w:szCs w:val="32"/>
          <w:highlight w:val="none"/>
          <w:lang w:val="en-US" w:eastAsia="zh-CN"/>
        </w:rPr>
        <w:t>与上年相比下降</w:t>
      </w:r>
      <w:r>
        <w:rPr>
          <w:rFonts w:hint="eastAsia" w:ascii="仿宋_GB2312" w:eastAsia="仿宋_GB2312"/>
          <w:color w:val="auto"/>
          <w:spacing w:val="6"/>
          <w:sz w:val="32"/>
          <w:szCs w:val="32"/>
          <w:highlight w:val="none"/>
          <w:lang w:eastAsia="zh-CN"/>
        </w:rPr>
        <w:t>较大。与年初预算相比，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360.50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595.96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65.31%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w:t>
      </w:r>
      <w:r>
        <w:rPr>
          <w:rFonts w:hint="eastAsia" w:ascii="仿宋_GB2312" w:eastAsia="仿宋_GB2312"/>
          <w:color w:val="auto"/>
          <w:spacing w:val="0"/>
          <w:sz w:val="32"/>
          <w:szCs w:val="32"/>
          <w:highlight w:val="none"/>
          <w:lang w:eastAsia="zh-CN"/>
        </w:rPr>
        <w:t>年底从各单位调剂公务接待费</w:t>
      </w:r>
      <w:r>
        <w:rPr>
          <w:rFonts w:hint="eastAsia" w:ascii="仿宋_GB2312" w:eastAsia="仿宋_GB2312"/>
          <w:color w:val="auto"/>
          <w:spacing w:val="0"/>
          <w:sz w:val="32"/>
          <w:szCs w:val="32"/>
          <w:highlight w:val="none"/>
          <w:lang w:val="en-US" w:eastAsia="zh-CN"/>
        </w:rPr>
        <w:t>101.9万元，年中追加突发公共卫生事件应急处理费用</w:t>
      </w:r>
      <w:r>
        <w:rPr>
          <w:rFonts w:hint="eastAsia" w:ascii="仿宋_GB2312" w:eastAsia="仿宋_GB2312"/>
          <w:color w:val="auto"/>
          <w:spacing w:val="6"/>
          <w:sz w:val="32"/>
          <w:szCs w:val="32"/>
          <w:highlight w:val="none"/>
          <w:lang w:val="en-US" w:eastAsia="zh-CN"/>
        </w:rPr>
        <w:t>115.85万元、环保督察整改办办公设备购置费2.45万元，</w:t>
      </w:r>
      <w:r>
        <w:rPr>
          <w:rFonts w:hint="eastAsia" w:ascii="仿宋_GB2312" w:eastAsia="仿宋_GB2312"/>
          <w:color w:val="auto"/>
          <w:spacing w:val="0"/>
          <w:sz w:val="32"/>
          <w:szCs w:val="32"/>
          <w:highlight w:val="none"/>
          <w:lang w:val="en-US" w:eastAsia="zh-CN"/>
        </w:rPr>
        <w:t>干部周转房维修款等15.26万元，故决算数与预算数有差异率</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447.80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75.14%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121.01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20.31%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red"/>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1.60%。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1.卫生健康支出（类）行政事业单位医疗（款）事业单位医疗（项）:支出决算数为5.16万元，比上年决算增加0.15万元，增长2.99%，主要原因是：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年工资</w:t>
      </w:r>
      <w:r>
        <w:rPr>
          <w:rFonts w:hint="eastAsia" w:ascii="仿宋_GB2312" w:eastAsia="仿宋_GB2312"/>
          <w:sz w:val="32"/>
          <w:szCs w:val="32"/>
          <w:highlight w:val="none"/>
          <w:lang w:eastAsia="zh-CN"/>
        </w:rPr>
        <w:t>普调</w:t>
      </w:r>
      <w:r>
        <w:rPr>
          <w:rFonts w:hint="eastAsia" w:ascii="仿宋_GB2312" w:eastAsia="仿宋_GB2312"/>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事业单位医疗</w:t>
      </w:r>
      <w:r>
        <w:rPr>
          <w:rFonts w:hint="eastAsia" w:ascii="仿宋_GB2312" w:eastAsia="仿宋_GB2312"/>
          <w:sz w:val="32"/>
          <w:szCs w:val="32"/>
          <w:highlight w:val="none"/>
        </w:rPr>
        <w:t>缴费基数增大，因此</w:t>
      </w:r>
      <w:r>
        <w:rPr>
          <w:rFonts w:hint="eastAsia" w:ascii="仿宋_GB2312" w:eastAsia="仿宋_GB2312"/>
          <w:sz w:val="32"/>
          <w:szCs w:val="32"/>
          <w:highlight w:val="none"/>
          <w:lang w:eastAsia="zh-CN"/>
        </w:rPr>
        <w:t>事业单位医疗</w:t>
      </w:r>
      <w:r>
        <w:rPr>
          <w:rFonts w:hint="eastAsia" w:ascii="仿宋_GB2312" w:eastAsia="仿宋_GB2312"/>
          <w:sz w:val="32"/>
          <w:szCs w:val="32"/>
          <w:highlight w:val="none"/>
        </w:rPr>
        <w:t>决算数比上年的决算数</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2.卫生健康支出（类）公共卫生（款）突发公共卫生事件应急处理（项）:支出决算数为115.85万元，比上年决算减少1,512.29万元，下降92.88%，主要原因是：</w:t>
      </w:r>
      <w:r>
        <w:rPr>
          <w:rFonts w:hint="eastAsia" w:ascii="仿宋_GB2312" w:eastAsia="仿宋_GB2312"/>
          <w:color w:val="auto"/>
          <w:spacing w:val="0"/>
          <w:sz w:val="32"/>
          <w:szCs w:val="32"/>
          <w:highlight w:val="none"/>
          <w:lang w:eastAsia="zh-CN"/>
        </w:rPr>
        <w:t>上年</w:t>
      </w:r>
      <w:r>
        <w:rPr>
          <w:rFonts w:hint="eastAsia" w:ascii="仿宋_GB2312" w:eastAsia="仿宋_GB2312"/>
          <w:sz w:val="32"/>
          <w:szCs w:val="32"/>
          <w:lang w:eastAsia="zh-CN"/>
        </w:rPr>
        <w:t>在</w:t>
      </w:r>
      <w:r>
        <w:rPr>
          <w:rFonts w:hint="eastAsia" w:ascii="仿宋_GB2312" w:eastAsia="仿宋_GB2312"/>
          <w:sz w:val="32"/>
          <w:szCs w:val="32"/>
        </w:rPr>
        <w:t>疫情防控</w:t>
      </w:r>
      <w:r>
        <w:rPr>
          <w:rFonts w:hint="eastAsia" w:ascii="仿宋_GB2312" w:eastAsia="仿宋_GB2312"/>
          <w:sz w:val="32"/>
          <w:szCs w:val="32"/>
          <w:lang w:eastAsia="zh-CN"/>
        </w:rPr>
        <w:t>期间</w:t>
      </w:r>
      <w:r>
        <w:rPr>
          <w:rFonts w:hint="eastAsia" w:ascii="仿宋_GB2312" w:eastAsia="仿宋_GB2312"/>
          <w:sz w:val="32"/>
          <w:szCs w:val="32"/>
        </w:rPr>
        <w:t>，</w:t>
      </w:r>
      <w:r>
        <w:rPr>
          <w:rFonts w:hint="eastAsia" w:ascii="仿宋_GB2312" w:eastAsia="仿宋_GB2312"/>
          <w:sz w:val="32"/>
          <w:szCs w:val="32"/>
          <w:lang w:eastAsia="zh-CN"/>
        </w:rPr>
        <w:t>为</w:t>
      </w:r>
      <w:r>
        <w:rPr>
          <w:rFonts w:hint="eastAsia" w:ascii="仿宋_GB2312" w:eastAsia="仿宋_GB2312"/>
          <w:sz w:val="32"/>
          <w:szCs w:val="32"/>
        </w:rPr>
        <w:t>提高医院基础设施服务采购大批设备与物资</w:t>
      </w:r>
      <w:r>
        <w:rPr>
          <w:rFonts w:hint="eastAsia" w:ascii="仿宋_GB2312" w:eastAsia="仿宋_GB2312"/>
          <w:sz w:val="32"/>
          <w:szCs w:val="32"/>
          <w:lang w:eastAsia="zh-CN"/>
        </w:rPr>
        <w:t>，</w:t>
      </w:r>
      <w:r>
        <w:rPr>
          <w:rFonts w:hint="eastAsia" w:ascii="仿宋_GB2312" w:eastAsia="仿宋_GB2312"/>
          <w:sz w:val="32"/>
          <w:szCs w:val="32"/>
          <w:lang w:val="en-US" w:eastAsia="zh-CN"/>
        </w:rPr>
        <w:t>2023年支付的是上年的物资款，所以2023年</w:t>
      </w:r>
      <w:r>
        <w:rPr>
          <w:rFonts w:hint="eastAsia" w:ascii="仿宋_GB2312" w:hAnsi="仿宋_GB2312" w:eastAsia="仿宋_GB2312" w:cs="仿宋_GB2312"/>
          <w:color w:val="auto"/>
          <w:kern w:val="2"/>
          <w:sz w:val="32"/>
          <w:szCs w:val="32"/>
          <w:highlight w:val="none"/>
          <w:lang w:val="en-US" w:eastAsia="zh-CN" w:bidi="ar-SA"/>
        </w:rPr>
        <w:t>突发公共卫生事件应急处理支出</w:t>
      </w:r>
      <w:r>
        <w:rPr>
          <w:rFonts w:hint="eastAsia" w:ascii="仿宋_GB2312" w:eastAsia="仿宋_GB2312"/>
          <w:sz w:val="32"/>
          <w:szCs w:val="32"/>
          <w:lang w:val="en-US" w:eastAsia="zh-CN"/>
        </w:rPr>
        <w:t>的决算数比上年决算数减少较多。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3.住房保障支出（类）住房改革支出（款）住房公积金（项）:支出决算数为9.55万元，比上年决算增加0.40万元，增长4.37%，主要原因是：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年工资</w:t>
      </w:r>
      <w:r>
        <w:rPr>
          <w:rFonts w:hint="eastAsia" w:ascii="仿宋_GB2312" w:eastAsia="仿宋_GB2312"/>
          <w:sz w:val="32"/>
          <w:szCs w:val="32"/>
          <w:highlight w:val="none"/>
          <w:lang w:eastAsia="zh-CN"/>
        </w:rPr>
        <w:t>普调</w:t>
      </w:r>
      <w:r>
        <w:rPr>
          <w:rFonts w:hint="eastAsia" w:ascii="仿宋_GB2312" w:eastAsia="仿宋_GB2312"/>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住房公积金</w:t>
      </w:r>
      <w:r>
        <w:rPr>
          <w:rFonts w:hint="eastAsia" w:ascii="仿宋_GB2312" w:eastAsia="仿宋_GB2312"/>
          <w:sz w:val="32"/>
          <w:szCs w:val="32"/>
          <w:highlight w:val="none"/>
        </w:rPr>
        <w:t>缴费基数增大，因此</w:t>
      </w:r>
      <w:r>
        <w:rPr>
          <w:rFonts w:hint="eastAsia" w:ascii="仿宋_GB2312" w:hAnsi="仿宋_GB2312" w:eastAsia="仿宋_GB2312" w:cs="仿宋_GB2312"/>
          <w:color w:val="auto"/>
          <w:kern w:val="2"/>
          <w:sz w:val="32"/>
          <w:szCs w:val="32"/>
          <w:highlight w:val="none"/>
          <w:lang w:val="en-US" w:eastAsia="zh-CN" w:bidi="ar-SA"/>
        </w:rPr>
        <w:t>住房公积金</w:t>
      </w:r>
      <w:r>
        <w:rPr>
          <w:rFonts w:hint="eastAsia" w:ascii="仿宋_GB2312" w:eastAsia="仿宋_GB2312"/>
          <w:sz w:val="32"/>
          <w:szCs w:val="32"/>
          <w:highlight w:val="none"/>
        </w:rPr>
        <w:t>决算数比上年的决算数</w:t>
      </w:r>
      <w:r>
        <w:rPr>
          <w:rFonts w:hint="eastAsia" w:ascii="仿宋_GB2312" w:eastAsia="仿宋_GB2312"/>
          <w:sz w:val="32"/>
          <w:szCs w:val="32"/>
          <w:highlight w:val="none"/>
          <w:lang w:eastAsia="zh-CN"/>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4.一般公共服务支出（类）党委办公厅（室）及相关机</w:t>
      </w:r>
      <w:r>
        <w:rPr>
          <w:rFonts w:hint="eastAsia" w:ascii="仿宋_GB2312" w:hAnsi="仿宋_GB2312" w:eastAsia="仿宋_GB2312" w:cs="仿宋_GB2312"/>
          <w:color w:val="auto"/>
          <w:spacing w:val="6"/>
          <w:kern w:val="2"/>
          <w:sz w:val="32"/>
          <w:szCs w:val="32"/>
          <w:highlight w:val="none"/>
          <w:lang w:val="en-US" w:eastAsia="zh-CN" w:bidi="ar-SA"/>
        </w:rPr>
        <w:t>构事务（款）行政运行（项）:支出决算数为69.40万元，</w:t>
      </w:r>
      <w:r>
        <w:rPr>
          <w:rFonts w:hint="eastAsia" w:ascii="仿宋_GB2312" w:hAnsi="仿宋_GB2312" w:eastAsia="仿宋_GB2312" w:cs="仿宋_GB2312"/>
          <w:color w:val="auto"/>
          <w:kern w:val="2"/>
          <w:sz w:val="32"/>
          <w:szCs w:val="32"/>
          <w:highlight w:val="none"/>
          <w:lang w:val="en-US" w:eastAsia="zh-CN" w:bidi="ar-SA"/>
        </w:rPr>
        <w:t>比上年决算增加69.40万元，增长100%，主要原因是：</w:t>
      </w:r>
      <w:r>
        <w:rPr>
          <w:rFonts w:hint="eastAsia" w:ascii="仿宋_GB2312" w:hAnsi="仿宋_GB2312" w:eastAsia="仿宋_GB2312" w:cs="仿宋_GB2312"/>
          <w:color w:val="auto"/>
          <w:kern w:val="2"/>
          <w:sz w:val="32"/>
          <w:szCs w:val="32"/>
          <w:highlight w:val="none"/>
          <w:lang w:val="zh-CN" w:eastAsia="zh-CN" w:bidi="ar-SA"/>
        </w:rPr>
        <w:t>本年</w:t>
      </w:r>
      <w:r>
        <w:rPr>
          <w:rFonts w:hint="eastAsia" w:ascii="仿宋_GB2312" w:hAnsi="仿宋_GB2312" w:eastAsia="仿宋_GB2312" w:cs="仿宋_GB2312"/>
          <w:color w:val="auto"/>
          <w:kern w:val="2"/>
          <w:sz w:val="32"/>
          <w:szCs w:val="32"/>
          <w:highlight w:val="none"/>
          <w:lang w:val="en-US" w:eastAsia="zh-CN" w:bidi="ar-SA"/>
        </w:rPr>
        <w:t>安排了市委办公室</w:t>
      </w:r>
      <w:r>
        <w:rPr>
          <w:rFonts w:hint="eastAsia" w:ascii="仿宋_GB2312" w:hAnsi="仿宋_GB2312" w:eastAsia="仿宋_GB2312" w:cs="仿宋_GB2312"/>
          <w:color w:val="auto"/>
          <w:kern w:val="2"/>
          <w:sz w:val="32"/>
          <w:szCs w:val="32"/>
          <w:highlight w:val="none"/>
          <w:lang w:val="zh-CN" w:eastAsia="zh-CN" w:bidi="ar-SA"/>
        </w:rPr>
        <w:t>公务接待支出，使决算数增加。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其他共产党事务支出（款）事业运行（项）:支出决算数为175.18万元，比上年决算增加26.33万元，增长17.69%，主要原因是：2023年工资普调、支付了以前年度取暖费、安排了公务用车运行维护费的支出。</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6.一般公共服务支出（类）人大事务（款）行政运行（项）:支出决算数为5.00万元，比上年决算增加5.00万元，增长100%，主要原因是：本年安排人大</w:t>
      </w:r>
      <w:r>
        <w:rPr>
          <w:rFonts w:hint="eastAsia" w:ascii="仿宋_GB2312" w:hAnsi="仿宋_GB2312" w:eastAsia="仿宋_GB2312" w:cs="仿宋_GB2312"/>
          <w:color w:val="auto"/>
          <w:kern w:val="2"/>
          <w:sz w:val="32"/>
          <w:szCs w:val="32"/>
          <w:highlight w:val="none"/>
          <w:lang w:val="zh-CN" w:eastAsia="zh-CN" w:bidi="ar-SA"/>
        </w:rPr>
        <w:t>公务接待支出，</w:t>
      </w:r>
      <w:r>
        <w:rPr>
          <w:rFonts w:hint="eastAsia" w:ascii="仿宋_GB2312" w:hAnsi="仿宋_GB2312" w:eastAsia="仿宋_GB2312" w:cs="仿宋_GB2312"/>
          <w:color w:val="auto"/>
          <w:spacing w:val="6"/>
          <w:kern w:val="2"/>
          <w:sz w:val="32"/>
          <w:szCs w:val="32"/>
          <w:highlight w:val="none"/>
          <w:lang w:val="en-US" w:eastAsia="zh-CN" w:bidi="ar-SA"/>
        </w:rPr>
        <w:t>使决算数增加。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FF0000"/>
          <w:spacing w:val="6"/>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7.一般公共服务支出（类）其他共产党事务支出（款）其他共产党事务支出（项）:支出决算数为156.72万元，比上年决算减少156.66万元，下降49.99%，主要原因是：</w:t>
      </w:r>
      <w:r>
        <w:rPr>
          <w:rFonts w:hint="eastAsia" w:ascii="仿宋_GB2312" w:hAnsi="仿宋_GB2312" w:eastAsia="仿宋_GB2312" w:cs="仿宋_GB2312"/>
          <w:color w:val="auto"/>
          <w:kern w:val="2"/>
          <w:sz w:val="32"/>
          <w:szCs w:val="32"/>
          <w:highlight w:val="none"/>
          <w:lang w:val="zh-CN" w:eastAsia="zh-CN" w:bidi="ar-SA"/>
        </w:rPr>
        <w:t>上年度安排了</w:t>
      </w:r>
      <w:r>
        <w:rPr>
          <w:rFonts w:hint="eastAsia" w:ascii="仿宋_GB2312" w:hAnsi="仿宋_GB2312" w:eastAsia="仿宋_GB2312" w:cs="仿宋_GB2312"/>
          <w:color w:val="auto"/>
          <w:kern w:val="2"/>
          <w:sz w:val="32"/>
          <w:szCs w:val="32"/>
          <w:highlight w:val="none"/>
          <w:lang w:val="en-US" w:eastAsia="zh-CN" w:bidi="ar-SA"/>
        </w:rPr>
        <w:t>2019年</w:t>
      </w:r>
      <w:r>
        <w:rPr>
          <w:rFonts w:hint="eastAsia" w:ascii="仿宋_GB2312" w:hAnsi="仿宋_GB2312" w:eastAsia="仿宋_GB2312" w:cs="仿宋_GB2312"/>
          <w:color w:val="auto"/>
          <w:kern w:val="2"/>
          <w:sz w:val="32"/>
          <w:szCs w:val="32"/>
          <w:highlight w:val="none"/>
          <w:lang w:val="zh-CN" w:eastAsia="zh-CN" w:bidi="ar-SA"/>
        </w:rPr>
        <w:t>政府车房改造工程款支出，所以本年度决算数减少</w:t>
      </w:r>
      <w:r>
        <w:rPr>
          <w:rFonts w:hint="eastAsia" w:ascii="仿宋_GB2312" w:hAnsi="仿宋_GB2312" w:eastAsia="仿宋_GB2312" w:cs="仿宋_GB2312"/>
          <w:color w:val="auto"/>
          <w:spacing w:val="6"/>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FF0000"/>
          <w:spacing w:val="6"/>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8.一般公共服务支出（类）政府办公厅（室）及相关机</w:t>
      </w:r>
      <w:r>
        <w:rPr>
          <w:rFonts w:hint="eastAsia" w:ascii="仿宋_GB2312" w:hAnsi="仿宋_GB2312" w:eastAsia="仿宋_GB2312" w:cs="仿宋_GB2312"/>
          <w:color w:val="auto"/>
          <w:spacing w:val="6"/>
          <w:kern w:val="2"/>
          <w:sz w:val="32"/>
          <w:szCs w:val="32"/>
          <w:highlight w:val="none"/>
          <w:lang w:val="en-US" w:eastAsia="zh-CN" w:bidi="ar-SA"/>
        </w:rPr>
        <w:t>构事务（款）行政运行（项）:支出决算数为37.00万元，</w:t>
      </w:r>
      <w:r>
        <w:rPr>
          <w:rFonts w:hint="eastAsia" w:ascii="仿宋_GB2312" w:hAnsi="仿宋_GB2312" w:eastAsia="仿宋_GB2312" w:cs="仿宋_GB2312"/>
          <w:color w:val="auto"/>
          <w:kern w:val="2"/>
          <w:sz w:val="32"/>
          <w:szCs w:val="32"/>
          <w:highlight w:val="none"/>
          <w:lang w:val="en-US" w:eastAsia="zh-CN" w:bidi="ar-SA"/>
        </w:rPr>
        <w:t>比上年决算增加37.00万元，增长100%，主要原因是：本年安排了政府办公室</w:t>
      </w:r>
      <w:r>
        <w:rPr>
          <w:rFonts w:hint="eastAsia" w:ascii="仿宋_GB2312" w:hAnsi="仿宋_GB2312" w:eastAsia="仿宋_GB2312" w:cs="仿宋_GB2312"/>
          <w:color w:val="auto"/>
          <w:kern w:val="2"/>
          <w:sz w:val="32"/>
          <w:szCs w:val="32"/>
          <w:highlight w:val="none"/>
          <w:lang w:val="zh-CN" w:eastAsia="zh-CN" w:bidi="ar-SA"/>
        </w:rPr>
        <w:t>公务接待支出，</w:t>
      </w:r>
      <w:r>
        <w:rPr>
          <w:rFonts w:hint="eastAsia" w:ascii="仿宋_GB2312" w:hAnsi="仿宋_GB2312" w:eastAsia="仿宋_GB2312" w:cs="仿宋_GB2312"/>
          <w:color w:val="auto"/>
          <w:spacing w:val="6"/>
          <w:kern w:val="2"/>
          <w:sz w:val="32"/>
          <w:szCs w:val="32"/>
          <w:highlight w:val="none"/>
          <w:lang w:val="en-US" w:eastAsia="zh-CN" w:bidi="ar-SA"/>
        </w:rPr>
        <w:t>使决算数增加。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9.社会保障和就业支出（类）行政事业单位养老支出（款）机关事业单位职业年金缴费支出（项）:支出决算数为5.48万元，比上年决算增加5.48万元，增长100%，主要原因是：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我单位有一人调入国企任职，我单位缴纳了该人员</w:t>
      </w:r>
      <w:r>
        <w:rPr>
          <w:rFonts w:hint="eastAsia" w:ascii="仿宋_GB2312" w:eastAsia="仿宋_GB2312"/>
          <w:sz w:val="32"/>
          <w:szCs w:val="32"/>
          <w:highlight w:val="none"/>
          <w:lang w:val="en-US" w:eastAsia="zh-CN"/>
        </w:rPr>
        <w:t>2014年10月至2023年4月期间的职业年金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FF0000"/>
          <w:spacing w:val="6"/>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10.一般公共服务支出（类）政协事务（款）行政运行（项）:支出决算数为4.50万元，比上年决算增加4.50万</w:t>
      </w:r>
      <w:r>
        <w:rPr>
          <w:rFonts w:hint="eastAsia" w:ascii="仿宋_GB2312" w:hAnsi="仿宋_GB2312" w:eastAsia="仿宋_GB2312" w:cs="仿宋_GB2312"/>
          <w:color w:val="auto"/>
          <w:spacing w:val="6"/>
          <w:kern w:val="2"/>
          <w:sz w:val="32"/>
          <w:szCs w:val="32"/>
          <w:highlight w:val="none"/>
          <w:lang w:val="en-US" w:eastAsia="zh-CN" w:bidi="ar-SA"/>
        </w:rPr>
        <w:t>元，增长100%，主要原因是：本年安排了政协</w:t>
      </w:r>
      <w:r>
        <w:rPr>
          <w:rFonts w:hint="eastAsia" w:ascii="仿宋_GB2312" w:hAnsi="仿宋_GB2312" w:eastAsia="仿宋_GB2312" w:cs="仿宋_GB2312"/>
          <w:color w:val="auto"/>
          <w:spacing w:val="6"/>
          <w:kern w:val="2"/>
          <w:sz w:val="32"/>
          <w:szCs w:val="32"/>
          <w:highlight w:val="none"/>
          <w:lang w:val="zh-CN" w:eastAsia="zh-CN" w:bidi="ar-SA"/>
        </w:rPr>
        <w:t>公务接待支出，</w:t>
      </w:r>
      <w:r>
        <w:rPr>
          <w:rFonts w:hint="eastAsia" w:ascii="仿宋_GB2312" w:hAnsi="仿宋_GB2312" w:eastAsia="仿宋_GB2312" w:cs="仿宋_GB2312"/>
          <w:color w:val="auto"/>
          <w:spacing w:val="6"/>
          <w:kern w:val="2"/>
          <w:sz w:val="32"/>
          <w:szCs w:val="32"/>
          <w:highlight w:val="none"/>
          <w:lang w:val="en-US" w:eastAsia="zh-CN" w:bidi="ar-SA"/>
        </w:rPr>
        <w:t>使决算数增加。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11.社会保障和就业支出（类）行政事业单位养老支出（款）机关事业单位基本养老保险缴费支出（项）:支出决算数为12.12万元，比上年决算增加1.98万元，增长19.53%，主要原因是：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年工资</w:t>
      </w:r>
      <w:r>
        <w:rPr>
          <w:rFonts w:hint="eastAsia" w:ascii="仿宋_GB2312" w:eastAsia="仿宋_GB2312"/>
          <w:sz w:val="32"/>
          <w:szCs w:val="32"/>
          <w:highlight w:val="none"/>
          <w:lang w:eastAsia="zh-CN"/>
        </w:rPr>
        <w:t>普调</w:t>
      </w:r>
      <w:r>
        <w:rPr>
          <w:rFonts w:hint="eastAsia" w:ascii="仿宋_GB2312" w:eastAsia="仿宋_GB2312"/>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机关事业单位基本养老保险缴费</w:t>
      </w:r>
      <w:r>
        <w:rPr>
          <w:rFonts w:hint="eastAsia" w:ascii="仿宋_GB2312" w:eastAsia="仿宋_GB2312"/>
          <w:sz w:val="32"/>
          <w:szCs w:val="32"/>
          <w:highlight w:val="none"/>
        </w:rPr>
        <w:t>基数增大，因此</w:t>
      </w:r>
      <w:r>
        <w:rPr>
          <w:rFonts w:hint="eastAsia" w:ascii="仿宋_GB2312" w:hAnsi="仿宋_GB2312" w:eastAsia="仿宋_GB2312" w:cs="仿宋_GB2312"/>
          <w:color w:val="auto"/>
          <w:kern w:val="2"/>
          <w:sz w:val="32"/>
          <w:szCs w:val="32"/>
          <w:highlight w:val="none"/>
          <w:lang w:val="en-US" w:eastAsia="zh-CN" w:bidi="ar-SA"/>
        </w:rPr>
        <w:t>基本养老保险缴费支出</w:t>
      </w:r>
      <w:r>
        <w:rPr>
          <w:rFonts w:hint="eastAsia" w:ascii="仿宋_GB2312" w:eastAsia="仿宋_GB2312"/>
          <w:sz w:val="32"/>
          <w:szCs w:val="32"/>
          <w:highlight w:val="none"/>
        </w:rPr>
        <w:t>决算数比上年的决算数</w:t>
      </w:r>
      <w:r>
        <w:rPr>
          <w:rFonts w:hint="eastAsia" w:ascii="仿宋_GB2312" w:eastAsia="仿宋_GB2312"/>
          <w:sz w:val="32"/>
          <w:szCs w:val="32"/>
          <w:highlight w:val="none"/>
          <w:lang w:eastAsia="zh-CN"/>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323.39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135.61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187.78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办公费、邮电费、取暖费、差旅费、公务接待费、工会经费、公务用车运行维护费、其他交通费用。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“三公”经费支出236.97万元，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增加232.47万元，</w:t>
      </w:r>
      <w:r>
        <w:rPr>
          <w:rFonts w:hint="eastAsia" w:ascii="仿宋_GB2312" w:eastAsia="仿宋_GB2312"/>
          <w:color w:val="auto"/>
          <w:spacing w:val="0"/>
          <w:sz w:val="32"/>
          <w:szCs w:val="32"/>
          <w:highlight w:val="none"/>
          <w:lang w:val="en-US" w:eastAsia="zh-CN"/>
        </w:rPr>
        <w:t>增长5166.00%,</w:t>
      </w:r>
      <w:r>
        <w:rPr>
          <w:rFonts w:hint="eastAsia" w:ascii="仿宋_GB2312" w:eastAsia="仿宋_GB2312"/>
          <w:color w:val="auto"/>
          <w:sz w:val="32"/>
          <w:szCs w:val="32"/>
          <w:highlight w:val="none"/>
          <w:lang w:val="zh-CN" w:eastAsia="zh-CN"/>
        </w:rPr>
        <w:t>主要原因是：本年安排了市委、市政府、人大、政协的公务接待支出，增加了公务用车购置项目，增加了公务用车运行维护费项目，</w:t>
      </w:r>
      <w:r>
        <w:rPr>
          <w:rFonts w:hint="eastAsia" w:ascii="仿宋_GB2312" w:hAnsi="仿宋_GB2312" w:eastAsia="仿宋_GB2312" w:cs="仿宋_GB2312"/>
          <w:color w:val="auto"/>
          <w:spacing w:val="6"/>
          <w:kern w:val="2"/>
          <w:sz w:val="32"/>
          <w:szCs w:val="32"/>
          <w:highlight w:val="none"/>
          <w:lang w:val="en-US" w:eastAsia="zh-CN" w:bidi="ar-SA"/>
        </w:rPr>
        <w:t>使决算数增加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主要原因是：我单位无因公出国（境）费支出；公务用车购置及运行维护费支出121.07万元，占51.09%，比上年增加116.57</w:t>
      </w:r>
      <w:r>
        <w:rPr>
          <w:rFonts w:hint="eastAsia" w:ascii="仿宋_GB2312" w:eastAsia="仿宋_GB2312"/>
          <w:color w:val="auto"/>
          <w:spacing w:val="6"/>
          <w:sz w:val="32"/>
          <w:szCs w:val="32"/>
          <w:highlight w:val="none"/>
          <w:lang w:val="zh-CN" w:eastAsia="zh-CN"/>
        </w:rPr>
        <w:t>万元，</w:t>
      </w:r>
      <w:r>
        <w:rPr>
          <w:rFonts w:hint="eastAsia" w:ascii="仿宋_GB2312" w:eastAsia="仿宋_GB2312"/>
          <w:color w:val="auto"/>
          <w:spacing w:val="6"/>
          <w:sz w:val="32"/>
          <w:szCs w:val="32"/>
          <w:highlight w:val="none"/>
          <w:lang w:val="en-US" w:eastAsia="zh-CN"/>
        </w:rPr>
        <w:t>增长2590.44%,</w:t>
      </w:r>
      <w:r>
        <w:rPr>
          <w:rFonts w:hint="eastAsia" w:ascii="仿宋_GB2312" w:eastAsia="仿宋_GB2312"/>
          <w:color w:val="auto"/>
          <w:spacing w:val="6"/>
          <w:sz w:val="32"/>
          <w:szCs w:val="32"/>
          <w:highlight w:val="none"/>
          <w:lang w:val="zh-CN" w:eastAsia="zh-CN"/>
        </w:rPr>
        <w:t>主要原因是：</w:t>
      </w:r>
      <w:r>
        <w:rPr>
          <w:rFonts w:hint="eastAsia" w:ascii="仿宋_GB2312" w:eastAsia="仿宋_GB2312"/>
          <w:spacing w:val="6"/>
          <w:sz w:val="32"/>
          <w:szCs w:val="32"/>
          <w:highlight w:val="none"/>
        </w:rPr>
        <w:t>公务用车制度改革后，</w:t>
      </w:r>
      <w:r>
        <w:rPr>
          <w:rFonts w:hint="eastAsia" w:ascii="仿宋_GB2312" w:eastAsia="仿宋_GB2312"/>
          <w:sz w:val="32"/>
          <w:szCs w:val="32"/>
          <w:highlight w:val="none"/>
        </w:rPr>
        <w:t>一般公务用车统一由机关事务服务中心管理，</w:t>
      </w:r>
      <w:r>
        <w:rPr>
          <w:rFonts w:hint="eastAsia" w:ascii="仿宋_GB2312" w:eastAsia="仿宋_GB2312"/>
          <w:sz w:val="32"/>
          <w:szCs w:val="32"/>
          <w:highlight w:val="none"/>
          <w:lang w:eastAsia="zh-CN"/>
        </w:rPr>
        <w:t>在我中心统一管理的车辆，产生的费用也在我单位支付，故</w:t>
      </w:r>
      <w:r>
        <w:rPr>
          <w:rFonts w:hint="eastAsia" w:ascii="仿宋_GB2312" w:eastAsia="仿宋_GB2312"/>
          <w:sz w:val="32"/>
          <w:szCs w:val="32"/>
          <w:highlight w:val="none"/>
        </w:rPr>
        <w:t>公车运行维护费支出较上年增加</w:t>
      </w:r>
      <w:r>
        <w:rPr>
          <w:rFonts w:hint="eastAsia" w:ascii="仿宋_GB2312" w:eastAsia="仿宋_GB2312"/>
          <w:color w:val="auto"/>
          <w:sz w:val="32"/>
          <w:szCs w:val="32"/>
          <w:highlight w:val="none"/>
          <w:lang w:val="zh-CN" w:eastAsia="zh-CN"/>
        </w:rPr>
        <w:t>；公务接待费支出115.90万元，占48.91%，比上年增加115.90万元，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主要原因是：本年安排了市委、市政府、人大、政协的公务接待支出</w:t>
      </w:r>
      <w:r>
        <w:rPr>
          <w:rFonts w:hint="eastAsia" w:ascii="仿宋_GB2312" w:hAnsi="仿宋_GB2312" w:eastAsia="仿宋_GB2312" w:cs="仿宋_GB2312"/>
          <w:color w:val="auto"/>
          <w:spacing w:val="6"/>
          <w:kern w:val="2"/>
          <w:sz w:val="32"/>
          <w:szCs w:val="32"/>
          <w:highlight w:val="none"/>
          <w:lang w:val="en-US" w:eastAsia="zh-CN" w:bidi="ar-SA"/>
        </w:rPr>
        <w:t>，使决算数增加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121.07万元，其中：公务用车购置费103.53万元，公务用车运行维护费17.54万元。公务用车运行维护费开支内容包括：车辆燃油费、车辆检测费、过路过桥费、车辆保险费、车辆维修保养费。公务用车购置数6辆，公务用车保有量13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rPr>
        <w:t>公务用车制度改革后，一般公务用车统一由机关事务服务中心管理</w:t>
      </w:r>
      <w:r>
        <w:rPr>
          <w:rFonts w:hint="eastAsia" w:ascii="仿宋_GB2312" w:eastAsia="仿宋_GB2312"/>
          <w:sz w:val="32"/>
          <w:szCs w:val="32"/>
          <w:highlight w:val="none"/>
          <w:lang w:eastAsia="zh-CN"/>
        </w:rPr>
        <w:t>，费用由我单位支付，但车辆的编制和资产在原单位，所以</w:t>
      </w:r>
      <w:r>
        <w:rPr>
          <w:rFonts w:hint="eastAsia" w:ascii="仿宋_GB2312" w:eastAsia="仿宋_GB2312"/>
          <w:color w:val="auto"/>
          <w:sz w:val="32"/>
          <w:szCs w:val="32"/>
          <w:highlight w:val="none"/>
          <w:lang w:val="zh-CN" w:eastAsia="zh-CN"/>
        </w:rPr>
        <w:t>国有资产占用情况与公务用车</w:t>
      </w:r>
      <w:r>
        <w:rPr>
          <w:rFonts w:hint="eastAsia" w:ascii="仿宋_GB2312" w:eastAsia="仿宋_GB2312"/>
          <w:color w:val="auto"/>
          <w:sz w:val="32"/>
          <w:szCs w:val="32"/>
          <w:highlight w:val="none"/>
          <w:lang w:val="en-US" w:eastAsia="zh-CN"/>
        </w:rPr>
        <w:t>保有量有差异。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115.90万元，开支内容包括市委、市政府、人大、政协相关对口上级单位检查、调研等就餐费。主要接待了自治区乡村振兴调研组、自治区安全生产大排查、巡视整改专题民主生活会督导组、伊犁州政协主席、地区人大调研组、地委主要领导调研等，单位全年安排的国内公务接待918批次，10127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预算数236.97万元，决算数236.97万元，预决算差异率0.00%，主要原因是：</w:t>
      </w:r>
      <w:r>
        <w:rPr>
          <w:rFonts w:hint="eastAsia" w:ascii="仿宋_GB2312" w:eastAsia="仿宋_GB2312"/>
          <w:sz w:val="32"/>
          <w:szCs w:val="32"/>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w:t>
      </w:r>
      <w:r>
        <w:rPr>
          <w:rFonts w:hint="eastAsia" w:ascii="仿宋_GB2312" w:eastAsia="仿宋_GB2312"/>
          <w:color w:val="auto"/>
          <w:spacing w:val="6"/>
          <w:sz w:val="32"/>
          <w:szCs w:val="32"/>
          <w:highlight w:val="none"/>
          <w:lang w:val="zh-CN" w:eastAsia="zh-CN"/>
        </w:rPr>
        <w:t>原因是：</w:t>
      </w:r>
      <w:r>
        <w:rPr>
          <w:rFonts w:hint="eastAsia" w:ascii="仿宋_GB2312" w:eastAsia="仿宋_GB2312"/>
          <w:spacing w:val="6"/>
          <w:sz w:val="32"/>
          <w:szCs w:val="32"/>
        </w:rPr>
        <w:t>我单位未安排因公出国（境）费，预决算无差异</w:t>
      </w:r>
      <w:r>
        <w:rPr>
          <w:rFonts w:hint="eastAsia" w:ascii="仿宋_GB2312" w:eastAsia="仿宋_GB2312"/>
          <w:color w:val="auto"/>
          <w:spacing w:val="6"/>
          <w:sz w:val="32"/>
          <w:szCs w:val="32"/>
          <w:highlight w:val="none"/>
          <w:lang w:val="zh-CN" w:eastAsia="zh-CN"/>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预算数103.53万元，决算数103.53万元，预决算差异率0.00%，主要原因是：</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预算数与决算数一致，</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预算数17.54万元，决算数17.54万元，预决算差异率0.00%，主要原因是：</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预算数与决算数一致，</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预算数115.90万元，决算数115.90万元，预决算差异率0.00%，主要原因是：</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预算数与决算数一致，</w:t>
      </w:r>
      <w:r>
        <w:rPr>
          <w:rFonts w:hint="eastAsia" w:ascii="仿宋_GB2312" w:eastAsia="仿宋_GB2312"/>
          <w:sz w:val="32"/>
          <w:szCs w:val="32"/>
        </w:rPr>
        <w:t>预决算无差异</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沙湾市机关事务服务中心（事业单位）公用经费支出187.78万元，</w:t>
      </w:r>
      <w:r>
        <w:rPr>
          <w:rFonts w:hint="eastAsia" w:ascii="仿宋_GB2312" w:hAnsi="仿宋_GB2312" w:eastAsia="仿宋_GB2312" w:cs="仿宋_GB2312"/>
          <w:color w:val="auto"/>
          <w:sz w:val="32"/>
          <w:szCs w:val="32"/>
          <w:highlight w:val="none"/>
          <w:lang w:val="zh-CN" w:eastAsia="zh-CN"/>
        </w:rPr>
        <w:t>比上年增加138.11万元，增长278.06%，</w:t>
      </w:r>
      <w:r>
        <w:rPr>
          <w:rFonts w:hint="eastAsia" w:ascii="仿宋_GB2312" w:hAnsi="仿宋_GB2312" w:eastAsia="仿宋_GB2312" w:cs="仿宋_GB2312"/>
          <w:color w:val="auto"/>
          <w:spacing w:val="6"/>
          <w:sz w:val="32"/>
          <w:szCs w:val="32"/>
          <w:highlight w:val="none"/>
          <w:lang w:val="zh-CN" w:eastAsia="zh-CN"/>
        </w:rPr>
        <w:t>主要原因是：一、</w:t>
      </w:r>
      <w:r>
        <w:rPr>
          <w:rFonts w:hint="eastAsia" w:ascii="仿宋_GB2312" w:hAnsi="仿宋_GB2312" w:eastAsia="仿宋_GB2312" w:cs="仿宋_GB2312"/>
          <w:color w:val="auto"/>
          <w:spacing w:val="6"/>
          <w:sz w:val="32"/>
          <w:szCs w:val="32"/>
          <w:highlight w:val="none"/>
          <w:lang w:val="en-US" w:eastAsia="zh-CN"/>
        </w:rPr>
        <w:t>2023年从各单位调剂公用经费到我中心，用于支付以前年度公务接待费；二、</w:t>
      </w:r>
      <w:r>
        <w:rPr>
          <w:rFonts w:hint="eastAsia" w:ascii="仿宋_GB2312" w:eastAsia="仿宋_GB2312"/>
          <w:spacing w:val="6"/>
          <w:sz w:val="32"/>
          <w:szCs w:val="32"/>
          <w:highlight w:val="none"/>
        </w:rPr>
        <w:t>公务用车制度改革后，</w:t>
      </w:r>
      <w:r>
        <w:rPr>
          <w:rFonts w:hint="eastAsia" w:ascii="仿宋_GB2312" w:eastAsia="仿宋_GB2312"/>
          <w:sz w:val="32"/>
          <w:szCs w:val="32"/>
          <w:highlight w:val="none"/>
        </w:rPr>
        <w:t>一般公务用车统一由机关事务服务中心管理</w:t>
      </w:r>
      <w:r>
        <w:rPr>
          <w:rFonts w:hint="eastAsia" w:ascii="仿宋_GB2312" w:eastAsia="仿宋_GB2312"/>
          <w:sz w:val="32"/>
          <w:szCs w:val="32"/>
          <w:highlight w:val="none"/>
          <w:lang w:eastAsia="zh-CN"/>
        </w:rPr>
        <w:t>，车辆产生的费用也在我单位支付，故公务用车运行维护费支出增加。综上所述，</w:t>
      </w:r>
      <w:r>
        <w:rPr>
          <w:rFonts w:hint="eastAsia" w:ascii="仿宋_GB2312" w:eastAsia="仿宋_GB2312"/>
          <w:sz w:val="32"/>
          <w:szCs w:val="32"/>
          <w:highlight w:val="none"/>
          <w:lang w:val="en-US" w:eastAsia="zh-CN"/>
        </w:rPr>
        <w:t>2023年</w:t>
      </w:r>
      <w:r>
        <w:rPr>
          <w:rFonts w:hint="eastAsia" w:ascii="仿宋_GB2312" w:hAnsi="仿宋_GB2312" w:eastAsia="仿宋_GB2312" w:cs="仿宋_GB2312"/>
          <w:color w:val="auto"/>
          <w:sz w:val="32"/>
          <w:szCs w:val="32"/>
          <w:highlight w:val="none"/>
          <w:lang w:val="en-US" w:eastAsia="zh-CN"/>
        </w:rPr>
        <w:t>公用经费支出比上年有所增加。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172.24万元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w:t>
      </w:r>
      <w:r>
        <w:rPr>
          <w:rFonts w:hint="eastAsia" w:ascii="仿宋_GB2312" w:hAnsi="仿宋_GB2312" w:eastAsia="仿宋_GB2312" w:cs="仿宋_GB2312"/>
          <w:color w:val="auto"/>
          <w:spacing w:val="6"/>
          <w:sz w:val="32"/>
          <w:szCs w:val="32"/>
          <w:highlight w:val="none"/>
          <w:lang w:val="zh-CN" w:eastAsia="zh-CN"/>
        </w:rPr>
        <w:t>采购货物支出108.24万元、政府采购工程支出0.00万元、</w:t>
      </w:r>
      <w:r>
        <w:rPr>
          <w:rFonts w:hint="eastAsia" w:ascii="仿宋_GB2312" w:hAnsi="仿宋_GB2312" w:eastAsia="仿宋_GB2312" w:cs="仿宋_GB2312"/>
          <w:color w:val="auto"/>
          <w:sz w:val="32"/>
          <w:szCs w:val="32"/>
          <w:highlight w:val="none"/>
          <w:lang w:val="zh-CN" w:eastAsia="zh-CN"/>
        </w:rPr>
        <w:t>政府采购服务支出64.00万元。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授予中小企业合同金额71.76万元，占政府采购支出总额的41.66%，其中：授予小微企业合同金额71.76万元，占政府采购支出总额的41.66%</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11,778.40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屋31,575.46平方米，价值10,596.99万元。车辆6辆，价值156.33万元，其中：副部（省）级及以上领导用车0辆、主要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w:t>
      </w:r>
      <w:r>
        <w:rPr>
          <w:rFonts w:hint="eastAsia" w:ascii="仿宋_GB2312" w:hAnsi="仿宋_GB2312" w:eastAsia="仿宋_GB2312" w:cs="仿宋_GB2312"/>
          <w:color w:val="auto"/>
          <w:spacing w:val="6"/>
          <w:sz w:val="32"/>
          <w:szCs w:val="32"/>
          <w:highlight w:val="none"/>
          <w:lang w:val="zh-CN" w:eastAsia="zh-CN"/>
        </w:rPr>
        <w:t>机要通信用车0辆、应急保障用车0辆、执法执勤用车0辆、特种专业技术用车0辆、</w:t>
      </w:r>
      <w:r>
        <w:rPr>
          <w:rFonts w:hint="eastAsia" w:ascii="仿宋_GB2312" w:hAnsi="仿宋_GB2312" w:eastAsia="仿宋_GB2312" w:cs="仿宋_GB2312"/>
          <w:color w:val="auto"/>
          <w:sz w:val="32"/>
          <w:szCs w:val="32"/>
          <w:highlight w:val="none"/>
          <w:lang w:val="zh-CN" w:eastAsia="zh-CN"/>
        </w:rPr>
        <w:t>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用车0辆、其他用车6辆，其他用车主要是：</w:t>
      </w:r>
      <w:r>
        <w:rPr>
          <w:rFonts w:hint="eastAsia" w:ascii="仿宋_GB2312" w:eastAsia="仿宋_GB2312"/>
          <w:sz w:val="32"/>
          <w:szCs w:val="32"/>
        </w:rPr>
        <w:t>是一般</w:t>
      </w:r>
      <w:r>
        <w:rPr>
          <w:rFonts w:hint="eastAsia" w:ascii="仿宋_GB2312" w:eastAsia="仿宋_GB2312"/>
          <w:sz w:val="32"/>
          <w:szCs w:val="32"/>
          <w:lang w:val="en-US" w:eastAsia="zh-CN"/>
        </w:rPr>
        <w:t>业务</w:t>
      </w:r>
      <w:r>
        <w:rPr>
          <w:rFonts w:hint="eastAsia" w:ascii="仿宋_GB2312" w:eastAsia="仿宋_GB2312"/>
          <w:sz w:val="32"/>
          <w:szCs w:val="32"/>
        </w:rPr>
        <w:t>用车</w:t>
      </w:r>
      <w:r>
        <w:rPr>
          <w:rFonts w:hint="eastAsia" w:ascii="仿宋_GB2312" w:hAnsi="仿宋_GB2312" w:eastAsia="仿宋_GB2312" w:cs="仿宋_GB2312"/>
          <w:color w:val="auto"/>
          <w:sz w:val="32"/>
          <w:szCs w:val="32"/>
          <w:highlight w:val="none"/>
          <w:lang w:val="zh-CN" w:eastAsia="zh-CN"/>
        </w:rPr>
        <w:t>；单价100万元（含）以上设备（不含车辆）2套。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w:t>
      </w:r>
      <w:r>
        <w:rPr>
          <w:rFonts w:hint="eastAsia" w:ascii="仿宋_GB2312" w:eastAsia="仿宋_GB2312"/>
          <w:color w:val="auto"/>
          <w:spacing w:val="6"/>
          <w:sz w:val="32"/>
          <w:szCs w:val="32"/>
          <w:highlight w:val="none"/>
          <w:lang w:val="en-US" w:eastAsia="zh-CN"/>
        </w:rPr>
        <w:t>额595.96</w:t>
      </w:r>
      <w:r>
        <w:rPr>
          <w:rFonts w:hint="eastAsia" w:ascii="仿宋_GB2312" w:eastAsia="仿宋_GB2312"/>
          <w:color w:val="auto"/>
          <w:spacing w:val="6"/>
          <w:sz w:val="32"/>
          <w:szCs w:val="32"/>
          <w:highlight w:val="none"/>
        </w:rPr>
        <w:t>万元</w:t>
      </w:r>
      <w:r>
        <w:rPr>
          <w:rFonts w:hint="eastAsia" w:ascii="仿宋_GB2312" w:eastAsia="仿宋_GB2312"/>
          <w:color w:val="auto"/>
          <w:spacing w:val="6"/>
          <w:sz w:val="32"/>
          <w:szCs w:val="32"/>
          <w:highlight w:val="none"/>
          <w:lang w:eastAsia="zh-CN"/>
        </w:rPr>
        <w:t>，</w:t>
      </w:r>
      <w:r>
        <w:rPr>
          <w:rFonts w:hint="eastAsia" w:ascii="仿宋_GB2312" w:eastAsia="仿宋_GB2312"/>
          <w:color w:val="auto"/>
          <w:sz w:val="32"/>
          <w:szCs w:val="32"/>
          <w:highlight w:val="none"/>
          <w:lang w:val="en-US" w:eastAsia="zh-CN"/>
        </w:rPr>
        <w:t>实际执行总额595.96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全年预算数277.54</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全年执行数272.57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hAnsi="仿宋_GB2312" w:eastAsia="仿宋_GB2312" w:cs="仿宋_GB2312"/>
          <w:color w:val="auto"/>
          <w:kern w:val="0"/>
          <w:sz w:val="32"/>
          <w:szCs w:val="32"/>
          <w:highlight w:val="none"/>
          <w:lang w:val="en-US" w:eastAsia="zh-CN"/>
        </w:rPr>
        <w:t>本单位sm项目1个，全年预算数3.00万元，全年执行数3.00万元，不予以公开绩效自评表。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sz w:val="32"/>
          <w:szCs w:val="32"/>
          <w:highlight w:val="none"/>
          <w:lang w:eastAsia="zh-CN"/>
        </w:rPr>
        <w:t>初步树立了绩效理念。通过开展绩效评价，我单位开始重视财政支出绩效问题，由重资金争取，重过程管理，向重支出责任，重产出和结果转变。以提高资金使用绩效为目标、以结果为导向的管理理念正逐步形成</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强化了责任意识。通过设定明确可衡量的绩效目标，单位更清楚地了解财政支出所要取得的社会和经济效益，其职能和目标得到进一步明确;通过绩效评价，考核绩效目标实际完成情况和取得的成效，并与下年度预算安排挂钩，用财要问效，无效要问责，在一定程度上强化了单位的自我约束意识和责任意识</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eastAsia="zh-CN"/>
        </w:rPr>
        <w:t>在预算绩效管理工作中，存在“重投入轻管理、重支出轻绩效”的情况，对全面实施预算绩效管理的要求认识还不到位，项目申报、实施等环节与预算绩效管理各个环节联系不够紧密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工作人员较少，工作量较大，一人兼多职，熟练程度有待提高，工作进度有待提高</w:t>
      </w: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lang w:eastAsia="zh-CN"/>
        </w:rPr>
        <w:t>加强学习，提高思想认识。组织单位财务人员认真学习《</w:t>
      </w:r>
      <w:r>
        <w:rPr>
          <w:rFonts w:hint="eastAsia" w:ascii="仿宋_GB2312" w:eastAsia="仿宋_GB2312"/>
          <w:sz w:val="32"/>
          <w:szCs w:val="32"/>
          <w:highlight w:val="none"/>
          <w:lang w:val="en-US" w:eastAsia="zh-CN"/>
        </w:rPr>
        <w:t>中华人民共和国</w:t>
      </w:r>
      <w:r>
        <w:rPr>
          <w:rFonts w:hint="eastAsia" w:ascii="仿宋_GB2312" w:eastAsia="仿宋_GB2312"/>
          <w:sz w:val="32"/>
          <w:szCs w:val="32"/>
          <w:highlight w:val="none"/>
          <w:lang w:eastAsia="zh-CN"/>
        </w:rPr>
        <w:t>预算法》等相关法规、制度，提高单位领导对全面预算管</w:t>
      </w:r>
      <w:r>
        <w:rPr>
          <w:rFonts w:hint="eastAsia" w:ascii="仿宋_GB2312" w:eastAsia="仿宋_GB2312"/>
          <w:spacing w:val="6"/>
          <w:sz w:val="32"/>
          <w:szCs w:val="32"/>
          <w:highlight w:val="none"/>
          <w:lang w:eastAsia="zh-CN"/>
        </w:rPr>
        <w:t>理的重视程度，增强财务人员的预算意识</w:t>
      </w:r>
      <w:r>
        <w:rPr>
          <w:rFonts w:hint="eastAsia" w:ascii="仿宋_GB2312" w:eastAsia="仿宋_GB2312"/>
          <w:color w:val="auto"/>
          <w:spacing w:val="6"/>
          <w:sz w:val="32"/>
          <w:szCs w:val="32"/>
          <w:highlight w:val="none"/>
          <w:lang w:eastAsia="zh-CN"/>
        </w:rPr>
        <w:t>；二是</w:t>
      </w:r>
      <w:r>
        <w:rPr>
          <w:rFonts w:hint="eastAsia" w:ascii="仿宋_GB2312" w:eastAsia="仿宋_GB2312"/>
          <w:spacing w:val="6"/>
          <w:sz w:val="32"/>
          <w:szCs w:val="32"/>
          <w:highlight w:val="none"/>
          <w:lang w:eastAsia="zh-CN"/>
        </w:rPr>
        <w:t>规范财务运行，加强预算支出管理。</w:t>
      </w:r>
      <w:r>
        <w:rPr>
          <w:rFonts w:hint="eastAsia" w:ascii="仿宋_GB2312" w:eastAsia="仿宋_GB2312"/>
          <w:sz w:val="32"/>
          <w:szCs w:val="32"/>
          <w:highlight w:val="none"/>
          <w:lang w:eastAsia="zh-CN"/>
        </w:rPr>
        <w:t>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在费用报账支付时，按照预算规定的费用项目和用途进行资金使用、审核，列报支付，财务核算杜绝超支现象的发生</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本单位sm项目1个，全年预算数3.00万元，全年执行数3.00万元，不予以公开绩效自评表。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w:t>
      </w:r>
      <w:r>
        <w:rPr>
          <w:rFonts w:hint="eastAsia" w:ascii="仿宋_GB2312" w:eastAsia="仿宋_GB2312"/>
          <w:color w:val="auto"/>
          <w:spacing w:val="6"/>
          <w:sz w:val="32"/>
          <w:szCs w:val="32"/>
          <w:highlight w:val="none"/>
        </w:rPr>
        <w:t>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w:t>
      </w:r>
      <w:r>
        <w:rPr>
          <w:rFonts w:hint="eastAsia" w:ascii="仿宋_GB2312" w:eastAsia="仿宋_GB2312"/>
          <w:color w:val="auto"/>
          <w:spacing w:val="6"/>
          <w:sz w:val="32"/>
          <w:szCs w:val="32"/>
          <w:highlight w:val="none"/>
        </w:rPr>
        <w:t>、保险费、安全奖励费用等支出</w:t>
      </w:r>
      <w:r>
        <w:rPr>
          <w:rFonts w:hint="eastAsia" w:ascii="仿宋_GB2312" w:eastAsia="仿宋_GB2312"/>
          <w:color w:val="auto"/>
          <w:spacing w:val="6"/>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 w:name="KSO_WPS_MARK_KEY" w:val="41ee2a61-2d54-4f93-83be-afdb9a40d732"/>
  </w:docVars>
  <w:rsids>
    <w:rsidRoot w:val="00000000"/>
    <w:rsid w:val="00213C59"/>
    <w:rsid w:val="003210CE"/>
    <w:rsid w:val="009E18C0"/>
    <w:rsid w:val="00B70D59"/>
    <w:rsid w:val="00F52A8D"/>
    <w:rsid w:val="019404F8"/>
    <w:rsid w:val="01C30B6B"/>
    <w:rsid w:val="01ED22F2"/>
    <w:rsid w:val="02354BB2"/>
    <w:rsid w:val="02451F61"/>
    <w:rsid w:val="02BD3108"/>
    <w:rsid w:val="02F32EFD"/>
    <w:rsid w:val="02F73D26"/>
    <w:rsid w:val="03497E74"/>
    <w:rsid w:val="034D4FEF"/>
    <w:rsid w:val="035D1785"/>
    <w:rsid w:val="039F47CE"/>
    <w:rsid w:val="03BD5310"/>
    <w:rsid w:val="03E05CE8"/>
    <w:rsid w:val="03F973EE"/>
    <w:rsid w:val="043E5B56"/>
    <w:rsid w:val="04C04386"/>
    <w:rsid w:val="04CE479F"/>
    <w:rsid w:val="04D1736D"/>
    <w:rsid w:val="04D96608"/>
    <w:rsid w:val="04F210E4"/>
    <w:rsid w:val="04FA68C4"/>
    <w:rsid w:val="0535479E"/>
    <w:rsid w:val="053F5AE6"/>
    <w:rsid w:val="057C0B0F"/>
    <w:rsid w:val="05CA4077"/>
    <w:rsid w:val="05EF4B48"/>
    <w:rsid w:val="05F76ECA"/>
    <w:rsid w:val="06183A24"/>
    <w:rsid w:val="06792773"/>
    <w:rsid w:val="06FD75CA"/>
    <w:rsid w:val="07093795"/>
    <w:rsid w:val="072F0286"/>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3C77C2"/>
    <w:rsid w:val="0C5E519C"/>
    <w:rsid w:val="0C7227A7"/>
    <w:rsid w:val="0CA52EE8"/>
    <w:rsid w:val="0CBD6988"/>
    <w:rsid w:val="0CD208AC"/>
    <w:rsid w:val="0D172DAA"/>
    <w:rsid w:val="0D4903E8"/>
    <w:rsid w:val="0D7A4A46"/>
    <w:rsid w:val="0E640559"/>
    <w:rsid w:val="0E650B81"/>
    <w:rsid w:val="0F1113DA"/>
    <w:rsid w:val="0F78534A"/>
    <w:rsid w:val="0F89358A"/>
    <w:rsid w:val="0F8C6D51"/>
    <w:rsid w:val="105B0B5E"/>
    <w:rsid w:val="112E58D0"/>
    <w:rsid w:val="11731CAC"/>
    <w:rsid w:val="119500A0"/>
    <w:rsid w:val="11C0733B"/>
    <w:rsid w:val="11D50D17"/>
    <w:rsid w:val="11FA586E"/>
    <w:rsid w:val="120E0809"/>
    <w:rsid w:val="127F665A"/>
    <w:rsid w:val="12F7068C"/>
    <w:rsid w:val="136237CB"/>
    <w:rsid w:val="14172F83"/>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7C349E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1F512E"/>
    <w:rsid w:val="212631E0"/>
    <w:rsid w:val="2138666F"/>
    <w:rsid w:val="21742080"/>
    <w:rsid w:val="21A53757"/>
    <w:rsid w:val="21F879E1"/>
    <w:rsid w:val="221236C6"/>
    <w:rsid w:val="22D7662C"/>
    <w:rsid w:val="23326B7F"/>
    <w:rsid w:val="235801DC"/>
    <w:rsid w:val="2380045B"/>
    <w:rsid w:val="238D53E2"/>
    <w:rsid w:val="23BC04D2"/>
    <w:rsid w:val="23EF1892"/>
    <w:rsid w:val="2483647E"/>
    <w:rsid w:val="24A32D55"/>
    <w:rsid w:val="24CE6D9A"/>
    <w:rsid w:val="25292727"/>
    <w:rsid w:val="252E5CA9"/>
    <w:rsid w:val="256F7692"/>
    <w:rsid w:val="25BA2154"/>
    <w:rsid w:val="25C8773F"/>
    <w:rsid w:val="25EB06D6"/>
    <w:rsid w:val="26235823"/>
    <w:rsid w:val="264A7253"/>
    <w:rsid w:val="26F0170C"/>
    <w:rsid w:val="26FE3B9A"/>
    <w:rsid w:val="27201D62"/>
    <w:rsid w:val="27286E73"/>
    <w:rsid w:val="27CF2642"/>
    <w:rsid w:val="27E777F5"/>
    <w:rsid w:val="27EA1D4C"/>
    <w:rsid w:val="27EA2E41"/>
    <w:rsid w:val="282459E2"/>
    <w:rsid w:val="283A7FE5"/>
    <w:rsid w:val="285A759D"/>
    <w:rsid w:val="285F51FF"/>
    <w:rsid w:val="28DA4193"/>
    <w:rsid w:val="28DF2665"/>
    <w:rsid w:val="29072599"/>
    <w:rsid w:val="291029F3"/>
    <w:rsid w:val="298534FA"/>
    <w:rsid w:val="298E2EF8"/>
    <w:rsid w:val="299C0DE4"/>
    <w:rsid w:val="29CB58F0"/>
    <w:rsid w:val="2A053397"/>
    <w:rsid w:val="2A145E96"/>
    <w:rsid w:val="2A2131BB"/>
    <w:rsid w:val="2A8C58B7"/>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0C10112"/>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336F84"/>
    <w:rsid w:val="36965B9D"/>
    <w:rsid w:val="36C549FD"/>
    <w:rsid w:val="373169C3"/>
    <w:rsid w:val="37A755DD"/>
    <w:rsid w:val="37F33BFE"/>
    <w:rsid w:val="37F94FA0"/>
    <w:rsid w:val="380D3381"/>
    <w:rsid w:val="38115B1F"/>
    <w:rsid w:val="385E3AC3"/>
    <w:rsid w:val="386F1E89"/>
    <w:rsid w:val="387D6B9E"/>
    <w:rsid w:val="38B75FF0"/>
    <w:rsid w:val="38D45016"/>
    <w:rsid w:val="38D90432"/>
    <w:rsid w:val="3914510A"/>
    <w:rsid w:val="3926770B"/>
    <w:rsid w:val="39516F7F"/>
    <w:rsid w:val="3982065B"/>
    <w:rsid w:val="398D3668"/>
    <w:rsid w:val="39B17083"/>
    <w:rsid w:val="39DA0497"/>
    <w:rsid w:val="3A893816"/>
    <w:rsid w:val="3A893B6D"/>
    <w:rsid w:val="3A952AD1"/>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217B3"/>
    <w:rsid w:val="43F800E9"/>
    <w:rsid w:val="443A7E4B"/>
    <w:rsid w:val="444A7D08"/>
    <w:rsid w:val="44B0541D"/>
    <w:rsid w:val="44F15AD3"/>
    <w:rsid w:val="452F5B3A"/>
    <w:rsid w:val="454E7FD2"/>
    <w:rsid w:val="46013BEC"/>
    <w:rsid w:val="46061BDC"/>
    <w:rsid w:val="461404F8"/>
    <w:rsid w:val="46413018"/>
    <w:rsid w:val="464B7E04"/>
    <w:rsid w:val="46511A49"/>
    <w:rsid w:val="468041AA"/>
    <w:rsid w:val="468123C6"/>
    <w:rsid w:val="46901EEE"/>
    <w:rsid w:val="469C74D2"/>
    <w:rsid w:val="46F47D04"/>
    <w:rsid w:val="471B1831"/>
    <w:rsid w:val="47445515"/>
    <w:rsid w:val="474B4782"/>
    <w:rsid w:val="47D90D14"/>
    <w:rsid w:val="47DC3020"/>
    <w:rsid w:val="47DE1152"/>
    <w:rsid w:val="48387FB0"/>
    <w:rsid w:val="483A6114"/>
    <w:rsid w:val="488727DB"/>
    <w:rsid w:val="48B82268"/>
    <w:rsid w:val="48C354B3"/>
    <w:rsid w:val="493D58B5"/>
    <w:rsid w:val="494A7A04"/>
    <w:rsid w:val="49605EF7"/>
    <w:rsid w:val="496A37E4"/>
    <w:rsid w:val="49EE33BD"/>
    <w:rsid w:val="4A0A26D2"/>
    <w:rsid w:val="4A2019A5"/>
    <w:rsid w:val="4A241A0B"/>
    <w:rsid w:val="4A5C2BD7"/>
    <w:rsid w:val="4A7B2875"/>
    <w:rsid w:val="4A934476"/>
    <w:rsid w:val="4AAA220A"/>
    <w:rsid w:val="4AE12E67"/>
    <w:rsid w:val="4B4C0111"/>
    <w:rsid w:val="4B8553A9"/>
    <w:rsid w:val="4B9C30CA"/>
    <w:rsid w:val="4BDB3730"/>
    <w:rsid w:val="4BF107ED"/>
    <w:rsid w:val="4C1A0A09"/>
    <w:rsid w:val="4C200F7A"/>
    <w:rsid w:val="4C5C0F2C"/>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CA7533"/>
    <w:rsid w:val="53D03877"/>
    <w:rsid w:val="542F73CA"/>
    <w:rsid w:val="5430786D"/>
    <w:rsid w:val="545A1D2A"/>
    <w:rsid w:val="54C811C0"/>
    <w:rsid w:val="556A442D"/>
    <w:rsid w:val="55DA564E"/>
    <w:rsid w:val="55E816A3"/>
    <w:rsid w:val="5604127D"/>
    <w:rsid w:val="56044E6C"/>
    <w:rsid w:val="56166703"/>
    <w:rsid w:val="561F392B"/>
    <w:rsid w:val="56510474"/>
    <w:rsid w:val="56861525"/>
    <w:rsid w:val="56A93273"/>
    <w:rsid w:val="56BD550C"/>
    <w:rsid w:val="56E07045"/>
    <w:rsid w:val="56FF28AF"/>
    <w:rsid w:val="572B4ED1"/>
    <w:rsid w:val="57516724"/>
    <w:rsid w:val="57540E7D"/>
    <w:rsid w:val="577B4878"/>
    <w:rsid w:val="57926973"/>
    <w:rsid w:val="57D1482F"/>
    <w:rsid w:val="58175352"/>
    <w:rsid w:val="581F2200"/>
    <w:rsid w:val="583059FA"/>
    <w:rsid w:val="584A0929"/>
    <w:rsid w:val="585B3B37"/>
    <w:rsid w:val="58CD2491"/>
    <w:rsid w:val="591B41B2"/>
    <w:rsid w:val="59254A26"/>
    <w:rsid w:val="59326325"/>
    <w:rsid w:val="595C505B"/>
    <w:rsid w:val="595E55C3"/>
    <w:rsid w:val="596E7E20"/>
    <w:rsid w:val="59D54822"/>
    <w:rsid w:val="5A5D23AA"/>
    <w:rsid w:val="5A60780B"/>
    <w:rsid w:val="5AB34579"/>
    <w:rsid w:val="5AB40E78"/>
    <w:rsid w:val="5AF80B40"/>
    <w:rsid w:val="5AFC6609"/>
    <w:rsid w:val="5B113480"/>
    <w:rsid w:val="5B3040E9"/>
    <w:rsid w:val="5BD456CE"/>
    <w:rsid w:val="5C0D1F49"/>
    <w:rsid w:val="5C341B3B"/>
    <w:rsid w:val="5CBB0CE2"/>
    <w:rsid w:val="5CC17177"/>
    <w:rsid w:val="5CF306BC"/>
    <w:rsid w:val="5D3F3D64"/>
    <w:rsid w:val="5D833043"/>
    <w:rsid w:val="5DD92690"/>
    <w:rsid w:val="5DDB1CFD"/>
    <w:rsid w:val="5E7E6D93"/>
    <w:rsid w:val="5E82459B"/>
    <w:rsid w:val="5ED44800"/>
    <w:rsid w:val="5F1D4076"/>
    <w:rsid w:val="5F350BDE"/>
    <w:rsid w:val="5F61632C"/>
    <w:rsid w:val="5FA17648"/>
    <w:rsid w:val="5FE705CB"/>
    <w:rsid w:val="6007714E"/>
    <w:rsid w:val="603D5080"/>
    <w:rsid w:val="606842D0"/>
    <w:rsid w:val="60D0261B"/>
    <w:rsid w:val="613160CE"/>
    <w:rsid w:val="618E3791"/>
    <w:rsid w:val="61947DCA"/>
    <w:rsid w:val="61A46A97"/>
    <w:rsid w:val="61D1382F"/>
    <w:rsid w:val="61F114A2"/>
    <w:rsid w:val="622B0ABA"/>
    <w:rsid w:val="62512BB4"/>
    <w:rsid w:val="625D7D1A"/>
    <w:rsid w:val="62660469"/>
    <w:rsid w:val="62DD7D21"/>
    <w:rsid w:val="63623CB3"/>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7E0224F"/>
    <w:rsid w:val="683F0658"/>
    <w:rsid w:val="689C6793"/>
    <w:rsid w:val="68DB0208"/>
    <w:rsid w:val="68FB170C"/>
    <w:rsid w:val="691B3D98"/>
    <w:rsid w:val="693748F0"/>
    <w:rsid w:val="69846A0E"/>
    <w:rsid w:val="69AA1366"/>
    <w:rsid w:val="69AD798C"/>
    <w:rsid w:val="69D005C0"/>
    <w:rsid w:val="69D80B96"/>
    <w:rsid w:val="69F47AD7"/>
    <w:rsid w:val="6A2C39D4"/>
    <w:rsid w:val="6B0E6C24"/>
    <w:rsid w:val="6B68175F"/>
    <w:rsid w:val="6BFD799F"/>
    <w:rsid w:val="6C1B5728"/>
    <w:rsid w:val="6C4A2E5A"/>
    <w:rsid w:val="6C8138D0"/>
    <w:rsid w:val="6CEF0725"/>
    <w:rsid w:val="6D4B2604"/>
    <w:rsid w:val="6D77358F"/>
    <w:rsid w:val="6D8030E4"/>
    <w:rsid w:val="6E0E35C4"/>
    <w:rsid w:val="6E0F7A08"/>
    <w:rsid w:val="6E3947F5"/>
    <w:rsid w:val="6E510960"/>
    <w:rsid w:val="6E6733A0"/>
    <w:rsid w:val="6E6E3938"/>
    <w:rsid w:val="6E9C74ED"/>
    <w:rsid w:val="6EF72976"/>
    <w:rsid w:val="6F795A80"/>
    <w:rsid w:val="6F7C1D2E"/>
    <w:rsid w:val="6F8E0407"/>
    <w:rsid w:val="6FCE4816"/>
    <w:rsid w:val="6FDD069F"/>
    <w:rsid w:val="702B4D16"/>
    <w:rsid w:val="70AA6621"/>
    <w:rsid w:val="7111480F"/>
    <w:rsid w:val="71261F49"/>
    <w:rsid w:val="712E6956"/>
    <w:rsid w:val="71473612"/>
    <w:rsid w:val="71504F32"/>
    <w:rsid w:val="7152309F"/>
    <w:rsid w:val="71876217"/>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051169"/>
    <w:rsid w:val="784E7CA6"/>
    <w:rsid w:val="78574801"/>
    <w:rsid w:val="7873527F"/>
    <w:rsid w:val="790A6425"/>
    <w:rsid w:val="790E2D96"/>
    <w:rsid w:val="791B54B2"/>
    <w:rsid w:val="792D4E57"/>
    <w:rsid w:val="793C0F89"/>
    <w:rsid w:val="795A0A34"/>
    <w:rsid w:val="797339C3"/>
    <w:rsid w:val="79D57D57"/>
    <w:rsid w:val="79F00650"/>
    <w:rsid w:val="79FE1EE2"/>
    <w:rsid w:val="7A6242BF"/>
    <w:rsid w:val="7A794513"/>
    <w:rsid w:val="7A9B3811"/>
    <w:rsid w:val="7AB467DA"/>
    <w:rsid w:val="7AB9318D"/>
    <w:rsid w:val="7AE952D2"/>
    <w:rsid w:val="7B9F26AF"/>
    <w:rsid w:val="7BB607FE"/>
    <w:rsid w:val="7C7248A0"/>
    <w:rsid w:val="7C976D69"/>
    <w:rsid w:val="7CD752DA"/>
    <w:rsid w:val="7CDE40AB"/>
    <w:rsid w:val="7CF057E2"/>
    <w:rsid w:val="7D1548B5"/>
    <w:rsid w:val="7D841C49"/>
    <w:rsid w:val="7DF84014"/>
    <w:rsid w:val="7DFB7748"/>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6863</Words>
  <Characters>7704</Characters>
  <Lines>0</Lines>
  <Paragraphs>0</Paragraphs>
  <TotalTime>1</TotalTime>
  <ScaleCrop>false</ScaleCrop>
  <LinksUpToDate>false</LinksUpToDate>
  <CharactersWithSpaces>7716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3FA704EA53A347F88F4FA3E4AFD249C6</vt:lpwstr>
  </property>
</Properties>
</file>