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中国人民政治协商会议沙湾市委员会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widowControl/>
        <w:spacing w:line="540" w:lineRule="exact"/>
        <w:ind w:firstLine="64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政协的主要职能是政治协商、民主监督、参政议政。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hAnsi="黑体" w:eastAsia="仿宋_GB2312" w:cs="宋体"/>
          <w:bCs/>
          <w:color w:val="auto"/>
          <w:kern w:val="0"/>
          <w:sz w:val="32"/>
          <w:szCs w:val="32"/>
          <w:highlight w:val="none"/>
        </w:rPr>
        <w:t>1、政治协商是对沙湾</w:t>
      </w:r>
      <w:r>
        <w:rPr>
          <w:rFonts w:hint="eastAsia" w:ascii="仿宋_GB2312" w:hAnsi="黑体" w:eastAsia="仿宋_GB2312" w:cs="宋体"/>
          <w:bCs/>
          <w:color w:val="auto"/>
          <w:kern w:val="0"/>
          <w:sz w:val="32"/>
          <w:szCs w:val="32"/>
          <w:highlight w:val="none"/>
          <w:lang w:val="en-US" w:eastAsia="zh-CN"/>
        </w:rPr>
        <w:t>市</w:t>
      </w:r>
      <w:r>
        <w:rPr>
          <w:rFonts w:hint="eastAsia" w:ascii="仿宋_GB2312" w:hAnsi="黑体" w:eastAsia="仿宋_GB2312" w:cs="宋体"/>
          <w:bCs/>
          <w:color w:val="auto"/>
          <w:kern w:val="0"/>
          <w:sz w:val="32"/>
          <w:szCs w:val="32"/>
          <w:highlight w:val="none"/>
        </w:rPr>
        <w:t>的大政方针以及政治、经济、</w:t>
      </w:r>
      <w:r>
        <w:rPr>
          <w:rFonts w:hint="eastAsia" w:ascii="仿宋_GB2312" w:hAnsi="黑体" w:eastAsia="仿宋_GB2312" w:cs="宋体"/>
          <w:bCs/>
          <w:color w:val="auto"/>
          <w:kern w:val="0"/>
          <w:sz w:val="32"/>
          <w:szCs w:val="32"/>
          <w:highlight w:val="none"/>
          <w:lang w:val="en-US" w:eastAsia="zh-CN"/>
        </w:rPr>
        <w:t>文</w:t>
      </w:r>
      <w:r>
        <w:rPr>
          <w:rFonts w:hint="eastAsia" w:ascii="仿宋_GB2312" w:hAnsi="黑体" w:eastAsia="仿宋_GB2312" w:cs="宋体"/>
          <w:bCs/>
          <w:color w:val="auto"/>
          <w:kern w:val="0"/>
          <w:sz w:val="32"/>
          <w:szCs w:val="32"/>
          <w:highlight w:val="none"/>
        </w:rPr>
        <w:t>化和社会生活中的重要问题在决策之前进行协商。</w:t>
      </w:r>
      <w:r>
        <w:rPr>
          <w:rFonts w:hint="eastAsia" w:ascii="仿宋_GB2312" w:hAnsi="黑体" w:eastAsia="仿宋_GB2312" w:cs="宋体"/>
          <w:bCs/>
          <w:color w:val="auto"/>
          <w:kern w:val="0"/>
          <w:sz w:val="32"/>
          <w:szCs w:val="32"/>
          <w:highlight w:val="none"/>
          <w:lang w:val="en-US" w:eastAsia="zh-CN"/>
        </w:rPr>
        <w:t>市</w:t>
      </w:r>
      <w:r>
        <w:rPr>
          <w:rFonts w:hint="eastAsia" w:ascii="仿宋_GB2312" w:hAnsi="黑体" w:eastAsia="仿宋_GB2312" w:cs="宋体"/>
          <w:bCs/>
          <w:color w:val="auto"/>
          <w:kern w:val="0"/>
          <w:sz w:val="32"/>
          <w:szCs w:val="32"/>
          <w:highlight w:val="none"/>
        </w:rPr>
        <w:t>政协委员会根据</w:t>
      </w:r>
      <w:r>
        <w:rPr>
          <w:rFonts w:hint="eastAsia" w:ascii="仿宋_GB2312" w:hAnsi="黑体" w:eastAsia="仿宋_GB2312" w:cs="宋体"/>
          <w:bCs/>
          <w:color w:val="auto"/>
          <w:kern w:val="0"/>
          <w:sz w:val="32"/>
          <w:szCs w:val="32"/>
          <w:highlight w:val="none"/>
          <w:lang w:val="en-US" w:eastAsia="zh-CN"/>
        </w:rPr>
        <w:t>市</w:t>
      </w:r>
      <w:r>
        <w:rPr>
          <w:rFonts w:hint="eastAsia" w:ascii="仿宋_GB2312" w:hAnsi="黑体" w:eastAsia="仿宋_GB2312" w:cs="宋体"/>
          <w:bCs/>
          <w:color w:val="auto"/>
          <w:kern w:val="0"/>
          <w:sz w:val="32"/>
          <w:szCs w:val="32"/>
          <w:highlight w:val="none"/>
        </w:rPr>
        <w:t>委、人大、政府、民主党派、人民团体的提</w:t>
      </w:r>
      <w:r>
        <w:rPr>
          <w:rFonts w:hint="eastAsia" w:ascii="仿宋_GB2312" w:hAnsi="黑体" w:eastAsia="仿宋_GB2312" w:cs="宋体"/>
          <w:bCs/>
          <w:color w:val="auto"/>
          <w:kern w:val="0"/>
          <w:sz w:val="32"/>
          <w:szCs w:val="32"/>
          <w:highlight w:val="none"/>
          <w:lang w:val="en-US" w:eastAsia="zh-CN"/>
        </w:rPr>
        <w:t>议，</w:t>
      </w:r>
      <w:r>
        <w:rPr>
          <w:rFonts w:hint="eastAsia" w:ascii="仿宋_GB2312" w:hAnsi="黑体" w:eastAsia="仿宋_GB2312" w:cs="宋体"/>
          <w:bCs/>
          <w:color w:val="auto"/>
          <w:kern w:val="0"/>
          <w:sz w:val="32"/>
          <w:szCs w:val="32"/>
          <w:highlight w:val="none"/>
        </w:rPr>
        <w:t>举行有团体的负责人和各族各界的代表参加的会议进行</w:t>
      </w:r>
      <w:r>
        <w:rPr>
          <w:rFonts w:hint="eastAsia" w:ascii="仿宋_GB2312" w:hAnsi="黑体" w:eastAsia="仿宋_GB2312" w:cs="宋体"/>
          <w:bCs/>
          <w:color w:val="auto"/>
          <w:kern w:val="0"/>
          <w:sz w:val="32"/>
          <w:szCs w:val="32"/>
          <w:highlight w:val="none"/>
          <w:lang w:val="en-US" w:eastAsia="zh-CN"/>
        </w:rPr>
        <w:t>协商。</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lang w:val="en-US" w:eastAsia="zh-CN"/>
        </w:rPr>
        <w:t xml:space="preserve">    </w:t>
      </w:r>
      <w:r>
        <w:rPr>
          <w:rFonts w:hint="eastAsia" w:ascii="仿宋_GB2312" w:hAnsi="黑体" w:eastAsia="仿宋_GB2312" w:cs="宋体"/>
          <w:bCs/>
          <w:color w:val="auto"/>
          <w:kern w:val="0"/>
          <w:sz w:val="32"/>
          <w:szCs w:val="32"/>
          <w:highlight w:val="none"/>
        </w:rPr>
        <w:t>2、民主监督是对国家宪法、法律和法规的实施，重大</w:t>
      </w:r>
      <w:r>
        <w:rPr>
          <w:rFonts w:hint="eastAsia" w:ascii="仿宋_GB2312" w:hAnsi="黑体" w:eastAsia="仿宋_GB2312" w:cs="宋体"/>
          <w:bCs/>
          <w:color w:val="auto"/>
          <w:kern w:val="0"/>
          <w:sz w:val="32"/>
          <w:szCs w:val="32"/>
          <w:highlight w:val="none"/>
          <w:lang w:val="en-US" w:eastAsia="zh-CN"/>
        </w:rPr>
        <w:t>方</w:t>
      </w:r>
      <w:r>
        <w:rPr>
          <w:rFonts w:hint="eastAsia" w:ascii="仿宋_GB2312" w:hAnsi="黑体" w:eastAsia="仿宋_GB2312" w:cs="宋体"/>
          <w:bCs/>
          <w:color w:val="auto"/>
          <w:kern w:val="0"/>
          <w:sz w:val="32"/>
          <w:szCs w:val="32"/>
          <w:highlight w:val="none"/>
        </w:rPr>
        <w:t>针政策的贯彻执行，国家机关及其工作人员的工作，通过</w:t>
      </w:r>
      <w:r>
        <w:rPr>
          <w:rFonts w:hint="eastAsia" w:ascii="仿宋_GB2312" w:hAnsi="黑体" w:eastAsia="仿宋_GB2312" w:cs="宋体"/>
          <w:bCs/>
          <w:color w:val="auto"/>
          <w:kern w:val="0"/>
          <w:sz w:val="32"/>
          <w:szCs w:val="32"/>
          <w:highlight w:val="none"/>
          <w:lang w:val="en-US" w:eastAsia="zh-CN"/>
        </w:rPr>
        <w:t>建议和批评进项监督。</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lang w:val="en-US" w:eastAsia="zh-CN"/>
        </w:rPr>
        <w:t xml:space="preserve">    </w:t>
      </w:r>
      <w:r>
        <w:rPr>
          <w:rFonts w:hint="eastAsia" w:ascii="仿宋_GB2312" w:hAnsi="黑体" w:eastAsia="仿宋_GB2312" w:cs="宋体"/>
          <w:bCs/>
          <w:color w:val="auto"/>
          <w:kern w:val="0"/>
          <w:sz w:val="32"/>
          <w:szCs w:val="32"/>
          <w:highlight w:val="none"/>
        </w:rPr>
        <w:t>3、参政议政，是政治协商、民主监督的拓展和延伸</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参政</w:t>
      </w:r>
      <w:r>
        <w:rPr>
          <w:rFonts w:hint="eastAsia" w:ascii="仿宋_GB2312" w:hAnsi="黑体" w:eastAsia="仿宋_GB2312" w:cs="宋体"/>
          <w:bCs/>
          <w:color w:val="auto"/>
          <w:kern w:val="0"/>
          <w:sz w:val="32"/>
          <w:szCs w:val="32"/>
          <w:highlight w:val="none"/>
        </w:rPr>
        <w:t>议政的内容与形式除政治协商和民主监督规定的内容和</w:t>
      </w:r>
      <w:r>
        <w:rPr>
          <w:rFonts w:hint="eastAsia" w:ascii="仿宋_GB2312" w:hAnsi="黑体" w:eastAsia="仿宋_GB2312" w:cs="宋体"/>
          <w:bCs/>
          <w:color w:val="auto"/>
          <w:kern w:val="0"/>
          <w:sz w:val="32"/>
          <w:szCs w:val="32"/>
          <w:highlight w:val="none"/>
          <w:lang w:val="en-US" w:eastAsia="zh-CN"/>
        </w:rPr>
        <w:t>形式</w:t>
      </w:r>
      <w:r>
        <w:rPr>
          <w:rFonts w:hint="eastAsia" w:ascii="仿宋_GB2312" w:hAnsi="黑体" w:eastAsia="仿宋_GB2312" w:cs="宋体"/>
          <w:bCs/>
          <w:color w:val="auto"/>
          <w:kern w:val="0"/>
          <w:sz w:val="32"/>
          <w:szCs w:val="32"/>
          <w:highlight w:val="none"/>
        </w:rPr>
        <w:t>外，包括选择人民群众关心，党政部门重视，政协有条</w:t>
      </w:r>
      <w:r>
        <w:rPr>
          <w:rFonts w:hint="eastAsia" w:ascii="仿宋_GB2312" w:hAnsi="黑体" w:eastAsia="仿宋_GB2312" w:cs="宋体"/>
          <w:bCs/>
          <w:color w:val="auto"/>
          <w:kern w:val="0"/>
          <w:sz w:val="32"/>
          <w:szCs w:val="32"/>
          <w:highlight w:val="none"/>
          <w:lang w:val="en-US" w:eastAsia="zh-CN"/>
        </w:rPr>
        <w:t>件做</w:t>
      </w:r>
      <w:r>
        <w:rPr>
          <w:rFonts w:hint="eastAsia" w:ascii="仿宋_GB2312" w:hAnsi="黑体" w:eastAsia="仿宋_GB2312" w:cs="宋体"/>
          <w:bCs/>
          <w:color w:val="auto"/>
          <w:kern w:val="0"/>
          <w:sz w:val="32"/>
          <w:szCs w:val="32"/>
          <w:highlight w:val="none"/>
        </w:rPr>
        <w:t>的课题，组织调查和研究，积极主动地向党政领导机关提出建议性的意见;通过多种方式，广开言路、广开才路，充分发挥委员的专长和作用，为改革开放和社会主义现代化建设献计献策。</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这三项主要职能是各党派团体、各族各界人士在中国政治体制中参与国事、发挥作用的重要内容和基本形式，体现了人民政协的性质和特点，是人民政协区别于其他政治组织的重要标志。</w:t>
      </w:r>
      <w:r>
        <w:rPr>
          <w:rFonts w:hint="eastAsia" w:ascii="仿宋_GB2312" w:hAnsi="宋体" w:eastAsia="仿宋_GB2312" w:cs="宋体"/>
          <w:bCs/>
          <w:color w:val="auto"/>
          <w:kern w:val="0"/>
          <w:sz w:val="32"/>
          <w:szCs w:val="32"/>
          <w:highlight w:val="none"/>
        </w:rPr>
        <w:t xml:space="preserve"> </w:t>
      </w:r>
      <w:r>
        <w:rPr>
          <w:rFonts w:ascii="楷体_GB2312" w:hAnsi="楷体_GB2312" w:eastAsia="楷体_GB2312" w:cs="楷体_GB2312"/>
          <w:b/>
          <w:bCs/>
          <w:kern w:val="0"/>
          <w:sz w:val="32"/>
          <w:szCs w:val="32"/>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中国人民政治协商会议沙湾市委员会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val="en-US" w:eastAsia="zh-CN"/>
        </w:rPr>
        <w:t>政协办公室、政协联络议事委办公室、政协文史资料中心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411.92万元，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411.92万元，使用非财政拨款结余0.00万元，年初结转和结余0.00万元。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411.92万元，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411.92万元，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减少25.54万元</w:t>
      </w:r>
      <w:r>
        <w:rPr>
          <w:rFonts w:hint="eastAsia" w:ascii="仿宋_GB2312" w:eastAsia="仿宋_GB2312"/>
          <w:color w:val="auto"/>
          <w:spacing w:val="0"/>
          <w:sz w:val="32"/>
          <w:szCs w:val="32"/>
          <w:highlight w:val="none"/>
          <w:lang w:eastAsia="zh-CN"/>
        </w:rPr>
        <w:t>，下降5.84%，主要原因是：</w:t>
      </w:r>
      <w:r>
        <w:rPr>
          <w:rFonts w:hint="eastAsia" w:ascii="仿宋_GB2312" w:eastAsia="仿宋_GB2312"/>
          <w:color w:val="auto"/>
          <w:spacing w:val="0"/>
          <w:sz w:val="32"/>
          <w:szCs w:val="32"/>
          <w:highlight w:val="none"/>
          <w:lang w:val="en-US" w:eastAsia="zh-CN"/>
        </w:rPr>
        <w:t>上年度收支出中包含了以前年度会议费收支，本年度不存在消化以前年度会议费收支</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411.92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411.92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本年支出411.92万元，其中：基本支出392.12万元，占95.19%；项目支出19.80万元，占4.81%；上缴上级支出0.00万元，占0.00%；经营支出0.00万元，占0.00%；对附属单位补助支出0.00万元，占0.00%。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411.92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411.92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411.92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411.92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减少25.54万元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下降5.84%,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上年度收支出中包含了以前年度会议费收支，本年度不存在消化以前年度会议费收支</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377.54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411.92</w:t>
      </w:r>
      <w:r>
        <w:rPr>
          <w:rFonts w:hint="eastAsia" w:ascii="仿宋_GB2312" w:eastAsia="仿宋_GB2312"/>
          <w:color w:val="auto"/>
          <w:spacing w:val="0"/>
          <w:sz w:val="32"/>
          <w:szCs w:val="32"/>
          <w:highlight w:val="none"/>
          <w:lang w:eastAsia="zh-CN"/>
        </w:rPr>
        <w:t>万元，预决算差异率9.11%，主要原因是：</w:t>
      </w:r>
      <w:r>
        <w:rPr>
          <w:rFonts w:hint="eastAsia" w:ascii="仿宋_GB2312" w:eastAsia="仿宋_GB2312"/>
          <w:color w:val="auto"/>
          <w:spacing w:val="0"/>
          <w:sz w:val="32"/>
          <w:szCs w:val="32"/>
          <w:highlight w:val="none"/>
          <w:lang w:val="en-US" w:eastAsia="zh-CN"/>
        </w:rPr>
        <w:t>本年度进行了人员考核调资、职务晋升调资</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2023年度一般公共预算财政拨款支出411.92万元，占本年支出合计的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减少25.54万元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下降5.84%,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上年度收支出中包含了以前年度会议费收支，本年度不存在消化以前年度会议费收支</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377.54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411.92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本年度进行了人员考核调资、职务晋升调资</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309.93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75.24%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49.73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18.56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4.51%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23.70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5.75%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2.43%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1.一般公共服务支出（类）政协事务（款）政协会议（项）:支出决算数为4.80万元，比上年决算增加4.80万元，增长100%，主要原因是：本年度对会议经费功能科目进行调整，实际支出为会议费支出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2.卫生健康支出（类）行政事业单位医疗（款）行政单位医疗（项）:支出决算数为12.03万元，比上年决算减少17.83万元，下降59.71%，主要原因是：医保政策变化，退休人员退休后，不再需要缴纳基本医疗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1.17万元，比上年决算减少0.17万元，下降12.69%，主要原因是：上年末调整一名事业人员工资，专业技术岗工资调整为管理岗工资，使得基本医疗基数调减，基本医疗决算比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4.卫生健康支出（类）行政事业单位医疗（款）公务员医疗补助（项）:支出决算数为5.36万元，比上年决算减少8.48万元，下降61.27%，主要原因是：医保政策变化，行政退休人员退休后，不再需要缴纳公务员医疗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23.70万元，比上年决算增加1.93万元，增长8.87%，主要原因是：人员基础工资调整增加对应住房公积金基数调整增加，故住房公积金支出增加</w:t>
      </w:r>
      <w:r>
        <w:rPr>
          <w:rFonts w:hint="eastAsia" w:ascii="仿宋_GB2312" w:hAnsi="仿宋_GB2312" w:eastAsia="仿宋_GB2312" w:cs="仿宋_GB2312"/>
          <w:color w:val="auto"/>
          <w:kern w:val="2"/>
          <w:sz w:val="32"/>
          <w:szCs w:val="32"/>
          <w:highlight w:val="none"/>
          <w:lang w:val="zh-CN" w:eastAsia="zh-CN" w:bidi="ar-SA"/>
        </w:rPr>
        <w:t>。</w:t>
      </w:r>
    </w:p>
    <w:p>
      <w:pPr>
        <w:spacing w:line="580" w:lineRule="exact"/>
        <w:ind w:firstLine="64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6.一般公共服务支出（类）政协事务（款）事业运行（项）:支出决算数为21.49万元，比上年决算增加21.49万元，增长100%，主要原因是：</w:t>
      </w:r>
      <w:r>
        <w:rPr>
          <w:rFonts w:hint="eastAsia" w:ascii="仿宋_GB2312" w:eastAsia="仿宋_GB2312"/>
          <w:color w:val="auto"/>
          <w:sz w:val="32"/>
          <w:szCs w:val="32"/>
          <w:lang w:val="en-US" w:eastAsia="zh-CN"/>
        </w:rPr>
        <w:t>2022年决算事业运行合并在行政运行中支出，2023年决算事业运行和行政运行经费分开单独支出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7.社会保障和就业支出（类）行政事业单位养老支出（款）行政单位离退休（项）:支出决算数为19.30万元，比上年决算增加7.20万元，增长59.50%，主要原因是：本年发放退休人员2023年绩效工资,且绩效工资调幅较大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一般公共服务支出（类）政协事务（款）其他政协事务支出（项）:支出决算数为5.00万元，比上年决算减少9.64万元，下降65.85%，主要原因是：上年度根据预算要求将政协会议费支出列入了其他政协事务支出的功能科目中，本年度其他政协事务支出只包括基层政协补助经费，所以本年其他政协事务支出下降</w:t>
      </w:r>
      <w:r>
        <w:rPr>
          <w:rFonts w:hint="eastAsia" w:ascii="仿宋_GB2312" w:hAnsi="仿宋_GB2312" w:eastAsia="仿宋_GB2312" w:cs="仿宋_GB2312"/>
          <w:color w:val="auto"/>
          <w:kern w:val="2"/>
          <w:sz w:val="32"/>
          <w:szCs w:val="32"/>
          <w:highlight w:val="none"/>
          <w:lang w:val="zh-CN" w:eastAsia="zh-CN" w:bidi="ar-SA"/>
        </w:rPr>
        <w:t>。</w:t>
      </w:r>
    </w:p>
    <w:p>
      <w:pPr>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9.其他支出（类）其他支出（款）其他支出（项）:支出决算数为10.00万元，比上年决算减少3.41万元，下降25.43%，主要原因是：上年度其他支出中包含了以前年度支出的专项工作经费，因此决算减少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政协事务（款）行政运行（项）:支出决算数为278.64万元，比上年决算减少27.25万元，下降8.91%，主要原因是：上年支出中包含了以前年度项目经费及会议费支出，本年度为正常支出，因此本年支出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11.社会保障和就业支出（类）行政事业单位养老支出（款）机关事业单位基本养老保险缴费支出（项）:支出决算数为30.43万元，比上年决算增加5.82万元，增长23.65%，主要原因是：</w:t>
      </w:r>
      <w:r>
        <w:rPr>
          <w:rFonts w:hint="eastAsia" w:ascii="仿宋_GB2312" w:eastAsia="仿宋_GB2312"/>
          <w:color w:val="auto"/>
          <w:spacing w:val="0"/>
          <w:sz w:val="32"/>
          <w:szCs w:val="32"/>
          <w:highlight w:val="none"/>
          <w:lang w:val="en-US" w:eastAsia="zh-CN"/>
        </w:rPr>
        <w:t>工资调整、</w:t>
      </w:r>
      <w:r>
        <w:rPr>
          <w:rFonts w:hint="eastAsia" w:ascii="仿宋_GB2312" w:hAnsi="仿宋_GB2312" w:eastAsia="仿宋_GB2312" w:cs="仿宋_GB2312"/>
          <w:color w:val="auto"/>
          <w:kern w:val="2"/>
          <w:sz w:val="32"/>
          <w:szCs w:val="32"/>
          <w:highlight w:val="none"/>
          <w:lang w:val="en-US" w:eastAsia="zh-CN" w:bidi="ar-SA"/>
        </w:rPr>
        <w:t>养老保险</w:t>
      </w:r>
      <w:r>
        <w:rPr>
          <w:rFonts w:hint="eastAsia" w:ascii="仿宋_GB2312" w:eastAsia="仿宋_GB2312"/>
          <w:color w:val="auto"/>
          <w:spacing w:val="0"/>
          <w:sz w:val="32"/>
          <w:szCs w:val="32"/>
          <w:highlight w:val="none"/>
          <w:lang w:val="en-US" w:eastAsia="zh-CN"/>
        </w:rPr>
        <w:t>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392.12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357.13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基本工资、津贴补贴、奖金、绩效工资、机关事业单位基本养老保险缴费、职工基本医疗保险缴费、公务员医疗补助缴费、其他社会保障缴费、住房公积金、退休费、抚恤金、生活补助。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34.99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办公费、工会经费、公务用车运行维护费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“三公”经费支出15.88万元，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增加7.14万元，</w:t>
      </w:r>
      <w:r>
        <w:rPr>
          <w:rFonts w:hint="eastAsia" w:ascii="仿宋_GB2312" w:eastAsia="仿宋_GB2312"/>
          <w:color w:val="auto"/>
          <w:spacing w:val="0"/>
          <w:sz w:val="32"/>
          <w:szCs w:val="32"/>
          <w:highlight w:val="none"/>
          <w:lang w:val="en-US" w:eastAsia="zh-CN"/>
        </w:rPr>
        <w:t>增长81.69%,</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本年支付了以前年度公车维修费，车辆运行维护费用增加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因公出国（境）费支出；公务用车购置及运行维护费支出15.88万元，占100.00%，比上年增加7.14万元，</w:t>
      </w:r>
      <w:r>
        <w:rPr>
          <w:rFonts w:hint="eastAsia" w:ascii="仿宋_GB2312" w:eastAsia="仿宋_GB2312"/>
          <w:color w:val="auto"/>
          <w:spacing w:val="0"/>
          <w:sz w:val="32"/>
          <w:szCs w:val="32"/>
          <w:highlight w:val="none"/>
          <w:lang w:val="en-US" w:eastAsia="zh-CN"/>
        </w:rPr>
        <w:t>增长81.69%,</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本年支付了以前年度公车维修费，车辆运行维护费用增加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公务用车购置及运行维护费15.88万元，其中：公务用车购置费0.00万元，公务用车运行维护费15.88万元。公务用车运行维护费开支内容包括车辆维修</w:t>
      </w:r>
      <w:r>
        <w:rPr>
          <w:rFonts w:hint="eastAsia" w:ascii="仿宋_GB2312" w:eastAsia="仿宋_GB2312"/>
          <w:color w:val="auto"/>
          <w:sz w:val="32"/>
          <w:szCs w:val="32"/>
          <w:highlight w:val="none"/>
          <w:lang w:val="en-US" w:eastAsia="zh-CN"/>
        </w:rPr>
        <w:t>费</w:t>
      </w:r>
      <w:r>
        <w:rPr>
          <w:rFonts w:hint="eastAsia" w:ascii="仿宋_GB2312" w:eastAsia="仿宋_GB2312"/>
          <w:color w:val="auto"/>
          <w:sz w:val="32"/>
          <w:szCs w:val="32"/>
          <w:highlight w:val="none"/>
          <w:lang w:val="zh-CN" w:eastAsia="zh-CN"/>
        </w:rPr>
        <w:t>、加油费用。公务用车购置数0辆，公务用车保有量5辆。国有资产占用情况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预算数15.88万元，决算数15.88万元，预决算差异率0.00%，主要原因是：财政拨款“三公”经费支出预算数和决算数无变化，预决算无差异。其中：因公出国（境）费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0.00万元，决算数0.00万元，预决算差异率0.00%，主要原因是：财政拨款“三公”经费支出预算数和决算数无变化，预决算无差异；公务用车购置费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预算数15.88万元，决算数15.88万元，预决算差异率0.00%，主要原因是：财政拨款“三公”经费支出预算数和决算数无变化，预决算无差异；公务接待费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中国人民政治协商会议沙湾市委员会（行政单位和参照公务员法管理事业单位）机关运行经费支出34.99万元，</w:t>
      </w:r>
      <w:r>
        <w:rPr>
          <w:rFonts w:hint="eastAsia" w:ascii="仿宋_GB2312" w:hAnsi="仿宋_GB2312" w:eastAsia="仿宋_GB2312" w:cs="仿宋_GB2312"/>
          <w:color w:val="auto"/>
          <w:sz w:val="32"/>
          <w:szCs w:val="32"/>
          <w:highlight w:val="none"/>
          <w:lang w:val="zh-CN" w:eastAsia="zh-CN"/>
        </w:rPr>
        <w:t>比上年增加8.27万元，增长30.95%，主要原因是：</w:t>
      </w:r>
      <w:r>
        <w:rPr>
          <w:rFonts w:hint="eastAsia" w:ascii="仿宋_GB2312" w:hAnsi="仿宋_GB2312" w:eastAsia="仿宋_GB2312" w:cs="仿宋_GB2312"/>
          <w:color w:val="auto"/>
          <w:sz w:val="32"/>
          <w:szCs w:val="32"/>
          <w:highlight w:val="none"/>
          <w:lang w:val="en-US" w:eastAsia="zh-CN"/>
        </w:rPr>
        <w:t>机关运行经费中</w:t>
      </w:r>
      <w:r>
        <w:rPr>
          <w:rFonts w:hint="eastAsia" w:ascii="仿宋_GB2312" w:eastAsia="仿宋_GB2312"/>
          <w:color w:val="auto"/>
          <w:sz w:val="32"/>
          <w:szCs w:val="32"/>
          <w:highlight w:val="none"/>
          <w:lang w:val="en-US" w:eastAsia="zh-CN"/>
        </w:rPr>
        <w:t>包含本年支付的以前年度公车维修费。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207.71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屋0.00平方米，价值0.00万元。车辆5辆，价值158.25万元，其中：副部（省）级及以上领导用车0辆、主要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用车0辆、其他用车5辆，其他用车主要是：</w:t>
      </w:r>
      <w:r>
        <w:rPr>
          <w:rFonts w:hint="eastAsia" w:ascii="仿宋_GB2312" w:hAnsi="仿宋_GB2312" w:eastAsia="仿宋_GB2312" w:cs="仿宋_GB2312"/>
          <w:color w:val="auto"/>
          <w:sz w:val="32"/>
          <w:szCs w:val="32"/>
          <w:highlight w:val="none"/>
          <w:lang w:val="en-US" w:eastAsia="zh-CN"/>
        </w:rPr>
        <w:t>一般公务</w:t>
      </w:r>
      <w:r>
        <w:rPr>
          <w:rFonts w:hint="eastAsia" w:ascii="仿宋_GB2312" w:hAnsi="仿宋_GB2312" w:eastAsia="仿宋_GB2312" w:cs="仿宋_GB2312"/>
          <w:color w:val="auto"/>
          <w:sz w:val="32"/>
          <w:szCs w:val="32"/>
          <w:highlight w:val="none"/>
          <w:lang w:val="zh-CN" w:eastAsia="zh-CN"/>
        </w:rPr>
        <w:t>用车</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预算总额411.92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实际执行总额411.92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其中sm项目1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,不予以公开。</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w:t>
      </w:r>
      <w:bookmarkStart w:id="48" w:name="_GoBack"/>
      <w:bookmarkEnd w:id="48"/>
      <w:r>
        <w:rPr>
          <w:rFonts w:hint="eastAsia" w:ascii="仿宋_GB2312" w:eastAsia="仿宋_GB2312"/>
          <w:color w:val="auto"/>
          <w:sz w:val="32"/>
          <w:szCs w:val="32"/>
          <w:highlight w:val="none"/>
          <w:lang w:val="en-US" w:eastAsia="zh-CN"/>
        </w:rPr>
        <w:t>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具体项目自评情况附项目支出绩效自评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bookmarkStart w:id="30" w:name="_Toc3250"/>
      <w:bookmarkStart w:id="31" w:name="_Toc24143"/>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本单位授予中小企业合同金额、授予小微企业合同金额为0万元，原因是本年度未发生政府采购货物、工程及劳务支出;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FF0000"/>
          <w:sz w:val="32"/>
          <w:szCs w:val="32"/>
          <w:highlight w:val="none"/>
        </w:rPr>
      </w:pPr>
      <w:r>
        <w:rPr>
          <w:rFonts w:hint="eastAsia" w:ascii="仿宋_GB2312" w:eastAsia="仿宋_GB2312"/>
          <w:color w:val="auto"/>
          <w:sz w:val="32"/>
          <w:szCs w:val="32"/>
          <w:highlight w:val="none"/>
          <w:lang w:val="en-US" w:eastAsia="zh-CN"/>
        </w:rPr>
        <w:t>本单位sm项目1个，全年预算数10万元，全年执行数10万元。不予以公开绩效自评表。</w:t>
      </w: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NTk2MzMzOWQxNzUwYzkwNjMyY2E2MWZlNmEyNjc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1C545A"/>
    <w:rsid w:val="053F5AE6"/>
    <w:rsid w:val="057C0B0F"/>
    <w:rsid w:val="05EF4B48"/>
    <w:rsid w:val="05F76ECA"/>
    <w:rsid w:val="06183A24"/>
    <w:rsid w:val="06792773"/>
    <w:rsid w:val="06C122C0"/>
    <w:rsid w:val="06FD75CA"/>
    <w:rsid w:val="07093795"/>
    <w:rsid w:val="07804730"/>
    <w:rsid w:val="079052BE"/>
    <w:rsid w:val="08145C21"/>
    <w:rsid w:val="08422688"/>
    <w:rsid w:val="085854ED"/>
    <w:rsid w:val="0879188F"/>
    <w:rsid w:val="08A0354D"/>
    <w:rsid w:val="08CD4C49"/>
    <w:rsid w:val="09114954"/>
    <w:rsid w:val="095A5B83"/>
    <w:rsid w:val="096466E3"/>
    <w:rsid w:val="0968304D"/>
    <w:rsid w:val="099D6262"/>
    <w:rsid w:val="09AF3D17"/>
    <w:rsid w:val="0A7809B7"/>
    <w:rsid w:val="0A7B4867"/>
    <w:rsid w:val="0A840954"/>
    <w:rsid w:val="0A861D6B"/>
    <w:rsid w:val="0A9928ED"/>
    <w:rsid w:val="0AC60D11"/>
    <w:rsid w:val="0B1D47D8"/>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0E47400"/>
    <w:rsid w:val="112E58D0"/>
    <w:rsid w:val="11731CAC"/>
    <w:rsid w:val="119500A0"/>
    <w:rsid w:val="11C0733B"/>
    <w:rsid w:val="11D50D17"/>
    <w:rsid w:val="120E0809"/>
    <w:rsid w:val="123349E5"/>
    <w:rsid w:val="123663F2"/>
    <w:rsid w:val="127F665A"/>
    <w:rsid w:val="12F7068C"/>
    <w:rsid w:val="13E67CC3"/>
    <w:rsid w:val="14207DC0"/>
    <w:rsid w:val="14B932DA"/>
    <w:rsid w:val="150A66AF"/>
    <w:rsid w:val="154C1139"/>
    <w:rsid w:val="158C5B77"/>
    <w:rsid w:val="15CE5D11"/>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787663"/>
    <w:rsid w:val="1AD807E5"/>
    <w:rsid w:val="1B39345B"/>
    <w:rsid w:val="1BFB2A1F"/>
    <w:rsid w:val="1C015D4A"/>
    <w:rsid w:val="1C290ED5"/>
    <w:rsid w:val="1C317E4F"/>
    <w:rsid w:val="1C472464"/>
    <w:rsid w:val="1D22799A"/>
    <w:rsid w:val="1D5C1A72"/>
    <w:rsid w:val="1DAF458D"/>
    <w:rsid w:val="1DC270DA"/>
    <w:rsid w:val="1E086ACE"/>
    <w:rsid w:val="1E62130A"/>
    <w:rsid w:val="1E6A3A60"/>
    <w:rsid w:val="1E97358B"/>
    <w:rsid w:val="1EAA4A5F"/>
    <w:rsid w:val="1EE869A7"/>
    <w:rsid w:val="1F1C4B8E"/>
    <w:rsid w:val="1F3F37CF"/>
    <w:rsid w:val="1F6212AA"/>
    <w:rsid w:val="1FA15E62"/>
    <w:rsid w:val="1FED69B6"/>
    <w:rsid w:val="2064678E"/>
    <w:rsid w:val="20DC1AB9"/>
    <w:rsid w:val="20DD6197"/>
    <w:rsid w:val="212631E0"/>
    <w:rsid w:val="2138666F"/>
    <w:rsid w:val="21742080"/>
    <w:rsid w:val="21A13733"/>
    <w:rsid w:val="21A53757"/>
    <w:rsid w:val="21F82390"/>
    <w:rsid w:val="21F879E1"/>
    <w:rsid w:val="221236C6"/>
    <w:rsid w:val="22D7662C"/>
    <w:rsid w:val="23326B7F"/>
    <w:rsid w:val="234657D8"/>
    <w:rsid w:val="2380045B"/>
    <w:rsid w:val="23BC04D2"/>
    <w:rsid w:val="23EF1892"/>
    <w:rsid w:val="245E7F22"/>
    <w:rsid w:val="2483647E"/>
    <w:rsid w:val="24A32D55"/>
    <w:rsid w:val="24CE6D9A"/>
    <w:rsid w:val="25292727"/>
    <w:rsid w:val="252E5CA9"/>
    <w:rsid w:val="256F7692"/>
    <w:rsid w:val="25BA2154"/>
    <w:rsid w:val="25C8773F"/>
    <w:rsid w:val="26235823"/>
    <w:rsid w:val="264A7253"/>
    <w:rsid w:val="26E95BD0"/>
    <w:rsid w:val="26F0170C"/>
    <w:rsid w:val="26FE3B9A"/>
    <w:rsid w:val="27201D62"/>
    <w:rsid w:val="27286E73"/>
    <w:rsid w:val="274D624C"/>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9859A4"/>
    <w:rsid w:val="2CC206BE"/>
    <w:rsid w:val="2D1136DF"/>
    <w:rsid w:val="2D20606D"/>
    <w:rsid w:val="2D6729FE"/>
    <w:rsid w:val="2DB87198"/>
    <w:rsid w:val="2DB93C54"/>
    <w:rsid w:val="2E3D144C"/>
    <w:rsid w:val="2E891204"/>
    <w:rsid w:val="2F306B1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CFE7C0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5E58F7"/>
    <w:rsid w:val="3FB77A1D"/>
    <w:rsid w:val="3FD5683D"/>
    <w:rsid w:val="3FDC3674"/>
    <w:rsid w:val="3FED7F8A"/>
    <w:rsid w:val="40094AEF"/>
    <w:rsid w:val="405470BD"/>
    <w:rsid w:val="40794A29"/>
    <w:rsid w:val="40834692"/>
    <w:rsid w:val="40A76B7B"/>
    <w:rsid w:val="41431AD5"/>
    <w:rsid w:val="414B3C0F"/>
    <w:rsid w:val="417C1CE7"/>
    <w:rsid w:val="41900018"/>
    <w:rsid w:val="41944406"/>
    <w:rsid w:val="41AD4227"/>
    <w:rsid w:val="41CE128F"/>
    <w:rsid w:val="41DA6F12"/>
    <w:rsid w:val="42171FB1"/>
    <w:rsid w:val="42C10D7B"/>
    <w:rsid w:val="434E6957"/>
    <w:rsid w:val="43BA0E31"/>
    <w:rsid w:val="43C15147"/>
    <w:rsid w:val="43E14DD2"/>
    <w:rsid w:val="43F800E9"/>
    <w:rsid w:val="443A7E4B"/>
    <w:rsid w:val="444A7D08"/>
    <w:rsid w:val="452677DC"/>
    <w:rsid w:val="452F5B3A"/>
    <w:rsid w:val="454E7FD2"/>
    <w:rsid w:val="46061BDC"/>
    <w:rsid w:val="461404F8"/>
    <w:rsid w:val="46413018"/>
    <w:rsid w:val="464B7E04"/>
    <w:rsid w:val="468041AA"/>
    <w:rsid w:val="468123C6"/>
    <w:rsid w:val="46901EEE"/>
    <w:rsid w:val="469C74D2"/>
    <w:rsid w:val="47445515"/>
    <w:rsid w:val="474B4782"/>
    <w:rsid w:val="47831801"/>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AE77B7E"/>
    <w:rsid w:val="4B4C0111"/>
    <w:rsid w:val="4B8553A9"/>
    <w:rsid w:val="4BDB3730"/>
    <w:rsid w:val="4C200F7A"/>
    <w:rsid w:val="4C4B6BC9"/>
    <w:rsid w:val="4C54480D"/>
    <w:rsid w:val="4CA01650"/>
    <w:rsid w:val="4CEE3180"/>
    <w:rsid w:val="4D0F4AF6"/>
    <w:rsid w:val="4DF94F37"/>
    <w:rsid w:val="4E0A1DD5"/>
    <w:rsid w:val="4E0B0871"/>
    <w:rsid w:val="4E3160E5"/>
    <w:rsid w:val="4E4D37AF"/>
    <w:rsid w:val="4E8C6496"/>
    <w:rsid w:val="4EFD18DE"/>
    <w:rsid w:val="4F144236"/>
    <w:rsid w:val="4F3404DC"/>
    <w:rsid w:val="4F663C87"/>
    <w:rsid w:val="4F7E29A8"/>
    <w:rsid w:val="4F9E1FFC"/>
    <w:rsid w:val="50182592"/>
    <w:rsid w:val="50306480"/>
    <w:rsid w:val="50447CC2"/>
    <w:rsid w:val="50874A7C"/>
    <w:rsid w:val="50895EE7"/>
    <w:rsid w:val="50921B9D"/>
    <w:rsid w:val="50D16158"/>
    <w:rsid w:val="50DB5F45"/>
    <w:rsid w:val="51025EB1"/>
    <w:rsid w:val="51141503"/>
    <w:rsid w:val="51364E7A"/>
    <w:rsid w:val="513C450E"/>
    <w:rsid w:val="518D0ED5"/>
    <w:rsid w:val="525C687F"/>
    <w:rsid w:val="52A3740A"/>
    <w:rsid w:val="52F647F7"/>
    <w:rsid w:val="52F92565"/>
    <w:rsid w:val="53AE735E"/>
    <w:rsid w:val="53D03877"/>
    <w:rsid w:val="542F73CA"/>
    <w:rsid w:val="5430786D"/>
    <w:rsid w:val="545A1D2A"/>
    <w:rsid w:val="54C811C0"/>
    <w:rsid w:val="54E610DB"/>
    <w:rsid w:val="556A442D"/>
    <w:rsid w:val="55DA564E"/>
    <w:rsid w:val="55E816A3"/>
    <w:rsid w:val="5604127D"/>
    <w:rsid w:val="56044E6C"/>
    <w:rsid w:val="560B179E"/>
    <w:rsid w:val="56166703"/>
    <w:rsid w:val="56510474"/>
    <w:rsid w:val="56861525"/>
    <w:rsid w:val="56A93273"/>
    <w:rsid w:val="56BD550C"/>
    <w:rsid w:val="56E07045"/>
    <w:rsid w:val="56FF28AF"/>
    <w:rsid w:val="57540E7D"/>
    <w:rsid w:val="577B4878"/>
    <w:rsid w:val="57926973"/>
    <w:rsid w:val="57A02D2A"/>
    <w:rsid w:val="57D1482F"/>
    <w:rsid w:val="58175352"/>
    <w:rsid w:val="581F2200"/>
    <w:rsid w:val="583059FA"/>
    <w:rsid w:val="584A0929"/>
    <w:rsid w:val="58CD2491"/>
    <w:rsid w:val="591B41B2"/>
    <w:rsid w:val="59254A26"/>
    <w:rsid w:val="59326325"/>
    <w:rsid w:val="595C505B"/>
    <w:rsid w:val="595E55C3"/>
    <w:rsid w:val="596A10D9"/>
    <w:rsid w:val="596E7E20"/>
    <w:rsid w:val="5A5D23AA"/>
    <w:rsid w:val="5A60780B"/>
    <w:rsid w:val="5A910F28"/>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AC6272"/>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6D30B13"/>
    <w:rsid w:val="67134CEF"/>
    <w:rsid w:val="671F1ABD"/>
    <w:rsid w:val="67521A59"/>
    <w:rsid w:val="67C304AB"/>
    <w:rsid w:val="6837553F"/>
    <w:rsid w:val="683F0658"/>
    <w:rsid w:val="689C6793"/>
    <w:rsid w:val="68DB0208"/>
    <w:rsid w:val="68FB170C"/>
    <w:rsid w:val="691B3D98"/>
    <w:rsid w:val="693748F0"/>
    <w:rsid w:val="697B0E05"/>
    <w:rsid w:val="69846A0E"/>
    <w:rsid w:val="69AA1366"/>
    <w:rsid w:val="69AD798C"/>
    <w:rsid w:val="69D005C0"/>
    <w:rsid w:val="69D80B96"/>
    <w:rsid w:val="69F47AD7"/>
    <w:rsid w:val="6A2C39D4"/>
    <w:rsid w:val="6ADA3752"/>
    <w:rsid w:val="6B2E7907"/>
    <w:rsid w:val="6B68175F"/>
    <w:rsid w:val="6BFD799F"/>
    <w:rsid w:val="6C4A2E5A"/>
    <w:rsid w:val="6C8138D0"/>
    <w:rsid w:val="6CEF0725"/>
    <w:rsid w:val="6D4B2604"/>
    <w:rsid w:val="6D77358F"/>
    <w:rsid w:val="6D8030E4"/>
    <w:rsid w:val="6E0E35C4"/>
    <w:rsid w:val="6E0F7A08"/>
    <w:rsid w:val="6E3947F5"/>
    <w:rsid w:val="6E6733A0"/>
    <w:rsid w:val="6E681EE7"/>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A14F1C"/>
    <w:rsid w:val="71DA6992"/>
    <w:rsid w:val="727B234E"/>
    <w:rsid w:val="728A58B0"/>
    <w:rsid w:val="72D068C7"/>
    <w:rsid w:val="72E42ED8"/>
    <w:rsid w:val="72FC34C3"/>
    <w:rsid w:val="735F4CB9"/>
    <w:rsid w:val="73674C62"/>
    <w:rsid w:val="73845865"/>
    <w:rsid w:val="739B6D9E"/>
    <w:rsid w:val="73BC1D76"/>
    <w:rsid w:val="73FB6630"/>
    <w:rsid w:val="748D790E"/>
    <w:rsid w:val="74906E93"/>
    <w:rsid w:val="749820CC"/>
    <w:rsid w:val="74CE04EC"/>
    <w:rsid w:val="74E76DCD"/>
    <w:rsid w:val="751D7C0A"/>
    <w:rsid w:val="75722D56"/>
    <w:rsid w:val="7591046E"/>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7FD3D86"/>
    <w:rsid w:val="784E7CA6"/>
    <w:rsid w:val="78574801"/>
    <w:rsid w:val="7873527F"/>
    <w:rsid w:val="790A6425"/>
    <w:rsid w:val="790E2D96"/>
    <w:rsid w:val="7915135D"/>
    <w:rsid w:val="791B54B2"/>
    <w:rsid w:val="793C0F89"/>
    <w:rsid w:val="795A0A34"/>
    <w:rsid w:val="797339C3"/>
    <w:rsid w:val="79D57D57"/>
    <w:rsid w:val="79F00650"/>
    <w:rsid w:val="7A6242BF"/>
    <w:rsid w:val="7A794513"/>
    <w:rsid w:val="7A9B3811"/>
    <w:rsid w:val="7AB467DA"/>
    <w:rsid w:val="7AB9318D"/>
    <w:rsid w:val="7AE41526"/>
    <w:rsid w:val="7AE952D2"/>
    <w:rsid w:val="7B786A01"/>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6086</Words>
  <Characters>6766</Characters>
  <Lines>0</Lines>
  <Paragraphs>0</Paragraphs>
  <TotalTime>14</TotalTime>
  <ScaleCrop>false</ScaleCrop>
  <LinksUpToDate>false</LinksUpToDate>
  <CharactersWithSpaces>6788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2025-04-10T09:05:47Z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