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bookmarkStart w:id="19" w:name="_GoBack"/>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0" w:firstLineChars="0"/>
        <w:jc w:val="center"/>
        <w:rPr>
          <w:rFonts w:hint="eastAsia"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塔城地区沙湾市政务服务中心2023年智慧城市一期建设项目2022年还款资金</w:t>
      </w:r>
      <w:r>
        <w:rPr>
          <w:rFonts w:hint="eastAsia" w:ascii="方正小标宋简体" w:hAnsi="黑体" w:eastAsia="方正小标宋简体" w:cs="黑体"/>
          <w:bCs/>
          <w:color w:val="auto"/>
          <w:sz w:val="48"/>
          <w:szCs w:val="48"/>
        </w:rPr>
        <w:t>项目</w:t>
      </w:r>
    </w:p>
    <w:p>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rPr>
        <w:t>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480" w:lineRule="auto"/>
        <w:ind w:firstLine="1323" w:firstLineChars="441"/>
        <w:jc w:val="left"/>
        <w:rPr>
          <w:rFonts w:hint="eastAsia"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ascii="黑体" w:hAnsi="黑体" w:eastAsia="黑体" w:cs="仿宋_GB2312"/>
          <w:color w:val="auto"/>
          <w:sz w:val="30"/>
          <w:szCs w:val="30"/>
        </w:rPr>
        <w:t>2</w:t>
      </w:r>
      <w:r>
        <w:rPr>
          <w:rFonts w:hint="eastAsia" w:ascii="黑体" w:hAnsi="黑体" w:eastAsia="黑体" w:cs="仿宋_GB2312"/>
          <w:color w:val="auto"/>
          <w:sz w:val="30"/>
          <w:szCs w:val="30"/>
        </w:rPr>
        <w:t>0</w:t>
      </w:r>
      <w:r>
        <w:rPr>
          <w:rFonts w:hint="eastAsia" w:ascii="黑体" w:hAnsi="黑体" w:eastAsia="黑体" w:cs="仿宋_GB2312"/>
          <w:color w:val="auto"/>
          <w:sz w:val="30"/>
          <w:szCs w:val="30"/>
          <w:lang w:val="en-US" w:eastAsia="zh-CN"/>
        </w:rPr>
        <w:t>23年政务服务中心智慧城市一期建设项目2022年还款资金项</w:t>
      </w:r>
      <w:r>
        <w:rPr>
          <w:rFonts w:hint="eastAsia" w:ascii="黑体" w:hAnsi="黑体" w:eastAsia="黑体" w:cs="仿宋_GB2312"/>
          <w:color w:val="auto"/>
          <w:sz w:val="30"/>
          <w:szCs w:val="30"/>
        </w:rPr>
        <w:t>目</w:t>
      </w:r>
      <w:bookmarkEnd w:id="0"/>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沙湾市政务服务中心</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沙湾市人民政府</w:t>
      </w:r>
    </w:p>
    <w:p>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马兵</w:t>
      </w:r>
    </w:p>
    <w:p>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4</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28</w:t>
      </w:r>
      <w:r>
        <w:rPr>
          <w:rFonts w:hint="eastAsia" w:ascii="黑体" w:hAnsi="黑体" w:eastAsia="黑体" w:cs="仿宋_GB2312"/>
          <w:color w:val="auto"/>
          <w:sz w:val="30"/>
          <w:szCs w:val="30"/>
        </w:rPr>
        <w:t>日</w:t>
      </w:r>
    </w:p>
    <w:p>
      <w:pPr>
        <w:spacing w:line="480" w:lineRule="auto"/>
        <w:ind w:left="0" w:leftChars="0" w:firstLine="0" w:firstLineChars="0"/>
        <w:jc w:val="center"/>
        <w:rPr>
          <w:rFonts w:hint="eastAsia"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塔城地区沙湾市政务服务中心</w:t>
      </w:r>
      <w:r>
        <w:rPr>
          <w:rFonts w:hint="eastAsia" w:ascii="方正小标宋_GBK" w:hAnsi="黑体" w:eastAsia="方正小标宋_GBK" w:cs="黑体"/>
          <w:bCs/>
          <w:color w:val="auto"/>
          <w:sz w:val="44"/>
          <w:szCs w:val="44"/>
          <w:highlight w:val="none"/>
          <w:lang w:val="en-US" w:eastAsia="zh-CN"/>
        </w:rPr>
        <w:t>智慧城市一期建设项目2022年还款</w:t>
      </w:r>
      <w:r>
        <w:rPr>
          <w:rFonts w:hint="eastAsia" w:ascii="方正小标宋_GBK" w:hAnsi="黑体" w:eastAsia="方正小标宋_GBK" w:cs="黑体"/>
          <w:bCs/>
          <w:color w:val="auto"/>
          <w:sz w:val="44"/>
          <w:szCs w:val="44"/>
          <w:lang w:val="en-US" w:eastAsia="zh-CN"/>
        </w:rPr>
        <w:t>资金</w:t>
      </w:r>
      <w:r>
        <w:rPr>
          <w:rFonts w:hint="eastAsia" w:ascii="方正小标宋_GBK" w:hAnsi="黑体" w:eastAsia="方正小标宋_GBK" w:cs="黑体"/>
          <w:bCs/>
          <w:color w:val="auto"/>
          <w:sz w:val="44"/>
          <w:szCs w:val="44"/>
        </w:rPr>
        <w:t>项目支出</w:t>
      </w:r>
    </w:p>
    <w:p>
      <w:pPr>
        <w:spacing w:line="480" w:lineRule="auto"/>
        <w:ind w:left="0" w:leftChars="0" w:firstLine="0" w:firstLineChars="0"/>
        <w:jc w:val="center"/>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rPr>
        <w:t>绩效评价报告</w:t>
      </w:r>
    </w:p>
    <w:p>
      <w:pPr>
        <w:pStyle w:val="3"/>
        <w:pageBreakBefore w:val="0"/>
        <w:widowControl w:val="0"/>
        <w:kinsoku/>
        <w:wordWrap/>
        <w:topLinePunct w:val="0"/>
        <w:autoSpaceDE/>
        <w:autoSpaceDN/>
        <w:bidi w:val="0"/>
        <w:spacing w:line="520" w:lineRule="exact"/>
        <w:ind w:firstLine="640"/>
        <w:jc w:val="both"/>
        <w:textAlignment w:val="auto"/>
        <w:rPr>
          <w:color w:val="auto"/>
          <w:szCs w:val="32"/>
        </w:rPr>
      </w:pPr>
      <w:r>
        <w:rPr>
          <w:rFonts w:hint="eastAsia"/>
          <w:color w:val="auto"/>
          <w:szCs w:val="32"/>
        </w:rPr>
        <w:t>一、基本情况</w:t>
      </w:r>
    </w:p>
    <w:p>
      <w:pPr>
        <w:pStyle w:val="4"/>
        <w:pageBreakBefore w:val="0"/>
        <w:widowControl w:val="0"/>
        <w:kinsoku/>
        <w:wordWrap/>
        <w:topLinePunct w:val="0"/>
        <w:autoSpaceDE/>
        <w:autoSpaceDN/>
        <w:bidi w:val="0"/>
        <w:spacing w:line="520" w:lineRule="exact"/>
        <w:ind w:firstLine="643"/>
        <w:jc w:val="both"/>
        <w:textAlignment w:val="auto"/>
        <w:rPr>
          <w:rFonts w:ascii="楷体_GB2312" w:eastAsia="楷体_GB2312"/>
          <w:color w:val="auto"/>
          <w:szCs w:val="32"/>
        </w:rPr>
      </w:pPr>
      <w:r>
        <w:rPr>
          <w:rFonts w:hint="eastAsia" w:ascii="楷体_GB2312" w:eastAsia="楷体_GB2312"/>
          <w:color w:val="auto"/>
          <w:szCs w:val="32"/>
        </w:rPr>
        <w:t>（一）项目概况</w:t>
      </w:r>
    </w:p>
    <w:p>
      <w:pPr>
        <w:pageBreakBefore w:val="0"/>
        <w:widowControl w:val="0"/>
        <w:kinsoku/>
        <w:wordWrap/>
        <w:topLinePunct w:val="0"/>
        <w:autoSpaceDE/>
        <w:autoSpaceDN/>
        <w:bidi w:val="0"/>
        <w:spacing w:line="520" w:lineRule="exact"/>
        <w:jc w:val="both"/>
        <w:textAlignment w:val="auto"/>
        <w:rPr>
          <w:b/>
          <w:bCs/>
          <w:color w:val="auto"/>
          <w:sz w:val="32"/>
          <w:szCs w:val="32"/>
        </w:rPr>
      </w:pPr>
      <w:r>
        <w:rPr>
          <w:rFonts w:hint="eastAsia"/>
          <w:b/>
          <w:bCs/>
          <w:color w:val="auto"/>
          <w:sz w:val="32"/>
          <w:szCs w:val="32"/>
        </w:rPr>
        <w:t>1.项目背景</w:t>
      </w:r>
    </w:p>
    <w:p>
      <w:pPr>
        <w:pageBreakBefore w:val="0"/>
        <w:widowControl w:val="0"/>
        <w:kinsoku/>
        <w:wordWrap/>
        <w:topLinePunct w:val="0"/>
        <w:autoSpaceDE/>
        <w:autoSpaceDN/>
        <w:bidi w:val="0"/>
        <w:spacing w:line="520" w:lineRule="exact"/>
        <w:jc w:val="both"/>
        <w:textAlignment w:val="auto"/>
        <w:rPr>
          <w:rFonts w:hint="default"/>
          <w:color w:val="auto"/>
          <w:sz w:val="32"/>
          <w:szCs w:val="32"/>
          <w:highlight w:val="none"/>
          <w:lang w:val="en-US" w:eastAsia="zh-CN"/>
        </w:rPr>
      </w:pPr>
      <w:r>
        <w:rPr>
          <w:rFonts w:hint="eastAsia"/>
          <w:color w:val="auto"/>
          <w:sz w:val="32"/>
          <w:szCs w:val="32"/>
          <w:highlight w:val="none"/>
          <w:lang w:val="en-US" w:eastAsia="zh-CN"/>
        </w:rPr>
        <w:t>智慧城市一期建设项目2022年还款资金项目</w:t>
      </w:r>
      <w:r>
        <w:rPr>
          <w:rFonts w:hint="eastAsia"/>
          <w:color w:val="auto"/>
          <w:sz w:val="32"/>
          <w:szCs w:val="32"/>
          <w:highlight w:val="none"/>
        </w:rPr>
        <w:t>。这一举措，是</w:t>
      </w:r>
      <w:r>
        <w:rPr>
          <w:rFonts w:hint="eastAsia"/>
          <w:color w:val="auto"/>
          <w:sz w:val="32"/>
          <w:szCs w:val="32"/>
          <w:highlight w:val="none"/>
          <w:lang w:val="en-US" w:eastAsia="zh-CN"/>
        </w:rPr>
        <w:t>为紧紧把握新一代网络和信息技术发展以及数字化应用向智慧化应用发展迈进趋势，深化我市经济结构调整。</w:t>
      </w:r>
    </w:p>
    <w:p>
      <w:pPr>
        <w:pageBreakBefore w:val="0"/>
        <w:widowControl w:val="0"/>
        <w:kinsoku/>
        <w:wordWrap/>
        <w:topLinePunct w:val="0"/>
        <w:autoSpaceDE/>
        <w:autoSpaceDN/>
        <w:bidi w:val="0"/>
        <w:spacing w:line="520" w:lineRule="exact"/>
        <w:jc w:val="both"/>
        <w:textAlignment w:val="auto"/>
        <w:rPr>
          <w:rFonts w:hint="eastAsia"/>
          <w:color w:val="auto"/>
          <w:sz w:val="32"/>
          <w:szCs w:val="32"/>
          <w:highlight w:val="none"/>
          <w:lang w:val="en-US" w:eastAsia="zh-CN"/>
        </w:rPr>
      </w:pPr>
      <w:r>
        <w:rPr>
          <w:rFonts w:hint="eastAsia"/>
          <w:color w:val="auto"/>
          <w:sz w:val="32"/>
          <w:szCs w:val="32"/>
          <w:highlight w:val="none"/>
          <w:lang w:val="en-US" w:eastAsia="zh-CN"/>
        </w:rPr>
        <w:t>要以丝绸之路经济带上旅游休闲之都战略为向导，以信息化技术为支撑，以信息化系统建设为抓手，全面推进信息化基础设施演进升级，加快推进新型城镇化，旅游特色化、新型工业化、农牧业现代化的发展，通过网络化、信息化、智慧化支撑沙湾发展，走出具有沙湾特色的发展之路。</w:t>
      </w:r>
    </w:p>
    <w:p>
      <w:pPr>
        <w:pageBreakBefore w:val="0"/>
        <w:widowControl w:val="0"/>
        <w:kinsoku/>
        <w:wordWrap/>
        <w:topLinePunct w:val="0"/>
        <w:autoSpaceDE/>
        <w:autoSpaceDN/>
        <w:bidi w:val="0"/>
        <w:spacing w:line="520" w:lineRule="exact"/>
        <w:jc w:val="both"/>
        <w:textAlignment w:val="auto"/>
        <w:rPr>
          <w:rFonts w:hint="default"/>
          <w:color w:val="auto"/>
          <w:sz w:val="32"/>
          <w:szCs w:val="32"/>
          <w:highlight w:val="none"/>
          <w:lang w:val="en-US" w:eastAsia="zh-CN"/>
        </w:rPr>
      </w:pPr>
      <w:r>
        <w:rPr>
          <w:color w:val="auto"/>
          <w:sz w:val="32"/>
          <w:szCs w:val="32"/>
          <w:highlight w:val="none"/>
        </w:rPr>
        <w:t>202</w:t>
      </w:r>
      <w:r>
        <w:rPr>
          <w:rFonts w:hint="eastAsia"/>
          <w:color w:val="auto"/>
          <w:sz w:val="32"/>
          <w:szCs w:val="32"/>
          <w:highlight w:val="none"/>
          <w:lang w:val="en-US" w:eastAsia="zh-CN"/>
        </w:rPr>
        <w:t>3</w:t>
      </w:r>
      <w:r>
        <w:rPr>
          <w:rFonts w:hint="eastAsia"/>
          <w:color w:val="auto"/>
          <w:sz w:val="32"/>
          <w:szCs w:val="32"/>
          <w:highlight w:val="none"/>
        </w:rPr>
        <w:t>年</w:t>
      </w:r>
      <w:r>
        <w:rPr>
          <w:color w:val="auto"/>
          <w:sz w:val="32"/>
          <w:szCs w:val="32"/>
          <w:highlight w:val="none"/>
        </w:rPr>
        <w:t>，</w:t>
      </w:r>
      <w:r>
        <w:rPr>
          <w:rFonts w:hint="eastAsia"/>
          <w:color w:val="auto"/>
          <w:sz w:val="32"/>
          <w:szCs w:val="32"/>
          <w:highlight w:val="none"/>
          <w:lang w:val="en-US" w:eastAsia="zh-CN"/>
        </w:rPr>
        <w:t>沙湾市政务服务中心根据关于对《沙湾县智慧城市建设项目实施方案》的批复（沙发改字〔2014〕423号）及塔城地区中级人民法院执行裁定书（20230新42号执7号要求，积极开展了</w:t>
      </w:r>
      <w:r>
        <w:rPr>
          <w:rFonts w:hint="eastAsia"/>
          <w:color w:val="auto"/>
          <w:sz w:val="32"/>
          <w:szCs w:val="32"/>
          <w:highlight w:val="none"/>
        </w:rPr>
        <w:t>“</w:t>
      </w:r>
      <w:r>
        <w:rPr>
          <w:rFonts w:hint="eastAsia"/>
          <w:color w:val="auto"/>
          <w:sz w:val="32"/>
          <w:szCs w:val="32"/>
          <w:highlight w:val="none"/>
          <w:lang w:val="en-US" w:eastAsia="zh-CN"/>
        </w:rPr>
        <w:t>智慧城市一期建设项目</w:t>
      </w:r>
      <w:r>
        <w:rPr>
          <w:rFonts w:hint="eastAsia"/>
          <w:color w:val="auto"/>
          <w:sz w:val="32"/>
          <w:szCs w:val="32"/>
          <w:highlight w:val="none"/>
        </w:rPr>
        <w:t>”</w:t>
      </w:r>
      <w:r>
        <w:rPr>
          <w:rFonts w:hint="eastAsia"/>
          <w:color w:val="auto"/>
          <w:sz w:val="32"/>
          <w:szCs w:val="32"/>
          <w:highlight w:val="none"/>
          <w:lang w:val="en-US" w:eastAsia="zh-CN"/>
        </w:rPr>
        <w:t>还款</w:t>
      </w:r>
      <w:r>
        <w:rPr>
          <w:rFonts w:hint="eastAsia"/>
          <w:color w:val="auto"/>
          <w:sz w:val="32"/>
          <w:szCs w:val="32"/>
          <w:highlight w:val="none"/>
        </w:rPr>
        <w:t>项目</w:t>
      </w:r>
      <w:r>
        <w:rPr>
          <w:rFonts w:hint="eastAsia"/>
          <w:color w:val="auto"/>
          <w:sz w:val="32"/>
          <w:szCs w:val="32"/>
          <w:highlight w:val="none"/>
          <w:lang w:eastAsia="zh-CN"/>
        </w:rPr>
        <w:t>，</w:t>
      </w:r>
      <w:r>
        <w:rPr>
          <w:rFonts w:hint="eastAsia"/>
          <w:color w:val="auto"/>
          <w:sz w:val="32"/>
          <w:szCs w:val="32"/>
          <w:highlight w:val="none"/>
        </w:rPr>
        <w:t>以解决</w:t>
      </w:r>
      <w:r>
        <w:rPr>
          <w:rFonts w:hint="eastAsia"/>
          <w:color w:val="auto"/>
          <w:sz w:val="32"/>
          <w:szCs w:val="32"/>
          <w:highlight w:val="none"/>
          <w:lang w:val="en-US" w:eastAsia="zh-CN"/>
        </w:rPr>
        <w:t>还款单位</w:t>
      </w:r>
      <w:r>
        <w:rPr>
          <w:rFonts w:hint="eastAsia"/>
          <w:color w:val="auto"/>
          <w:sz w:val="32"/>
          <w:szCs w:val="32"/>
          <w:highlight w:val="none"/>
        </w:rPr>
        <w:t>最关心、最直接、最现实的利益问题为导向，千方百计解决</w:t>
      </w:r>
      <w:r>
        <w:rPr>
          <w:rFonts w:hint="eastAsia"/>
          <w:color w:val="auto"/>
          <w:sz w:val="32"/>
          <w:szCs w:val="32"/>
          <w:highlight w:val="none"/>
          <w:lang w:val="en-US" w:eastAsia="zh-CN"/>
        </w:rPr>
        <w:t>欠款等相关问题。</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pageBreakBefore w:val="0"/>
        <w:widowControl w:val="0"/>
        <w:kinsoku/>
        <w:wordWrap/>
        <w:topLinePunct w:val="0"/>
        <w:autoSpaceDE/>
        <w:autoSpaceDN/>
        <w:bidi w:val="0"/>
        <w:spacing w:line="520" w:lineRule="exact"/>
        <w:ind w:left="0" w:leftChars="0" w:firstLine="640" w:firstLineChars="200"/>
        <w:jc w:val="both"/>
        <w:textAlignment w:val="auto"/>
        <w:rPr>
          <w:rFonts w:hint="eastAsia"/>
          <w:color w:val="auto"/>
          <w:sz w:val="32"/>
          <w:szCs w:val="32"/>
          <w:highlight w:val="none"/>
          <w:lang w:val="en-US" w:eastAsia="zh-CN"/>
        </w:rPr>
      </w:pPr>
      <w:r>
        <w:rPr>
          <w:rFonts w:hint="eastAsia" w:ascii="仿宋_GB2312" w:hAnsi="仿宋_GB2312" w:cs="仿宋_GB2312"/>
          <w:color w:val="auto"/>
          <w:sz w:val="32"/>
          <w:szCs w:val="32"/>
          <w:highlight w:val="none"/>
        </w:rPr>
        <w:t>本项目主要</w:t>
      </w:r>
      <w:r>
        <w:rPr>
          <w:rFonts w:hint="eastAsia" w:ascii="仿宋_GB2312" w:hAnsi="仿宋_GB2312" w:cs="仿宋_GB2312"/>
          <w:color w:val="auto"/>
          <w:sz w:val="32"/>
          <w:szCs w:val="32"/>
          <w:highlight w:val="none"/>
          <w:lang w:eastAsia="zh-Hans"/>
        </w:rPr>
        <w:t>内容为</w:t>
      </w:r>
      <w:r>
        <w:rPr>
          <w:rFonts w:hint="eastAsia" w:ascii="仿宋_GB2312" w:hAnsi="仿宋_GB2312" w:cs="仿宋_GB2312"/>
          <w:color w:val="auto"/>
          <w:sz w:val="32"/>
          <w:szCs w:val="32"/>
          <w:highlight w:val="none"/>
          <w:lang w:eastAsia="zh-CN"/>
        </w:rPr>
        <w:t>：</w:t>
      </w:r>
      <w:r>
        <w:rPr>
          <w:rFonts w:hint="eastAsia"/>
          <w:color w:val="auto"/>
          <w:sz w:val="32"/>
          <w:szCs w:val="32"/>
          <w:highlight w:val="none"/>
          <w:lang w:val="en-US" w:eastAsia="zh-CN"/>
        </w:rPr>
        <w:t>智慧城市一期建设项目2022年还款。</w:t>
      </w:r>
    </w:p>
    <w:p>
      <w:pPr>
        <w:pageBreakBefore w:val="0"/>
        <w:widowControl w:val="0"/>
        <w:kinsoku/>
        <w:wordWrap/>
        <w:topLinePunct w:val="0"/>
        <w:autoSpaceDE/>
        <w:autoSpaceDN/>
        <w:bidi w:val="0"/>
        <w:spacing w:line="520" w:lineRule="exact"/>
        <w:jc w:val="both"/>
        <w:textAlignment w:val="auto"/>
        <w:rPr>
          <w:rFonts w:hint="default"/>
          <w:color w:val="auto"/>
          <w:sz w:val="32"/>
          <w:szCs w:val="32"/>
          <w:highlight w:val="none"/>
          <w:lang w:val="en-US" w:eastAsia="zh-CN"/>
        </w:rPr>
      </w:pPr>
      <w:r>
        <w:rPr>
          <w:color w:val="auto"/>
          <w:sz w:val="32"/>
          <w:szCs w:val="32"/>
          <w:highlight w:val="none"/>
        </w:rPr>
        <w:t>202</w:t>
      </w:r>
      <w:r>
        <w:rPr>
          <w:rFonts w:hint="eastAsia"/>
          <w:color w:val="auto"/>
          <w:sz w:val="32"/>
          <w:szCs w:val="32"/>
          <w:highlight w:val="none"/>
          <w:lang w:val="en-US" w:eastAsia="zh-CN"/>
        </w:rPr>
        <w:t>3</w:t>
      </w:r>
      <w:r>
        <w:rPr>
          <w:rFonts w:hint="eastAsia"/>
          <w:color w:val="auto"/>
          <w:sz w:val="32"/>
          <w:szCs w:val="32"/>
          <w:highlight w:val="none"/>
        </w:rPr>
        <w:t>年</w:t>
      </w:r>
      <w:r>
        <w:rPr>
          <w:color w:val="auto"/>
          <w:sz w:val="32"/>
          <w:szCs w:val="32"/>
          <w:highlight w:val="none"/>
        </w:rPr>
        <w:t>，</w:t>
      </w:r>
      <w:r>
        <w:rPr>
          <w:rFonts w:hint="eastAsia"/>
          <w:color w:val="auto"/>
          <w:sz w:val="32"/>
          <w:szCs w:val="32"/>
          <w:highlight w:val="none"/>
          <w:lang w:val="en-US" w:eastAsia="zh-CN"/>
        </w:rPr>
        <w:t>沙湾市政务服务中心根据关于对《沙湾县智慧城市建设项目实施方案》的批复（沙发改字〔2014〕423号）及塔城地区中级人民法院执行裁定书（20230新42号执7号要求，</w:t>
      </w:r>
      <w:r>
        <w:rPr>
          <w:rFonts w:hint="eastAsia" w:ascii="仿宋_GB2312" w:hAnsi="仿宋_GB2312" w:cs="仿宋_GB2312"/>
          <w:color w:val="auto"/>
          <w:sz w:val="32"/>
          <w:szCs w:val="32"/>
          <w:highlight w:val="none"/>
          <w:lang w:eastAsia="zh-Hans"/>
        </w:rPr>
        <w:t>本项目建设</w:t>
      </w:r>
      <w:r>
        <w:rPr>
          <w:rFonts w:hint="eastAsia" w:ascii="仿宋_GB2312" w:hAnsi="仿宋_GB2312" w:cs="仿宋_GB2312"/>
          <w:color w:val="auto"/>
          <w:sz w:val="32"/>
          <w:szCs w:val="32"/>
          <w:highlight w:val="none"/>
          <w:lang w:val="en-US" w:eastAsia="zh-CN"/>
        </w:rPr>
        <w:t>内容为：</w:t>
      </w:r>
      <w:r>
        <w:rPr>
          <w:rFonts w:hint="eastAsia"/>
          <w:color w:val="auto"/>
          <w:sz w:val="32"/>
          <w:szCs w:val="32"/>
          <w:highlight w:val="none"/>
          <w:lang w:val="en-US" w:eastAsia="zh-CN"/>
        </w:rPr>
        <w:t>“1、建设“智慧城市一期建设项目2022年还款项目；2、实施完成还款金额100万元；3、完成本年度协商还款金额4、通过项目实施，增强市委、市政府公信力，提高了项目绩效工作人员业务素质水平；同时达到政务服务中心智慧城市一期建设项目2022年还款资金项目绩效评价为“优”的良好成绩，通过项目实施有效降低政府债务的风险，提升还款企业满意度。增强了还款单位的幸福感和获得感。</w:t>
      </w:r>
    </w:p>
    <w:p>
      <w:pPr>
        <w:bidi w:val="0"/>
        <w:rPr>
          <w:rFonts w:hint="eastAsia"/>
          <w:color w:val="auto"/>
          <w:lang w:val="en-US" w:eastAsia="zh-CN"/>
        </w:rPr>
      </w:pPr>
      <w:r>
        <w:rPr>
          <w:rFonts w:hint="eastAsia"/>
          <w:color w:val="auto"/>
          <w:sz w:val="32"/>
          <w:szCs w:val="32"/>
          <w:lang w:val="en-US" w:eastAsia="zh-CN"/>
        </w:rPr>
        <w:t>本项目于2023年1月开始实施，截止2023年12月，该项目已完成，各项任务指标全部完成。通过本项目的实施，有效解决了智慧城市欠款问题，提升了还款单位满意度，增强了政府债务风险的能力。</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r>
        <w:rPr>
          <w:rFonts w:hint="eastAsia"/>
          <w:b/>
          <w:bCs/>
          <w:color w:val="auto"/>
          <w:sz w:val="32"/>
          <w:szCs w:val="32"/>
        </w:rPr>
        <w:t>3.项目实施主体</w:t>
      </w:r>
    </w:p>
    <w:p>
      <w:pPr>
        <w:pageBreakBefore w:val="0"/>
        <w:widowControl w:val="0"/>
        <w:kinsoku/>
        <w:wordWrap/>
        <w:topLinePunct w:val="0"/>
        <w:autoSpaceDE/>
        <w:autoSpaceDN/>
        <w:bidi w:val="0"/>
        <w:spacing w:line="520" w:lineRule="exact"/>
        <w:ind w:left="0" w:leftChars="0" w:firstLine="640" w:firstLineChars="200"/>
        <w:jc w:val="both"/>
        <w:textAlignment w:val="auto"/>
        <w:rPr>
          <w:rFonts w:hint="eastAsia" w:ascii="仿宋_GB2312" w:hAnsi="仿宋_GB2312" w:cs="仿宋_GB2312"/>
          <w:color w:val="auto"/>
          <w:sz w:val="32"/>
          <w:szCs w:val="32"/>
          <w:highlight w:val="none"/>
        </w:rPr>
      </w:pPr>
      <w:r>
        <w:rPr>
          <w:rFonts w:ascii="仿宋_GB2312" w:hAnsi="仿宋_GB2312" w:cs="仿宋_GB2312"/>
          <w:color w:val="auto"/>
          <w:sz w:val="32"/>
          <w:szCs w:val="32"/>
          <w:highlight w:val="none"/>
          <w:lang w:eastAsia="zh-Hans"/>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年</w:t>
      </w:r>
      <w:r>
        <w:rPr>
          <w:rFonts w:hint="eastAsia" w:ascii="仿宋_GB2312" w:hAnsi="仿宋_GB2312" w:cs="仿宋_GB2312"/>
          <w:color w:val="auto"/>
          <w:sz w:val="32"/>
          <w:szCs w:val="32"/>
          <w:highlight w:val="none"/>
          <w:lang w:val="en-US" w:eastAsia="zh-CN"/>
        </w:rPr>
        <w:t>塔城地区</w:t>
      </w:r>
      <w:r>
        <w:rPr>
          <w:rFonts w:hint="eastAsia"/>
          <w:color w:val="auto"/>
          <w:sz w:val="32"/>
          <w:szCs w:val="32"/>
          <w:highlight w:val="none"/>
          <w:lang w:val="en-US" w:eastAsia="zh-CN"/>
        </w:rPr>
        <w:t>智慧城市一期建设项目2022年还款</w:t>
      </w:r>
      <w:r>
        <w:rPr>
          <w:rFonts w:hint="eastAsia" w:ascii="仿宋_GB2312" w:hAnsi="仿宋_GB2312" w:cs="仿宋_GB2312"/>
          <w:color w:val="auto"/>
          <w:sz w:val="32"/>
          <w:szCs w:val="32"/>
          <w:highlight w:val="none"/>
          <w:lang w:eastAsia="zh-Hans"/>
        </w:rPr>
        <w:t>项目的实施主体为</w:t>
      </w:r>
      <w:r>
        <w:rPr>
          <w:rFonts w:hint="eastAsia" w:ascii="仿宋_GB2312" w:hAnsi="仿宋_GB2312" w:cs="仿宋_GB2312"/>
          <w:color w:val="auto"/>
          <w:sz w:val="32"/>
          <w:szCs w:val="32"/>
          <w:highlight w:val="none"/>
          <w:lang w:val="en-US" w:eastAsia="zh-CN"/>
        </w:rPr>
        <w:t>塔城地区</w:t>
      </w:r>
      <w:r>
        <w:rPr>
          <w:rFonts w:hint="eastAsia"/>
          <w:color w:val="auto"/>
          <w:sz w:val="32"/>
          <w:szCs w:val="32"/>
          <w:highlight w:val="none"/>
          <w:lang w:val="en-US" w:eastAsia="zh-CN"/>
        </w:rPr>
        <w:t>沙湾市政务服务中心</w:t>
      </w:r>
      <w:r>
        <w:rPr>
          <w:rFonts w:hint="eastAsia"/>
          <w:color w:val="auto"/>
          <w:sz w:val="32"/>
          <w:szCs w:val="32"/>
          <w:highlight w:val="none"/>
          <w:lang w:eastAsia="zh-Hans"/>
        </w:rPr>
        <w:t>。</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r>
        <w:rPr>
          <w:rFonts w:hint="eastAsia"/>
          <w:b/>
          <w:bCs/>
          <w:color w:val="auto"/>
          <w:sz w:val="32"/>
          <w:szCs w:val="32"/>
        </w:rPr>
        <w:t>4. 资金投入和使用情况</w:t>
      </w:r>
    </w:p>
    <w:p>
      <w:pPr>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pPr>
        <w:pageBreakBefore w:val="0"/>
        <w:widowControl w:val="0"/>
        <w:kinsoku/>
        <w:wordWrap/>
        <w:topLinePunct w:val="0"/>
        <w:autoSpaceDE/>
        <w:autoSpaceDN/>
        <w:bidi w:val="0"/>
        <w:spacing w:line="520" w:lineRule="exact"/>
        <w:ind w:firstLine="640"/>
        <w:jc w:val="both"/>
        <w:textAlignment w:val="auto"/>
        <w:rPr>
          <w:rFonts w:hint="eastAsia" w:ascii="仿宋_GB2312" w:hAnsi="仿宋_GB2312" w:cs="仿宋_GB2312"/>
          <w:color w:val="auto"/>
          <w:sz w:val="32"/>
          <w:szCs w:val="32"/>
          <w:highlight w:val="none"/>
        </w:rPr>
      </w:pPr>
      <w:r>
        <w:rPr>
          <w:rFonts w:hint="eastAsia"/>
          <w:color w:val="auto"/>
          <w:sz w:val="32"/>
          <w:szCs w:val="32"/>
          <w:highlight w:val="none"/>
          <w:lang w:val="en-US" w:eastAsia="zh-CN"/>
        </w:rPr>
        <w:t>智慧城市一期建设项目2022年还款</w:t>
      </w:r>
      <w:r>
        <w:rPr>
          <w:rFonts w:hint="eastAsia" w:ascii="仿宋_GB2312"/>
          <w:color w:val="auto"/>
          <w:sz w:val="32"/>
          <w:szCs w:val="32"/>
          <w:highlight w:val="none"/>
        </w:rPr>
        <w:t>项目</w:t>
      </w:r>
      <w:r>
        <w:rPr>
          <w:rFonts w:hint="eastAsia" w:ascii="仿宋_GB2312" w:hAnsi="仿宋_GB2312" w:cs="仿宋_GB2312"/>
          <w:color w:val="auto"/>
          <w:sz w:val="32"/>
          <w:szCs w:val="32"/>
          <w:highlight w:val="none"/>
          <w:lang w:eastAsia="zh-Hans"/>
        </w:rPr>
        <w:t>预算</w:t>
      </w:r>
      <w:r>
        <w:rPr>
          <w:rFonts w:hint="eastAsia" w:ascii="仿宋_GB2312" w:hAnsi="仿宋_GB2312" w:cs="仿宋_GB2312"/>
          <w:color w:val="auto"/>
          <w:sz w:val="32"/>
          <w:szCs w:val="32"/>
          <w:highlight w:val="none"/>
        </w:rPr>
        <w:t>安排资金</w:t>
      </w:r>
      <w:r>
        <w:rPr>
          <w:rFonts w:hint="eastAsia" w:ascii="仿宋_GB2312" w:hAnsi="仿宋_GB2312" w:cs="仿宋_GB2312"/>
          <w:color w:val="auto"/>
          <w:sz w:val="32"/>
          <w:szCs w:val="32"/>
          <w:highlight w:val="none"/>
          <w:lang w:eastAsia="zh-Hans"/>
        </w:rPr>
        <w:t>总额</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其中</w:t>
      </w:r>
      <w:r>
        <w:rPr>
          <w:rFonts w:hint="eastAsia" w:ascii="仿宋_GB2312"/>
          <w:color w:val="auto"/>
          <w:sz w:val="32"/>
          <w:szCs w:val="32"/>
          <w:highlight w:val="none"/>
        </w:rPr>
        <w:t>财政资</w:t>
      </w:r>
      <w:r>
        <w:rPr>
          <w:rFonts w:hint="eastAsia" w:ascii="仿宋_GB2312" w:hAnsi="仿宋_GB2312" w:cs="仿宋_GB2312"/>
          <w:color w:val="auto"/>
          <w:sz w:val="32"/>
          <w:szCs w:val="32"/>
          <w:highlight w:val="none"/>
        </w:rPr>
        <w:t>金</w:t>
      </w:r>
      <w:r>
        <w:rPr>
          <w:rFonts w:hint="eastAsia" w:ascii="仿宋_GB2312"/>
          <w:color w:val="auto"/>
          <w:sz w:val="32"/>
          <w:szCs w:val="32"/>
          <w:highlight w:val="none"/>
          <w:lang w:val="en-US" w:eastAsia="zh-CN"/>
        </w:rPr>
        <w:t>100</w:t>
      </w:r>
      <w:r>
        <w:rPr>
          <w:rFonts w:hint="eastAsia" w:ascii="仿宋_GB2312"/>
          <w:color w:val="auto"/>
          <w:sz w:val="32"/>
          <w:szCs w:val="32"/>
          <w:highlight w:val="none"/>
        </w:rPr>
        <w:t>万元、其他资金</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年实际收到预算资金</w:t>
      </w:r>
      <w:r>
        <w:rPr>
          <w:rFonts w:hint="eastAsia" w:ascii="仿宋_GB2312"/>
          <w:color w:val="auto"/>
          <w:sz w:val="32"/>
          <w:szCs w:val="32"/>
          <w:highlight w:val="none"/>
          <w:lang w:val="en-US" w:eastAsia="zh-CN"/>
        </w:rPr>
        <w:t>100</w:t>
      </w:r>
      <w:r>
        <w:rPr>
          <w:rFonts w:hint="eastAsia" w:ascii="仿宋_GB2312"/>
          <w:color w:val="auto"/>
          <w:sz w:val="32"/>
          <w:szCs w:val="32"/>
          <w:highlight w:val="none"/>
        </w:rPr>
        <w:t>万元，预算资金到位率为</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（2）项目资金实际使用情况</w:t>
      </w:r>
    </w:p>
    <w:p>
      <w:pPr>
        <w:pageBreakBefore w:val="0"/>
        <w:widowControl w:val="0"/>
        <w:kinsoku/>
        <w:wordWrap/>
        <w:topLinePunct w:val="0"/>
        <w:autoSpaceDE/>
        <w:autoSpaceDN/>
        <w:bidi w:val="0"/>
        <w:spacing w:line="520" w:lineRule="exact"/>
        <w:ind w:firstLine="64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截至202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年12月31日，</w:t>
      </w:r>
      <w:r>
        <w:rPr>
          <w:rFonts w:hint="eastAsia" w:ascii="仿宋_GB2312"/>
          <w:color w:val="auto"/>
          <w:sz w:val="32"/>
          <w:szCs w:val="32"/>
          <w:highlight w:val="none"/>
        </w:rPr>
        <w:t>本项目实际支付资金</w:t>
      </w:r>
      <w:r>
        <w:rPr>
          <w:rFonts w:hint="eastAsia" w:ascii="仿宋_GB2312"/>
          <w:color w:val="auto"/>
          <w:sz w:val="32"/>
          <w:szCs w:val="32"/>
          <w:highlight w:val="none"/>
          <w:lang w:val="en-US" w:eastAsia="zh-CN"/>
        </w:rPr>
        <w:t>100</w:t>
      </w:r>
      <w:r>
        <w:rPr>
          <w:rFonts w:hint="eastAsia" w:ascii="仿宋_GB2312"/>
          <w:color w:val="auto"/>
          <w:sz w:val="32"/>
          <w:szCs w:val="32"/>
          <w:highlight w:val="none"/>
        </w:rPr>
        <w:t>万元，预算执行率</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%。项目资金主要用于支付</w:t>
      </w:r>
      <w:r>
        <w:rPr>
          <w:rFonts w:hint="eastAsia"/>
          <w:color w:val="auto"/>
          <w:sz w:val="32"/>
          <w:szCs w:val="32"/>
          <w:highlight w:val="none"/>
          <w:lang w:val="en-US" w:eastAsia="zh-CN"/>
        </w:rPr>
        <w:t>智慧城市一期建设项目2022年还款</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100</w:t>
      </w:r>
      <w:r>
        <w:rPr>
          <w:rFonts w:hint="eastAsia" w:ascii="仿宋_GB2312"/>
          <w:color w:val="auto"/>
          <w:sz w:val="32"/>
          <w:szCs w:val="32"/>
          <w:highlight w:val="none"/>
        </w:rPr>
        <w:t>万元。</w:t>
      </w:r>
    </w:p>
    <w:p>
      <w:pPr>
        <w:pStyle w:val="4"/>
        <w:pageBreakBefore w:val="0"/>
        <w:widowControl w:val="0"/>
        <w:numPr>
          <w:ilvl w:val="0"/>
          <w:numId w:val="2"/>
        </w:numPr>
        <w:kinsoku/>
        <w:wordWrap/>
        <w:topLinePunct w:val="0"/>
        <w:autoSpaceDE/>
        <w:autoSpaceDN/>
        <w:bidi w:val="0"/>
        <w:spacing w:line="520" w:lineRule="exact"/>
        <w:ind w:firstLine="643"/>
        <w:jc w:val="both"/>
        <w:textAlignment w:val="auto"/>
        <w:rPr>
          <w:rFonts w:ascii="楷体_GB2312" w:eastAsia="楷体_GB2312"/>
          <w:color w:val="auto"/>
          <w:szCs w:val="32"/>
        </w:rPr>
      </w:pPr>
      <w:r>
        <w:rPr>
          <w:rFonts w:hint="eastAsia" w:ascii="楷体_GB2312" w:eastAsia="楷体_GB2312"/>
          <w:color w:val="auto"/>
          <w:szCs w:val="32"/>
        </w:rPr>
        <w:t>项目绩效目标</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r>
        <w:rPr>
          <w:rFonts w:hint="eastAsia"/>
          <w:b/>
          <w:bCs/>
          <w:color w:val="auto"/>
          <w:sz w:val="32"/>
          <w:szCs w:val="32"/>
        </w:rPr>
        <w:t>1.总体目标</w:t>
      </w:r>
    </w:p>
    <w:p>
      <w:pPr>
        <w:pageBreakBefore w:val="0"/>
        <w:widowControl w:val="0"/>
        <w:kinsoku/>
        <w:wordWrap/>
        <w:topLinePunct w:val="0"/>
        <w:autoSpaceDE/>
        <w:autoSpaceDN/>
        <w:bidi w:val="0"/>
        <w:spacing w:line="520" w:lineRule="exact"/>
        <w:jc w:val="both"/>
        <w:textAlignment w:val="auto"/>
        <w:rPr>
          <w:rFonts w:hint="eastAsia" w:eastAsia="仿宋_GB2312"/>
          <w:color w:val="auto"/>
          <w:highlight w:val="none"/>
          <w:lang w:val="en-US" w:eastAsia="zh-CN"/>
        </w:rPr>
      </w:pPr>
      <w:r>
        <w:rPr>
          <w:rFonts w:hint="eastAsia"/>
          <w:color w:val="auto"/>
          <w:sz w:val="32"/>
          <w:szCs w:val="32"/>
          <w:highlight w:val="none"/>
        </w:rPr>
        <w:t>“</w:t>
      </w:r>
      <w:r>
        <w:rPr>
          <w:rFonts w:hint="eastAsia"/>
          <w:color w:val="auto"/>
          <w:sz w:val="32"/>
          <w:szCs w:val="32"/>
          <w:highlight w:val="none"/>
          <w:lang w:val="en-US" w:eastAsia="zh-CN"/>
        </w:rPr>
        <w:t>智慧城市一期建设项目2022年还款</w:t>
      </w:r>
      <w:r>
        <w:rPr>
          <w:rFonts w:hint="eastAsia"/>
          <w:color w:val="auto"/>
          <w:sz w:val="32"/>
          <w:szCs w:val="32"/>
          <w:highlight w:val="none"/>
        </w:rPr>
        <w:t>”</w:t>
      </w:r>
      <w:r>
        <w:rPr>
          <w:rFonts w:hint="eastAsia"/>
          <w:color w:val="auto"/>
          <w:sz w:val="32"/>
          <w:szCs w:val="32"/>
          <w:highlight w:val="none"/>
          <w:lang w:val="en-US" w:eastAsia="zh-CN"/>
        </w:rPr>
        <w:t>项目</w:t>
      </w:r>
      <w:r>
        <w:rPr>
          <w:rFonts w:hint="eastAsia"/>
          <w:color w:val="auto"/>
          <w:sz w:val="32"/>
          <w:szCs w:val="32"/>
          <w:highlight w:val="none"/>
        </w:rPr>
        <w:t>的设立，是以解决</w:t>
      </w:r>
      <w:r>
        <w:rPr>
          <w:rFonts w:hint="eastAsia"/>
          <w:color w:val="auto"/>
          <w:sz w:val="32"/>
          <w:szCs w:val="32"/>
          <w:highlight w:val="none"/>
          <w:lang w:val="en-US" w:eastAsia="zh-CN"/>
        </w:rPr>
        <w:t>还款单位</w:t>
      </w:r>
      <w:r>
        <w:rPr>
          <w:rFonts w:hint="eastAsia"/>
          <w:color w:val="auto"/>
          <w:sz w:val="32"/>
          <w:szCs w:val="32"/>
          <w:highlight w:val="none"/>
        </w:rPr>
        <w:t>最关心、最直接、最现实的利益问题为导向，以千方百计解决</w:t>
      </w:r>
      <w:r>
        <w:rPr>
          <w:rFonts w:hint="eastAsia"/>
          <w:color w:val="auto"/>
          <w:sz w:val="32"/>
          <w:szCs w:val="32"/>
          <w:highlight w:val="none"/>
          <w:lang w:val="en-US" w:eastAsia="zh-CN"/>
        </w:rPr>
        <w:t>企业欠款</w:t>
      </w:r>
      <w:r>
        <w:rPr>
          <w:rFonts w:hint="eastAsia"/>
          <w:color w:val="auto"/>
          <w:sz w:val="32"/>
          <w:szCs w:val="32"/>
          <w:highlight w:val="none"/>
        </w:rPr>
        <w:t>为</w:t>
      </w:r>
      <w:r>
        <w:rPr>
          <w:rFonts w:hint="eastAsia"/>
          <w:color w:val="auto"/>
          <w:sz w:val="32"/>
          <w:szCs w:val="32"/>
          <w:highlight w:val="none"/>
          <w:lang w:val="en-US" w:eastAsia="zh-CN"/>
        </w:rPr>
        <w:t>目的</w:t>
      </w:r>
      <w:r>
        <w:rPr>
          <w:rFonts w:hint="eastAsia"/>
          <w:color w:val="auto"/>
          <w:sz w:val="32"/>
          <w:szCs w:val="32"/>
          <w:highlight w:val="none"/>
        </w:rPr>
        <w:t>，及时降低政府债务风险。</w:t>
      </w:r>
      <w:r>
        <w:rPr>
          <w:rFonts w:hint="eastAsia"/>
          <w:color w:val="auto"/>
          <w:sz w:val="32"/>
          <w:szCs w:val="32"/>
          <w:highlight w:val="none"/>
          <w:lang w:val="en-US" w:eastAsia="zh-CN"/>
        </w:rPr>
        <w:t>全年项目计划实现目标如下：“目标1</w:t>
      </w:r>
      <w:r>
        <w:rPr>
          <w:color w:val="auto"/>
          <w:sz w:val="32"/>
          <w:szCs w:val="32"/>
          <w:highlight w:val="none"/>
        </w:rPr>
        <w:t>：</w:t>
      </w:r>
      <w:r>
        <w:rPr>
          <w:rFonts w:hint="eastAsia"/>
          <w:color w:val="auto"/>
          <w:sz w:val="32"/>
          <w:szCs w:val="32"/>
          <w:highlight w:val="none"/>
        </w:rPr>
        <w:t>“</w:t>
      </w:r>
      <w:r>
        <w:rPr>
          <w:rFonts w:hint="eastAsia"/>
          <w:color w:val="auto"/>
          <w:sz w:val="32"/>
          <w:szCs w:val="32"/>
          <w:highlight w:val="none"/>
          <w:lang w:val="en-US" w:eastAsia="zh-CN"/>
        </w:rPr>
        <w:t>偿还单位个数1</w:t>
      </w:r>
      <w:r>
        <w:rPr>
          <w:rFonts w:hint="eastAsia"/>
          <w:color w:val="auto"/>
          <w:sz w:val="32"/>
          <w:szCs w:val="32"/>
          <w:highlight w:val="none"/>
        </w:rPr>
        <w:t>个</w:t>
      </w:r>
      <w:r>
        <w:rPr>
          <w:color w:val="auto"/>
          <w:sz w:val="32"/>
          <w:szCs w:val="32"/>
          <w:highlight w:val="none"/>
        </w:rPr>
        <w:t>，</w:t>
      </w:r>
      <w:r>
        <w:rPr>
          <w:rFonts w:hint="eastAsia"/>
          <w:color w:val="auto"/>
          <w:sz w:val="32"/>
          <w:szCs w:val="32"/>
          <w:highlight w:val="none"/>
        </w:rPr>
        <w:t>以解决</w:t>
      </w:r>
      <w:r>
        <w:rPr>
          <w:rFonts w:hint="eastAsia"/>
          <w:color w:val="auto"/>
          <w:sz w:val="32"/>
          <w:szCs w:val="32"/>
          <w:highlight w:val="none"/>
          <w:lang w:val="en-US" w:eastAsia="zh-CN"/>
        </w:rPr>
        <w:t>还款单位</w:t>
      </w:r>
      <w:r>
        <w:rPr>
          <w:rFonts w:hint="eastAsia"/>
          <w:color w:val="auto"/>
          <w:sz w:val="32"/>
          <w:szCs w:val="32"/>
          <w:highlight w:val="none"/>
        </w:rPr>
        <w:t>最关心、最直接、最现实的利益问题为导向，以千方百计解决</w:t>
      </w:r>
      <w:r>
        <w:rPr>
          <w:rFonts w:hint="eastAsia"/>
          <w:color w:val="auto"/>
          <w:sz w:val="32"/>
          <w:szCs w:val="32"/>
          <w:highlight w:val="none"/>
          <w:lang w:val="en-US" w:eastAsia="zh-CN"/>
        </w:rPr>
        <w:t>企业欠款</w:t>
      </w:r>
      <w:r>
        <w:rPr>
          <w:rFonts w:hint="eastAsia"/>
          <w:color w:val="auto"/>
          <w:sz w:val="32"/>
          <w:szCs w:val="32"/>
          <w:highlight w:val="none"/>
        </w:rPr>
        <w:t>为</w:t>
      </w:r>
      <w:r>
        <w:rPr>
          <w:rFonts w:hint="eastAsia"/>
          <w:color w:val="auto"/>
          <w:sz w:val="32"/>
          <w:szCs w:val="32"/>
          <w:highlight w:val="none"/>
          <w:lang w:val="en-US" w:eastAsia="zh-CN"/>
        </w:rPr>
        <w:t>目的</w:t>
      </w:r>
      <w:r>
        <w:rPr>
          <w:rFonts w:hint="eastAsia"/>
          <w:color w:val="auto"/>
          <w:sz w:val="32"/>
          <w:szCs w:val="32"/>
          <w:highlight w:val="none"/>
        </w:rPr>
        <w:t>，及时降低政府债务风险</w:t>
      </w:r>
      <w:r>
        <w:rPr>
          <w:color w:val="auto"/>
          <w:sz w:val="32"/>
          <w:szCs w:val="32"/>
          <w:highlight w:val="none"/>
        </w:rPr>
        <w:t>；</w:t>
      </w:r>
      <w:r>
        <w:rPr>
          <w:rFonts w:hint="eastAsia"/>
          <w:color w:val="auto"/>
          <w:sz w:val="32"/>
          <w:szCs w:val="32"/>
          <w:highlight w:val="none"/>
          <w:lang w:val="en-US" w:eastAsia="zh-CN"/>
        </w:rPr>
        <w:t>目标2:资金使用规范率=100%；目标3:还款期限能按时还款率=100%；目标4:</w:t>
      </w:r>
      <w:r>
        <w:rPr>
          <w:rFonts w:hint="eastAsia"/>
          <w:color w:val="auto"/>
          <w:sz w:val="32"/>
          <w:szCs w:val="32"/>
          <w:highlight w:val="none"/>
        </w:rPr>
        <w:t>本年度还款完成时间2023年12月25日前</w:t>
      </w:r>
      <w:r>
        <w:rPr>
          <w:rFonts w:hint="eastAsia"/>
          <w:color w:val="auto"/>
          <w:sz w:val="32"/>
          <w:szCs w:val="32"/>
          <w:highlight w:val="none"/>
          <w:lang w:val="en-US" w:eastAsia="zh-CN"/>
        </w:rPr>
        <w:t>。”计划</w:t>
      </w:r>
      <w:r>
        <w:rPr>
          <w:rFonts w:hint="eastAsia"/>
          <w:color w:val="auto"/>
          <w:sz w:val="32"/>
          <w:szCs w:val="32"/>
          <w:highlight w:val="none"/>
        </w:rPr>
        <w:t>通过</w:t>
      </w:r>
      <w:r>
        <w:rPr>
          <w:rFonts w:hint="eastAsia"/>
          <w:color w:val="auto"/>
          <w:sz w:val="32"/>
          <w:szCs w:val="32"/>
          <w:highlight w:val="none"/>
          <w:lang w:val="en-US" w:eastAsia="zh-CN"/>
        </w:rPr>
        <w:t>本</w:t>
      </w:r>
      <w:r>
        <w:rPr>
          <w:rFonts w:hint="eastAsia"/>
          <w:color w:val="auto"/>
          <w:sz w:val="32"/>
          <w:szCs w:val="32"/>
          <w:highlight w:val="none"/>
        </w:rPr>
        <w:t>项目</w:t>
      </w:r>
      <w:r>
        <w:rPr>
          <w:rFonts w:hint="eastAsia"/>
          <w:color w:val="auto"/>
          <w:sz w:val="32"/>
          <w:szCs w:val="32"/>
          <w:highlight w:val="none"/>
          <w:lang w:val="en-US" w:eastAsia="zh-CN"/>
        </w:rPr>
        <w:t>的</w:t>
      </w:r>
      <w:r>
        <w:rPr>
          <w:rFonts w:hint="eastAsia"/>
          <w:color w:val="auto"/>
          <w:sz w:val="32"/>
          <w:szCs w:val="32"/>
          <w:highlight w:val="none"/>
        </w:rPr>
        <w:t>实施</w:t>
      </w:r>
      <w:r>
        <w:rPr>
          <w:rFonts w:hint="eastAsia"/>
          <w:color w:val="auto"/>
          <w:sz w:val="32"/>
          <w:szCs w:val="32"/>
          <w:highlight w:val="none"/>
          <w:lang w:eastAsia="zh-CN"/>
        </w:rPr>
        <w:t>，</w:t>
      </w:r>
      <w:r>
        <w:rPr>
          <w:rFonts w:hint="eastAsia"/>
          <w:color w:val="auto"/>
          <w:sz w:val="32"/>
          <w:szCs w:val="32"/>
          <w:highlight w:val="none"/>
        </w:rPr>
        <w:t>实施有效降低了政府债务风险。</w:t>
      </w:r>
      <w:r>
        <w:rPr>
          <w:rFonts w:hint="eastAsia"/>
          <w:color w:val="auto"/>
          <w:sz w:val="32"/>
          <w:szCs w:val="32"/>
          <w:highlight w:val="none"/>
          <w:lang w:val="en-US" w:eastAsia="zh-CN"/>
        </w:rPr>
        <w:t>同时提高还款单位幸福感、满意感。”</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r>
        <w:rPr>
          <w:rFonts w:hint="eastAsia"/>
          <w:b/>
          <w:bCs/>
          <w:color w:val="auto"/>
          <w:sz w:val="32"/>
          <w:szCs w:val="32"/>
        </w:rPr>
        <w:t>2.阶段性目标</w:t>
      </w:r>
    </w:p>
    <w:p>
      <w:pPr>
        <w:pageBreakBefore w:val="0"/>
        <w:widowControl w:val="0"/>
        <w:kinsoku/>
        <w:wordWrap/>
        <w:topLinePunct w:val="0"/>
        <w:autoSpaceDE/>
        <w:autoSpaceDN/>
        <w:bidi w:val="0"/>
        <w:spacing w:line="520" w:lineRule="exact"/>
        <w:ind w:firstLine="640"/>
        <w:jc w:val="both"/>
        <w:textAlignment w:val="auto"/>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pageBreakBefore w:val="0"/>
        <w:widowControl w:val="0"/>
        <w:numPr>
          <w:ilvl w:val="0"/>
          <w:numId w:val="3"/>
        </w:numPr>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①数量指标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偿还单位个数（个）</w:t>
      </w:r>
      <w:r>
        <w:rPr>
          <w:rFonts w:hint="eastAsia"/>
          <w:color w:val="auto"/>
          <w:sz w:val="32"/>
          <w:szCs w:val="32"/>
          <w:highlight w:val="none"/>
        </w:rPr>
        <w:t>”指标，预期指标值为“</w:t>
      </w:r>
      <w:r>
        <w:rPr>
          <w:rFonts w:hint="eastAsia" w:ascii="仿宋_GB2312"/>
          <w:color w:val="auto"/>
          <w:sz w:val="32"/>
          <w:szCs w:val="32"/>
          <w:highlight w:val="none"/>
          <w:lang w:eastAsia="zh-Hans"/>
        </w:rPr>
        <w:t>=1个</w:t>
      </w:r>
      <w:r>
        <w:rPr>
          <w:rFonts w:hint="eastAsia"/>
          <w:color w:val="auto"/>
          <w:sz w:val="32"/>
          <w:szCs w:val="32"/>
          <w:highlight w:val="none"/>
        </w:rPr>
        <w:t>”；</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②质量指标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资金使用规范率（%）</w:t>
      </w:r>
      <w:r>
        <w:rPr>
          <w:rFonts w:hint="eastAsia"/>
          <w:color w:val="auto"/>
          <w:sz w:val="32"/>
          <w:szCs w:val="32"/>
          <w:highlight w:val="none"/>
        </w:rPr>
        <w:t>”指标，预期指标值为“</w:t>
      </w:r>
      <w:r>
        <w:rPr>
          <w:rFonts w:hint="eastAsia" w:ascii="仿宋_GB2312"/>
          <w:color w:val="auto"/>
          <w:sz w:val="32"/>
          <w:szCs w:val="32"/>
          <w:highlight w:val="none"/>
          <w:lang w:eastAsia="zh-Hans"/>
        </w:rPr>
        <w:t>=100%</w:t>
      </w:r>
      <w:r>
        <w:rPr>
          <w:rFonts w:hint="eastAsia"/>
          <w:color w:val="auto"/>
          <w:sz w:val="32"/>
          <w:szCs w:val="32"/>
          <w:highlight w:val="none"/>
        </w:rPr>
        <w:t>”；</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③时效指标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还款期限能按时还款率（%）</w:t>
      </w:r>
      <w:r>
        <w:rPr>
          <w:rFonts w:hint="eastAsia"/>
          <w:color w:val="auto"/>
          <w:sz w:val="32"/>
          <w:szCs w:val="32"/>
          <w:highlight w:val="none"/>
        </w:rPr>
        <w:t>”指标，预期指标值为“</w:t>
      </w:r>
      <w:r>
        <w:rPr>
          <w:rFonts w:hint="eastAsia" w:ascii="仿宋_GB2312"/>
          <w:color w:val="auto"/>
          <w:sz w:val="32"/>
          <w:szCs w:val="32"/>
          <w:highlight w:val="none"/>
          <w:lang w:eastAsia="zh-Hans"/>
        </w:rPr>
        <w:t>=100%</w:t>
      </w:r>
      <w:r>
        <w:rPr>
          <w:rFonts w:hint="eastAsia"/>
          <w:color w:val="auto"/>
          <w:sz w:val="32"/>
          <w:szCs w:val="32"/>
          <w:highlight w:val="none"/>
        </w:rPr>
        <w:t>”；</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本年度还款完成时间（年月日）</w:t>
      </w:r>
      <w:r>
        <w:rPr>
          <w:rFonts w:hint="eastAsia"/>
          <w:color w:val="auto"/>
          <w:sz w:val="32"/>
          <w:szCs w:val="32"/>
          <w:highlight w:val="none"/>
        </w:rPr>
        <w:t>”指标，预期指标值为“</w:t>
      </w:r>
      <w:r>
        <w:rPr>
          <w:rFonts w:hint="eastAsia" w:ascii="仿宋_GB2312"/>
          <w:color w:val="auto"/>
          <w:sz w:val="32"/>
          <w:szCs w:val="32"/>
          <w:highlight w:val="none"/>
          <w:lang w:eastAsia="zh-Hans"/>
        </w:rPr>
        <w:t>2023年12月25日前</w:t>
      </w:r>
      <w:r>
        <w:rPr>
          <w:rFonts w:hint="eastAsia"/>
          <w:color w:val="auto"/>
          <w:sz w:val="32"/>
          <w:szCs w:val="32"/>
          <w:highlight w:val="none"/>
        </w:rPr>
        <w:t>”。</w:t>
      </w:r>
    </w:p>
    <w:p>
      <w:pPr>
        <w:pageBreakBefore w:val="0"/>
        <w:widowControl w:val="0"/>
        <w:numPr>
          <w:ilvl w:val="0"/>
          <w:numId w:val="3"/>
        </w:numPr>
        <w:kinsoku/>
        <w:wordWrap/>
        <w:topLinePunct w:val="0"/>
        <w:autoSpaceDE/>
        <w:autoSpaceDN/>
        <w:bidi w:val="0"/>
        <w:spacing w:line="520" w:lineRule="exact"/>
        <w:ind w:left="0" w:leftChars="0" w:firstLine="640" w:firstLineChars="200"/>
        <w:jc w:val="both"/>
        <w:textAlignment w:val="auto"/>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pPr>
        <w:pageBreakBefore w:val="0"/>
        <w:widowControl w:val="0"/>
        <w:kinsoku/>
        <w:wordWrap/>
        <w:topLinePunct w:val="0"/>
        <w:autoSpaceDE/>
        <w:autoSpaceDN/>
        <w:bidi w:val="0"/>
        <w:spacing w:line="520" w:lineRule="exact"/>
        <w:ind w:firstLine="640"/>
        <w:jc w:val="both"/>
        <w:textAlignment w:val="auto"/>
        <w:rPr>
          <w:color w:val="auto"/>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还款本金金额（万元）</w:t>
      </w:r>
      <w:r>
        <w:rPr>
          <w:rFonts w:hint="eastAsia"/>
          <w:color w:val="auto"/>
          <w:sz w:val="32"/>
          <w:szCs w:val="32"/>
          <w:highlight w:val="none"/>
        </w:rPr>
        <w:t>”指标，预期指标值为“</w:t>
      </w:r>
      <w:r>
        <w:rPr>
          <w:rFonts w:hint="eastAsia" w:ascii="仿宋_GB2312"/>
          <w:color w:val="auto"/>
          <w:sz w:val="32"/>
          <w:szCs w:val="32"/>
          <w:highlight w:val="none"/>
          <w:lang w:eastAsia="zh-Hans"/>
        </w:rPr>
        <w:t>=100万元</w:t>
      </w:r>
      <w:r>
        <w:rPr>
          <w:rFonts w:hint="eastAsia"/>
          <w:color w:val="auto"/>
          <w:sz w:val="32"/>
          <w:szCs w:val="32"/>
          <w:highlight w:val="none"/>
        </w:rPr>
        <w:t>”；</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②</w:t>
      </w:r>
      <w:r>
        <w:rPr>
          <w:rFonts w:hint="eastAsia"/>
          <w:color w:val="auto"/>
          <w:sz w:val="32"/>
          <w:szCs w:val="32"/>
          <w:highlight w:val="none"/>
          <w:lang w:val="en-US" w:eastAsia="zh-CN"/>
        </w:rPr>
        <w:t>社会成本</w:t>
      </w:r>
      <w:r>
        <w:rPr>
          <w:rFonts w:hint="eastAsia"/>
          <w:color w:val="auto"/>
          <w:sz w:val="32"/>
          <w:szCs w:val="32"/>
          <w:highlight w:val="none"/>
        </w:rPr>
        <w:t>指标</w:t>
      </w:r>
    </w:p>
    <w:p>
      <w:pPr>
        <w:pageBreakBefore w:val="0"/>
        <w:widowControl w:val="0"/>
        <w:kinsoku/>
        <w:wordWrap/>
        <w:topLinePunct w:val="0"/>
        <w:autoSpaceDE/>
        <w:autoSpaceDN/>
        <w:bidi w:val="0"/>
        <w:spacing w:line="520" w:lineRule="exact"/>
        <w:ind w:firstLine="640"/>
        <w:jc w:val="both"/>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“无此项指标”。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③</w:t>
      </w:r>
      <w:r>
        <w:rPr>
          <w:rFonts w:hint="eastAsia"/>
          <w:color w:val="auto"/>
          <w:sz w:val="32"/>
          <w:szCs w:val="32"/>
          <w:highlight w:val="none"/>
          <w:lang w:val="en-US" w:eastAsia="zh-CN"/>
        </w:rPr>
        <w:t>生态环境成本</w:t>
      </w:r>
      <w:r>
        <w:rPr>
          <w:rFonts w:hint="eastAsia"/>
          <w:color w:val="auto"/>
          <w:sz w:val="32"/>
          <w:szCs w:val="32"/>
          <w:highlight w:val="none"/>
        </w:rPr>
        <w:t>指标</w:t>
      </w:r>
    </w:p>
    <w:p>
      <w:pPr>
        <w:pageBreakBefore w:val="0"/>
        <w:widowControl w:val="0"/>
        <w:kinsoku/>
        <w:wordWrap/>
        <w:topLinePunct w:val="0"/>
        <w:autoSpaceDE/>
        <w:autoSpaceDN/>
        <w:bidi w:val="0"/>
        <w:spacing w:line="520" w:lineRule="exact"/>
        <w:ind w:firstLine="640"/>
        <w:jc w:val="both"/>
        <w:textAlignment w:val="auto"/>
        <w:rPr>
          <w:rFonts w:hint="eastAsia"/>
          <w:color w:val="auto"/>
          <w:sz w:val="32"/>
          <w:szCs w:val="32"/>
          <w:highlight w:val="none"/>
        </w:rPr>
      </w:pPr>
      <w:r>
        <w:rPr>
          <w:rFonts w:hint="eastAsia"/>
          <w:color w:val="auto"/>
          <w:sz w:val="32"/>
          <w:szCs w:val="32"/>
          <w:highlight w:val="none"/>
          <w:lang w:val="en-US" w:eastAsia="zh-CN"/>
        </w:rPr>
        <w:t>“无此项指标”。</w:t>
      </w:r>
    </w:p>
    <w:p>
      <w:pPr>
        <w:pageBreakBefore w:val="0"/>
        <w:widowControl w:val="0"/>
        <w:kinsoku/>
        <w:wordWrap/>
        <w:topLinePunct w:val="0"/>
        <w:autoSpaceDE/>
        <w:autoSpaceDN/>
        <w:bidi w:val="0"/>
        <w:spacing w:line="520" w:lineRule="exact"/>
        <w:ind w:firstLine="640"/>
        <w:jc w:val="both"/>
        <w:textAlignment w:val="auto"/>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①经济效益指标</w:t>
      </w:r>
    </w:p>
    <w:p>
      <w:pPr>
        <w:pageBreakBefore w:val="0"/>
        <w:widowControl w:val="0"/>
        <w:kinsoku/>
        <w:wordWrap/>
        <w:topLinePunct w:val="0"/>
        <w:autoSpaceDE/>
        <w:autoSpaceDN/>
        <w:bidi w:val="0"/>
        <w:spacing w:line="520" w:lineRule="exact"/>
        <w:ind w:firstLine="640"/>
        <w:jc w:val="both"/>
        <w:textAlignment w:val="auto"/>
        <w:rPr>
          <w:rFonts w:hint="eastAsia"/>
          <w:color w:val="auto"/>
          <w:sz w:val="32"/>
          <w:szCs w:val="32"/>
          <w:highlight w:val="none"/>
        </w:rPr>
      </w:pPr>
      <w:r>
        <w:rPr>
          <w:rFonts w:hint="eastAsia"/>
          <w:color w:val="auto"/>
          <w:sz w:val="32"/>
          <w:szCs w:val="32"/>
          <w:highlight w:val="none"/>
          <w:lang w:val="en-US" w:eastAsia="zh-CN"/>
        </w:rPr>
        <w:t>“无此项指标”。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②社会效益指标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降低政府债务风险</w:t>
      </w:r>
      <w:r>
        <w:rPr>
          <w:rFonts w:hint="eastAsia"/>
          <w:color w:val="auto"/>
          <w:sz w:val="32"/>
          <w:szCs w:val="32"/>
          <w:highlight w:val="none"/>
        </w:rPr>
        <w:t>”指标，预期指标值为“有效降低”；</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③生态效益指标</w:t>
      </w:r>
    </w:p>
    <w:p>
      <w:pPr>
        <w:pageBreakBefore w:val="0"/>
        <w:widowControl w:val="0"/>
        <w:kinsoku/>
        <w:wordWrap/>
        <w:topLinePunct w:val="0"/>
        <w:autoSpaceDE/>
        <w:autoSpaceDN/>
        <w:bidi w:val="0"/>
        <w:spacing w:line="520" w:lineRule="exact"/>
        <w:ind w:firstLine="640"/>
        <w:jc w:val="both"/>
        <w:textAlignment w:val="auto"/>
        <w:rPr>
          <w:rFonts w:hint="eastAsia"/>
          <w:color w:val="auto"/>
          <w:sz w:val="32"/>
          <w:szCs w:val="32"/>
          <w:highlight w:val="none"/>
        </w:rPr>
      </w:pPr>
      <w:r>
        <w:rPr>
          <w:rFonts w:hint="eastAsia"/>
          <w:color w:val="auto"/>
          <w:sz w:val="32"/>
          <w:szCs w:val="32"/>
          <w:highlight w:val="none"/>
          <w:lang w:val="en-US" w:eastAsia="zh-CN"/>
        </w:rPr>
        <w:t>“无此项指标”。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pPr>
        <w:pageBreakBefore w:val="0"/>
        <w:widowControl w:val="0"/>
        <w:kinsoku/>
        <w:wordWrap/>
        <w:topLinePunct w:val="0"/>
        <w:autoSpaceDE/>
        <w:autoSpaceDN/>
        <w:bidi w:val="0"/>
        <w:spacing w:line="520" w:lineRule="exact"/>
        <w:ind w:firstLine="640"/>
        <w:jc w:val="both"/>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还款单位满意度（%）</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=100%</w:t>
      </w:r>
      <w:r>
        <w:rPr>
          <w:rFonts w:hint="eastAsia"/>
          <w:color w:val="auto"/>
          <w:sz w:val="32"/>
          <w:szCs w:val="32"/>
          <w:highlight w:val="none"/>
        </w:rPr>
        <w:t>”；</w:t>
      </w:r>
    </w:p>
    <w:p>
      <w:pPr>
        <w:pStyle w:val="3"/>
        <w:pageBreakBefore w:val="0"/>
        <w:widowControl w:val="0"/>
        <w:kinsoku/>
        <w:wordWrap/>
        <w:topLinePunct w:val="0"/>
        <w:autoSpaceDE/>
        <w:autoSpaceDN/>
        <w:bidi w:val="0"/>
        <w:spacing w:line="520" w:lineRule="exact"/>
        <w:ind w:firstLine="640"/>
        <w:jc w:val="both"/>
        <w:textAlignment w:val="auto"/>
        <w:rPr>
          <w:color w:val="auto"/>
          <w:szCs w:val="32"/>
        </w:rPr>
      </w:pPr>
      <w:r>
        <w:rPr>
          <w:rFonts w:hint="eastAsia"/>
          <w:color w:val="auto"/>
          <w:szCs w:val="32"/>
        </w:rPr>
        <w:t>二、绩效评价工作开展情况</w:t>
      </w:r>
    </w:p>
    <w:p>
      <w:pPr>
        <w:pStyle w:val="4"/>
        <w:pageBreakBefore w:val="0"/>
        <w:widowControl w:val="0"/>
        <w:numPr>
          <w:ilvl w:val="0"/>
          <w:numId w:val="4"/>
        </w:numPr>
        <w:kinsoku/>
        <w:wordWrap/>
        <w:topLinePunct w:val="0"/>
        <w:autoSpaceDE/>
        <w:autoSpaceDN/>
        <w:bidi w:val="0"/>
        <w:spacing w:line="520" w:lineRule="exact"/>
        <w:ind w:firstLine="643"/>
        <w:jc w:val="both"/>
        <w:textAlignment w:val="auto"/>
        <w:rPr>
          <w:rFonts w:ascii="楷体_GB2312" w:eastAsia="楷体_GB2312"/>
          <w:color w:val="auto"/>
          <w:szCs w:val="32"/>
        </w:rPr>
      </w:pPr>
      <w:bookmarkStart w:id="1" w:name="_Toc5462343"/>
      <w:bookmarkStart w:id="2" w:name="_Toc26632"/>
      <w:bookmarkStart w:id="3" w:name="_Toc12868"/>
      <w:bookmarkStart w:id="4" w:name="_Toc480473081"/>
      <w:bookmarkStart w:id="5" w:name="_Toc22169_WPSOffice_Level2"/>
      <w:bookmarkStart w:id="6" w:name="_Toc5258"/>
      <w:bookmarkStart w:id="7" w:name="_Toc21664"/>
      <w:bookmarkStart w:id="8" w:name="_Toc22922"/>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r>
        <w:rPr>
          <w:rFonts w:hint="eastAsia"/>
          <w:b/>
          <w:bCs/>
          <w:color w:val="auto"/>
          <w:sz w:val="32"/>
          <w:szCs w:val="32"/>
        </w:rPr>
        <w:t>1.绩效评价的目的</w:t>
      </w:r>
    </w:p>
    <w:p>
      <w:pPr>
        <w:pageBreakBefore w:val="0"/>
        <w:widowControl w:val="0"/>
        <w:kinsoku/>
        <w:wordWrap/>
        <w:topLinePunct w:val="0"/>
        <w:autoSpaceDE/>
        <w:autoSpaceDN/>
        <w:bidi w:val="0"/>
        <w:spacing w:line="520" w:lineRule="exact"/>
        <w:ind w:firstLine="640"/>
        <w:jc w:val="both"/>
        <w:textAlignment w:val="auto"/>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r>
        <w:rPr>
          <w:rFonts w:hint="eastAsia"/>
          <w:b/>
          <w:bCs/>
          <w:color w:val="auto"/>
          <w:sz w:val="32"/>
          <w:szCs w:val="32"/>
        </w:rPr>
        <w:t>2.绩效评价的对象和范围</w:t>
      </w:r>
    </w:p>
    <w:p>
      <w:pPr>
        <w:pageBreakBefore w:val="0"/>
        <w:widowControl w:val="0"/>
        <w:kinsoku/>
        <w:wordWrap/>
        <w:topLinePunct w:val="0"/>
        <w:autoSpaceDE/>
        <w:autoSpaceDN/>
        <w:bidi w:val="0"/>
        <w:spacing w:line="520" w:lineRule="exact"/>
        <w:ind w:firstLine="640"/>
        <w:jc w:val="both"/>
        <w:textAlignment w:val="auto"/>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w:t>
      </w:r>
      <w:r>
        <w:rPr>
          <w:rFonts w:hint="eastAsia" w:ascii="仿宋_GB2312" w:hAnsi="仿宋_GB2312" w:cs="仿宋_GB2312"/>
          <w:color w:val="auto"/>
          <w:sz w:val="32"/>
          <w:szCs w:val="32"/>
          <w:highlight w:val="none"/>
        </w:rPr>
        <w:t>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Fonts w:hint="eastAsia"/>
          <w:color w:val="auto"/>
          <w:sz w:val="32"/>
          <w:szCs w:val="32"/>
          <w:highlight w:val="none"/>
          <w:lang w:val="en-US" w:eastAsia="zh-CN"/>
        </w:rPr>
        <w:t>智慧城市一期建设项目2022年还款</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w:t>
      </w:r>
      <w:r>
        <w:rPr>
          <w:rFonts w:hint="eastAsia" w:ascii="仿宋_GB2312"/>
          <w:color w:val="auto"/>
          <w:sz w:val="32"/>
          <w:szCs w:val="32"/>
        </w:rPr>
        <w:t>真执行；绩效目标的实现程度，包括是否达到预定产出和效果等方面开展综合评价。</w:t>
      </w:r>
    </w:p>
    <w:p>
      <w:pPr>
        <w:pStyle w:val="4"/>
        <w:pageBreakBefore w:val="0"/>
        <w:widowControl w:val="0"/>
        <w:numPr>
          <w:ilvl w:val="0"/>
          <w:numId w:val="4"/>
        </w:numPr>
        <w:kinsoku/>
        <w:wordWrap/>
        <w:topLinePunct w:val="0"/>
        <w:autoSpaceDE/>
        <w:autoSpaceDN/>
        <w:bidi w:val="0"/>
        <w:spacing w:line="520" w:lineRule="exact"/>
        <w:ind w:firstLine="643"/>
        <w:jc w:val="both"/>
        <w:textAlignment w:val="auto"/>
        <w:rPr>
          <w:rFonts w:ascii="楷体_GB2312" w:eastAsia="楷体_GB2312"/>
          <w:color w:val="auto"/>
          <w:szCs w:val="32"/>
        </w:rPr>
      </w:pPr>
      <w:r>
        <w:rPr>
          <w:rFonts w:hint="eastAsia" w:ascii="楷体_GB2312" w:eastAsia="楷体_GB2312"/>
          <w:color w:val="auto"/>
          <w:szCs w:val="32"/>
        </w:rPr>
        <w:t>评价工作简述</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r>
        <w:rPr>
          <w:rFonts w:hint="eastAsia"/>
          <w:b/>
          <w:bCs/>
          <w:color w:val="auto"/>
          <w:sz w:val="32"/>
          <w:szCs w:val="32"/>
        </w:rPr>
        <w:t>1.绩效评价原则</w:t>
      </w:r>
    </w:p>
    <w:p>
      <w:pPr>
        <w:pageBreakBefore w:val="0"/>
        <w:widowControl w:val="0"/>
        <w:kinsoku/>
        <w:wordWrap/>
        <w:topLinePunct w:val="0"/>
        <w:autoSpaceDE/>
        <w:autoSpaceDN/>
        <w:bidi w:val="0"/>
        <w:spacing w:line="520" w:lineRule="exact"/>
        <w:ind w:firstLine="640"/>
        <w:jc w:val="both"/>
        <w:textAlignment w:val="auto"/>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w:t>
      </w:r>
      <w:r>
        <w:rPr>
          <w:rFonts w:hint="eastAsia"/>
          <w:color w:val="auto"/>
          <w:sz w:val="32"/>
          <w:szCs w:val="32"/>
          <w:highlight w:val="none"/>
        </w:rPr>
        <w:t>效相关等原则，按照从投入、过程到产出效果和影响的绩效逻辑路径，结合</w:t>
      </w:r>
      <w:r>
        <w:rPr>
          <w:rFonts w:hint="eastAsia"/>
          <w:color w:val="auto"/>
          <w:sz w:val="32"/>
          <w:szCs w:val="32"/>
          <w:highlight w:val="none"/>
          <w:lang w:val="en-US" w:eastAsia="zh-CN"/>
        </w:rPr>
        <w:t>智慧城市一期建设项目2022年还款</w:t>
      </w:r>
      <w:r>
        <w:rPr>
          <w:rFonts w:hint="eastAsia"/>
          <w:color w:val="auto"/>
          <w:sz w:val="32"/>
          <w:szCs w:val="32"/>
          <w:highlight w:val="none"/>
        </w:rPr>
        <w:t>项目实际开展情况，运用定量</w:t>
      </w:r>
      <w:r>
        <w:rPr>
          <w:rFonts w:hint="eastAsia"/>
          <w:color w:val="auto"/>
          <w:sz w:val="32"/>
          <w:szCs w:val="32"/>
        </w:rPr>
        <w:t>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line="520" w:lineRule="exact"/>
        <w:ind w:firstLine="640"/>
        <w:jc w:val="both"/>
        <w:textAlignment w:val="auto"/>
        <w:rPr>
          <w:color w:val="auto"/>
          <w:sz w:val="32"/>
          <w:szCs w:val="32"/>
        </w:rPr>
      </w:pPr>
      <w:r>
        <w:rPr>
          <w:rFonts w:hint="eastAsia"/>
          <w:color w:val="auto"/>
          <w:sz w:val="32"/>
          <w:szCs w:val="32"/>
        </w:rPr>
        <w:t>根据以上原则，绩效评价遵循如下具体要求：</w:t>
      </w:r>
    </w:p>
    <w:p>
      <w:pPr>
        <w:pageBreakBefore w:val="0"/>
        <w:widowControl w:val="0"/>
        <w:kinsoku/>
        <w:wordWrap/>
        <w:topLinePunct w:val="0"/>
        <w:autoSpaceDE/>
        <w:autoSpaceDN/>
        <w:bidi w:val="0"/>
        <w:spacing w:line="520" w:lineRule="exact"/>
        <w:ind w:firstLine="640"/>
        <w:jc w:val="both"/>
        <w:textAlignment w:val="auto"/>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520" w:lineRule="exact"/>
        <w:ind w:firstLine="640"/>
        <w:jc w:val="both"/>
        <w:textAlignment w:val="auto"/>
        <w:rPr>
          <w:rFonts w:ascii="仿宋_GB2312"/>
          <w:color w:val="auto"/>
          <w:sz w:val="32"/>
          <w:szCs w:val="32"/>
        </w:rPr>
      </w:pPr>
      <w:r>
        <w:rPr>
          <w:rFonts w:hint="eastAsia" w:ascii="仿宋_GB2312"/>
          <w:color w:val="auto"/>
          <w:sz w:val="32"/>
          <w:szCs w:val="32"/>
        </w:rPr>
        <w:t>（2）保证评价结果的真实性、公正性，提高评价报告的公信力。</w:t>
      </w:r>
    </w:p>
    <w:p>
      <w:pPr>
        <w:pageBreakBefore w:val="0"/>
        <w:widowControl w:val="0"/>
        <w:kinsoku/>
        <w:wordWrap/>
        <w:topLinePunct w:val="0"/>
        <w:autoSpaceDE/>
        <w:autoSpaceDN/>
        <w:bidi w:val="0"/>
        <w:spacing w:line="520" w:lineRule="exact"/>
        <w:ind w:firstLine="640"/>
        <w:jc w:val="both"/>
        <w:textAlignment w:val="auto"/>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bookmarkStart w:id="9" w:name="_Toc419984722"/>
      <w:bookmarkStart w:id="10" w:name="_Toc1913"/>
      <w:bookmarkStart w:id="11" w:name="_Toc26131"/>
      <w:bookmarkStart w:id="12" w:name="_Toc428278230"/>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pageBreakBefore w:val="0"/>
        <w:widowControl w:val="0"/>
        <w:kinsoku/>
        <w:wordWrap/>
        <w:topLinePunct w:val="0"/>
        <w:autoSpaceDE/>
        <w:autoSpaceDN/>
        <w:bidi w:val="0"/>
        <w:spacing w:line="520" w:lineRule="exact"/>
        <w:ind w:firstLine="640"/>
        <w:jc w:val="both"/>
        <w:textAlignment w:val="auto"/>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pageBreakBefore w:val="0"/>
        <w:widowControl w:val="0"/>
        <w:kinsoku/>
        <w:wordWrap/>
        <w:topLinePunct w:val="0"/>
        <w:autoSpaceDE/>
        <w:autoSpaceDN/>
        <w:bidi w:val="0"/>
        <w:spacing w:line="520" w:lineRule="exact"/>
        <w:ind w:firstLine="640"/>
        <w:jc w:val="both"/>
        <w:textAlignment w:val="auto"/>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pageBreakBefore w:val="0"/>
        <w:widowControl w:val="0"/>
        <w:kinsoku/>
        <w:wordWrap/>
        <w:topLinePunct w:val="0"/>
        <w:autoSpaceDE/>
        <w:autoSpaceDN/>
        <w:bidi w:val="0"/>
        <w:spacing w:line="520" w:lineRule="exact"/>
        <w:ind w:firstLine="640"/>
        <w:jc w:val="both"/>
        <w:textAlignment w:val="auto"/>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w:t>
      </w:r>
      <w:r>
        <w:rPr>
          <w:rFonts w:hint="eastAsia" w:ascii="仿宋_GB2312"/>
          <w:color w:val="auto"/>
          <w:sz w:val="32"/>
          <w:szCs w:val="32"/>
          <w:highlight w:val="none"/>
          <w:lang w:val="en-US" w:eastAsia="zh-CN"/>
        </w:rPr>
        <w:t>社会成本、生态环境成本、</w:t>
      </w:r>
      <w:r>
        <w:rPr>
          <w:rFonts w:hint="eastAsia" w:ascii="仿宋_GB2312"/>
          <w:color w:val="auto"/>
          <w:sz w:val="32"/>
          <w:szCs w:val="32"/>
          <w:highlight w:val="none"/>
        </w:rPr>
        <w:t>项目效益。</w:t>
      </w:r>
    </w:p>
    <w:p>
      <w:pPr>
        <w:pageBreakBefore w:val="0"/>
        <w:widowControl w:val="0"/>
        <w:kinsoku/>
        <w:wordWrap/>
        <w:topLinePunct w:val="0"/>
        <w:autoSpaceDE/>
        <w:autoSpaceDN/>
        <w:bidi w:val="0"/>
        <w:spacing w:line="520" w:lineRule="exact"/>
        <w:ind w:firstLine="640"/>
        <w:jc w:val="both"/>
        <w:textAlignment w:val="auto"/>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r>
        <w:rPr>
          <w:rFonts w:hint="eastAsia"/>
          <w:b/>
          <w:bCs/>
          <w:color w:val="auto"/>
          <w:sz w:val="32"/>
          <w:szCs w:val="32"/>
        </w:rPr>
        <w:t>3.评价方法</w:t>
      </w:r>
    </w:p>
    <w:p>
      <w:pPr>
        <w:pStyle w:val="22"/>
        <w:pageBreakBefore w:val="0"/>
        <w:widowControl w:val="0"/>
        <w:tabs>
          <w:tab w:val="left" w:pos="1559"/>
        </w:tabs>
        <w:kinsoku/>
        <w:wordWrap/>
        <w:topLinePunct w:val="0"/>
        <w:autoSpaceDE/>
        <w:autoSpaceDN/>
        <w:bidi w:val="0"/>
        <w:adjustRightInd w:val="0"/>
        <w:snapToGrid w:val="0"/>
        <w:spacing w:line="520" w:lineRule="exact"/>
        <w:ind w:firstLine="640"/>
        <w:jc w:val="both"/>
        <w:textAlignment w:val="auto"/>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2"/>
        <w:pageBreakBefore w:val="0"/>
        <w:widowControl w:val="0"/>
        <w:tabs>
          <w:tab w:val="left" w:pos="1559"/>
        </w:tabs>
        <w:kinsoku/>
        <w:wordWrap/>
        <w:topLinePunct w:val="0"/>
        <w:autoSpaceDE/>
        <w:autoSpaceDN/>
        <w:bidi w:val="0"/>
        <w:adjustRightInd w:val="0"/>
        <w:snapToGrid w:val="0"/>
        <w:spacing w:line="520" w:lineRule="exact"/>
        <w:ind w:firstLine="640"/>
        <w:jc w:val="both"/>
        <w:textAlignment w:val="auto"/>
        <w:rPr>
          <w:rFonts w:ascii="仿宋_GB2312" w:hAnsi="仿宋_GB2312" w:cs="仿宋_GB2312"/>
          <w:bCs/>
          <w:color w:val="auto"/>
          <w:sz w:val="32"/>
          <w:szCs w:val="32"/>
        </w:rPr>
      </w:pPr>
      <w:r>
        <w:rPr>
          <w:rFonts w:hint="eastAsia" w:ascii="仿宋_GB2312" w:hAnsi="仿宋_GB2312" w:cs="仿宋_GB2312"/>
          <w:bCs/>
          <w:color w:val="auto"/>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22"/>
        <w:pageBreakBefore w:val="0"/>
        <w:widowControl w:val="0"/>
        <w:tabs>
          <w:tab w:val="left" w:pos="1559"/>
        </w:tabs>
        <w:kinsoku/>
        <w:wordWrap/>
        <w:topLinePunct w:val="0"/>
        <w:autoSpaceDE/>
        <w:autoSpaceDN/>
        <w:bidi w:val="0"/>
        <w:adjustRightInd w:val="0"/>
        <w:snapToGrid w:val="0"/>
        <w:spacing w:line="520" w:lineRule="exact"/>
        <w:ind w:firstLine="640"/>
        <w:jc w:val="both"/>
        <w:textAlignment w:val="auto"/>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520" w:lineRule="exact"/>
        <w:jc w:val="both"/>
        <w:textAlignment w:val="auto"/>
        <w:rPr>
          <w:rFonts w:hint="eastAsia"/>
          <w:b/>
          <w:bCs/>
          <w:color w:val="auto"/>
          <w:sz w:val="32"/>
          <w:szCs w:val="32"/>
        </w:rPr>
      </w:pPr>
      <w:r>
        <w:rPr>
          <w:rFonts w:hint="eastAsia"/>
          <w:b/>
          <w:bCs/>
          <w:color w:val="auto"/>
          <w:sz w:val="32"/>
          <w:szCs w:val="32"/>
        </w:rPr>
        <w:t>4.评价标准</w:t>
      </w:r>
    </w:p>
    <w:p>
      <w:pPr>
        <w:pageBreakBefore w:val="0"/>
        <w:widowControl w:val="0"/>
        <w:kinsoku/>
        <w:wordWrap/>
        <w:topLinePunct w:val="0"/>
        <w:autoSpaceDE/>
        <w:autoSpaceDN/>
        <w:bidi w:val="0"/>
        <w:spacing w:line="520" w:lineRule="exact"/>
        <w:ind w:firstLine="640"/>
        <w:jc w:val="both"/>
        <w:textAlignment w:val="auto"/>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pageBreakBefore w:val="0"/>
        <w:widowControl w:val="0"/>
        <w:kinsoku/>
        <w:wordWrap/>
        <w:topLinePunct w:val="0"/>
        <w:autoSpaceDE/>
        <w:autoSpaceDN/>
        <w:bidi w:val="0"/>
        <w:spacing w:line="520" w:lineRule="exact"/>
        <w:ind w:left="420" w:firstLine="0" w:firstLineChars="0"/>
        <w:jc w:val="both"/>
        <w:textAlignment w:val="auto"/>
        <w:rPr>
          <w:color w:val="auto"/>
          <w:szCs w:val="32"/>
        </w:rPr>
      </w:pPr>
      <w:r>
        <w:rPr>
          <w:rFonts w:hint="eastAsia"/>
          <w:color w:val="auto"/>
          <w:szCs w:val="32"/>
        </w:rPr>
        <w:t>（三）绩效评价工作过程</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1"/>
        <w:pageBreakBefore w:val="0"/>
        <w:widowControl w:val="0"/>
        <w:kinsoku/>
        <w:wordWrap/>
        <w:topLinePunct w:val="0"/>
        <w:autoSpaceDE/>
        <w:autoSpaceDN/>
        <w:bidi w:val="0"/>
        <w:spacing w:line="520" w:lineRule="exact"/>
        <w:ind w:firstLine="640"/>
        <w:jc w:val="both"/>
        <w:textAlignment w:val="auto"/>
        <w:rPr>
          <w:rFonts w:hint="eastAsia" w:ascii="仿宋_GB2312" w:hAnsi="仿宋_GB2312" w:cs="仿宋_GB2312"/>
          <w:color w:val="auto"/>
          <w:sz w:val="32"/>
          <w:szCs w:val="32"/>
          <w:highlight w:val="none"/>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w:t>
      </w:r>
      <w:r>
        <w:rPr>
          <w:rFonts w:hint="eastAsia" w:ascii="仿宋_GB2312" w:hAnsi="仿宋_GB2312" w:cs="仿宋_GB2312"/>
          <w:color w:val="auto"/>
          <w:sz w:val="32"/>
          <w:szCs w:val="32"/>
          <w:highlight w:val="none"/>
        </w:rPr>
        <w:t>评价工作组，作为绩效评价工作具体实施机构。成员构成如下：</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马兵</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曹小霞</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highlight w:val="none"/>
          <w:lang w:val="en-US" w:eastAsia="zh-CN"/>
        </w:rPr>
        <w:t>赵瑞、刘娟、范伟海</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王婉宁</w:t>
      </w:r>
      <w:r>
        <w:rPr>
          <w:rFonts w:hint="eastAsia" w:ascii="仿宋_GB2312" w:hAnsi="仿宋_GB2312" w:cs="仿宋_GB2312"/>
          <w:color w:val="auto"/>
          <w:sz w:val="32"/>
          <w:szCs w:val="32"/>
          <w:highlight w:val="none"/>
        </w:rPr>
        <w:t>任评价组成员，</w:t>
      </w:r>
      <w:r>
        <w:rPr>
          <w:rFonts w:hint="eastAsia" w:ascii="仿宋_GB2312" w:hAnsi="仿宋_GB2312" w:cs="仿宋_GB2312"/>
          <w:color w:val="auto"/>
          <w:sz w:val="32"/>
          <w:szCs w:val="32"/>
        </w:rPr>
        <w:t>绩效评价工作职责为做好项目支出绩效评价工作的沟通协调工作，对项目实施情况进行实地调查，编写项目支出绩效评价报告。</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5"/>
        </w:numPr>
        <w:kinsoku/>
        <w:wordWrap/>
        <w:topLinePunct w:val="0"/>
        <w:autoSpaceDE/>
        <w:autoSpaceDN/>
        <w:bidi w:val="0"/>
        <w:spacing w:line="520" w:lineRule="exact"/>
        <w:ind w:firstLine="640"/>
        <w:jc w:val="both"/>
        <w:textAlignment w:val="auto"/>
        <w:rPr>
          <w:color w:val="auto"/>
          <w:szCs w:val="32"/>
        </w:rPr>
      </w:pPr>
      <w:r>
        <w:rPr>
          <w:rFonts w:hint="eastAsia"/>
          <w:color w:val="auto"/>
          <w:szCs w:val="32"/>
        </w:rPr>
        <w:t>综合评价情况及评价结论</w:t>
      </w:r>
    </w:p>
    <w:p>
      <w:pPr>
        <w:pStyle w:val="23"/>
        <w:pageBreakBefore w:val="0"/>
        <w:widowControl w:val="0"/>
        <w:kinsoku/>
        <w:wordWrap/>
        <w:topLinePunct w:val="0"/>
        <w:autoSpaceDE/>
        <w:autoSpaceDN/>
        <w:bidi w:val="0"/>
        <w:spacing w:before="0" w:after="0" w:line="520" w:lineRule="exact"/>
        <w:ind w:left="560"/>
        <w:jc w:val="both"/>
        <w:textAlignment w:val="auto"/>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pageBreakBefore w:val="0"/>
        <w:widowControl w:val="0"/>
        <w:kinsoku/>
        <w:wordWrap/>
        <w:topLinePunct w:val="0"/>
        <w:autoSpaceDE/>
        <w:autoSpaceDN/>
        <w:bidi w:val="0"/>
        <w:spacing w:line="520" w:lineRule="exact"/>
        <w:ind w:firstLine="640"/>
        <w:jc w:val="both"/>
        <w:textAlignment w:val="auto"/>
        <w:rPr>
          <w:rFonts w:ascii="仿宋_GB2312"/>
          <w:color w:val="auto"/>
          <w:sz w:val="32"/>
          <w:szCs w:val="32"/>
          <w:highlight w:val="none"/>
        </w:rPr>
      </w:pPr>
      <w:r>
        <w:rPr>
          <w:rFonts w:hint="eastAsia" w:ascii="仿宋_GB2312"/>
          <w:color w:val="auto"/>
          <w:sz w:val="32"/>
          <w:szCs w:val="32"/>
          <w:highlight w:val="none"/>
        </w:rPr>
        <w:t>通过</w:t>
      </w:r>
      <w:r>
        <w:rPr>
          <w:rFonts w:hint="eastAsia"/>
          <w:color w:val="auto"/>
          <w:sz w:val="32"/>
          <w:szCs w:val="32"/>
          <w:highlight w:val="none"/>
          <w:lang w:val="en-US" w:eastAsia="zh-CN"/>
        </w:rPr>
        <w:t>智慧城市一期建设项目2022年还款</w:t>
      </w:r>
      <w:r>
        <w:rPr>
          <w:rFonts w:hint="eastAsia" w:ascii="仿宋_GB2312"/>
          <w:color w:val="auto"/>
          <w:sz w:val="32"/>
          <w:szCs w:val="32"/>
          <w:highlight w:val="none"/>
        </w:rPr>
        <w:t>项目</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填写项目全称</w:t>
      </w:r>
      <w:r>
        <w:rPr>
          <w:rFonts w:hint="eastAsia" w:ascii="仿宋_GB2312"/>
          <w:color w:val="auto"/>
          <w:sz w:val="32"/>
          <w:szCs w:val="32"/>
          <w:highlight w:val="none"/>
          <w:lang w:eastAsia="zh-CN"/>
        </w:rPr>
        <w:t>）</w:t>
      </w:r>
      <w:r>
        <w:rPr>
          <w:rFonts w:hint="eastAsia" w:ascii="仿宋_GB2312"/>
          <w:color w:val="auto"/>
          <w:sz w:val="32"/>
          <w:szCs w:val="32"/>
          <w:highlight w:val="none"/>
        </w:rPr>
        <w:t>的实施，解决了</w:t>
      </w:r>
      <w:r>
        <w:rPr>
          <w:rFonts w:hint="eastAsia" w:ascii="仿宋_GB2312"/>
          <w:color w:val="auto"/>
          <w:sz w:val="32"/>
          <w:szCs w:val="32"/>
          <w:highlight w:val="none"/>
          <w:lang w:val="en-US" w:eastAsia="zh-CN"/>
        </w:rPr>
        <w:t>我市信息技术滞后等相关</w:t>
      </w:r>
      <w:r>
        <w:rPr>
          <w:rFonts w:hint="eastAsia" w:ascii="仿宋_GB2312"/>
          <w:color w:val="auto"/>
          <w:sz w:val="32"/>
          <w:szCs w:val="32"/>
          <w:highlight w:val="none"/>
        </w:rPr>
        <w:t>问题，实现了</w:t>
      </w:r>
      <w:r>
        <w:rPr>
          <w:rFonts w:hint="eastAsia" w:ascii="仿宋_GB2312"/>
          <w:color w:val="auto"/>
          <w:sz w:val="32"/>
          <w:szCs w:val="32"/>
          <w:highlight w:val="none"/>
          <w:lang w:val="en-US" w:eastAsia="zh-CN"/>
        </w:rPr>
        <w:t>网络和信息技术发展以及数字化应用向智慧化应用发展迈进趋势</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100</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pPr>
        <w:pStyle w:val="23"/>
        <w:pageBreakBefore w:val="0"/>
        <w:widowControl w:val="0"/>
        <w:kinsoku/>
        <w:wordWrap/>
        <w:topLinePunct w:val="0"/>
        <w:autoSpaceDE/>
        <w:autoSpaceDN/>
        <w:bidi w:val="0"/>
        <w:spacing w:before="0" w:after="0" w:line="520" w:lineRule="exact"/>
        <w:ind w:left="560"/>
        <w:jc w:val="both"/>
        <w:textAlignment w:val="auto"/>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pPr>
        <w:pageBreakBefore w:val="0"/>
        <w:widowControl w:val="0"/>
        <w:kinsoku/>
        <w:wordWrap/>
        <w:topLinePunct w:val="0"/>
        <w:autoSpaceDE/>
        <w:autoSpaceDN/>
        <w:bidi w:val="0"/>
        <w:spacing w:line="520" w:lineRule="exact"/>
        <w:ind w:firstLine="640"/>
        <w:jc w:val="both"/>
        <w:textAlignment w:val="auto"/>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color w:val="auto"/>
          <w:sz w:val="32"/>
          <w:szCs w:val="32"/>
          <w:highlight w:val="none"/>
          <w:lang w:val="en-US" w:eastAsia="zh-CN"/>
        </w:rPr>
        <w:t>智慧城市一期建设项目2022年还款</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100</w:t>
      </w:r>
      <w:r>
        <w:rPr>
          <w:rFonts w:hint="eastAsia" w:ascii="仿宋_GB2312"/>
          <w:color w:val="auto"/>
          <w:sz w:val="32"/>
          <w:szCs w:val="32"/>
          <w:highlight w:val="none"/>
        </w:rPr>
        <w:t>分。绩效评级为“</w:t>
      </w:r>
      <w:r>
        <w:rPr>
          <w:rFonts w:hint="eastAsia" w:ascii="仿宋_GB2312" w:cs="仿宋_GB2312"/>
          <w:color w:val="auto"/>
          <w:sz w:val="32"/>
          <w:szCs w:val="32"/>
          <w:highlight w:val="none"/>
          <w:lang w:val="en-US" w:eastAsia="zh-CN"/>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40</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pPr>
        <w:pStyle w:val="3"/>
        <w:pageBreakBefore w:val="0"/>
        <w:widowControl w:val="0"/>
        <w:kinsoku/>
        <w:wordWrap/>
        <w:topLinePunct w:val="0"/>
        <w:autoSpaceDE/>
        <w:autoSpaceDN/>
        <w:bidi w:val="0"/>
        <w:spacing w:line="520" w:lineRule="exact"/>
        <w:ind w:firstLine="640"/>
        <w:jc w:val="both"/>
        <w:textAlignment w:val="auto"/>
        <w:rPr>
          <w:color w:val="auto"/>
          <w:szCs w:val="32"/>
          <w:highlight w:val="none"/>
        </w:rPr>
      </w:pPr>
      <w:r>
        <w:rPr>
          <w:rFonts w:hint="eastAsia"/>
          <w:color w:val="auto"/>
          <w:szCs w:val="32"/>
          <w:highlight w:val="none"/>
        </w:rPr>
        <w:t>四、绩效评价指标分析</w:t>
      </w:r>
    </w:p>
    <w:p>
      <w:pPr>
        <w:pStyle w:val="4"/>
        <w:pageBreakBefore w:val="0"/>
        <w:widowControl w:val="0"/>
        <w:kinsoku/>
        <w:wordWrap/>
        <w:topLinePunct w:val="0"/>
        <w:autoSpaceDE/>
        <w:autoSpaceDN/>
        <w:bidi w:val="0"/>
        <w:spacing w:line="520" w:lineRule="exact"/>
        <w:ind w:firstLine="643"/>
        <w:jc w:val="both"/>
        <w:textAlignment w:val="auto"/>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pPr>
        <w:pageBreakBefore w:val="0"/>
        <w:widowControl w:val="0"/>
        <w:kinsoku/>
        <w:wordWrap/>
        <w:overflowPunct w:val="0"/>
        <w:topLinePunct w:val="0"/>
        <w:autoSpaceDE/>
        <w:autoSpaceDN/>
        <w:bidi w:val="0"/>
        <w:spacing w:line="520" w:lineRule="exact"/>
        <w:ind w:firstLine="640"/>
        <w:contextualSpacing/>
        <w:jc w:val="both"/>
        <w:textAlignment w:val="auto"/>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为</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pStyle w:val="24"/>
        <w:pageBreakBefore w:val="0"/>
        <w:widowControl w:val="0"/>
        <w:kinsoku/>
        <w:wordWrap/>
        <w:topLinePunct w:val="0"/>
        <w:autoSpaceDE/>
        <w:autoSpaceDN/>
        <w:bidi w:val="0"/>
        <w:spacing w:line="520" w:lineRule="exact"/>
        <w:ind w:firstLine="736"/>
        <w:jc w:val="both"/>
        <w:textAlignment w:val="auto"/>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val="en-US" w:eastAsia="zh-CN"/>
        </w:rPr>
        <w:t>沙湾县智慧城市领导小组</w:t>
      </w:r>
      <w:r>
        <w:rPr>
          <w:rFonts w:hint="eastAsia" w:cs="仿宋_GB2312"/>
          <w:color w:val="auto"/>
          <w:highlight w:val="none"/>
          <w:lang w:eastAsia="zh-Hans"/>
        </w:rPr>
        <w:t>单位提出申报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2014</w:t>
      </w:r>
      <w:r>
        <w:rPr>
          <w:rFonts w:hint="eastAsia" w:cs="仿宋_GB2312"/>
          <w:color w:val="auto"/>
          <w:highlight w:val="none"/>
          <w:lang w:eastAsia="zh-Hans"/>
        </w:rPr>
        <w:t>年</w:t>
      </w:r>
      <w:r>
        <w:rPr>
          <w:rFonts w:hint="eastAsia" w:cs="仿宋_GB2312"/>
          <w:color w:val="auto"/>
          <w:highlight w:val="none"/>
          <w:lang w:val="en-US" w:eastAsia="zh-CN"/>
        </w:rPr>
        <w:t>9</w:t>
      </w:r>
      <w:r>
        <w:rPr>
          <w:rFonts w:hint="eastAsia" w:cs="仿宋_GB2312"/>
          <w:color w:val="auto"/>
          <w:highlight w:val="none"/>
          <w:lang w:eastAsia="zh-Hans"/>
        </w:rPr>
        <w:t>月批复设立</w:t>
      </w:r>
      <w:r>
        <w:rPr>
          <w:rFonts w:cs="仿宋_GB2312"/>
          <w:color w:val="auto"/>
          <w:highlight w:val="none"/>
          <w:lang w:eastAsia="zh-Hans"/>
        </w:rPr>
        <w:t>，20</w:t>
      </w:r>
      <w:r>
        <w:rPr>
          <w:rFonts w:hint="eastAsia" w:cs="仿宋_GB2312"/>
          <w:color w:val="auto"/>
          <w:highlight w:val="none"/>
          <w:lang w:val="en-US" w:eastAsia="zh-CN"/>
        </w:rPr>
        <w:t>14</w:t>
      </w:r>
      <w:r>
        <w:rPr>
          <w:rFonts w:hint="eastAsia" w:cs="仿宋_GB2312"/>
          <w:color w:val="auto"/>
          <w:highlight w:val="none"/>
          <w:lang w:eastAsia="zh-Hans"/>
        </w:rPr>
        <w:t>年我单位根据</w:t>
      </w:r>
      <w:r>
        <w:rPr>
          <w:rFonts w:cs="仿宋_GB2312"/>
          <w:color w:val="auto"/>
          <w:highlight w:val="none"/>
          <w:lang w:eastAsia="zh-Hans"/>
        </w:rPr>
        <w:t>《</w:t>
      </w:r>
      <w:r>
        <w:rPr>
          <w:rFonts w:hint="eastAsia" w:cs="仿宋_GB2312"/>
          <w:color w:val="auto"/>
          <w:highlight w:val="none"/>
          <w:lang w:val="en-US" w:eastAsia="zh-CN"/>
        </w:rPr>
        <w:t>沙湾县智慧城市建设项目实施方案</w:t>
      </w:r>
      <w:r>
        <w:rPr>
          <w:rFonts w:cs="仿宋_GB2312"/>
          <w:color w:val="auto"/>
          <w:highlight w:val="none"/>
          <w:lang w:eastAsia="zh-Hans"/>
        </w:rPr>
        <w:t>》</w:t>
      </w:r>
      <w:r>
        <w:rPr>
          <w:rFonts w:hint="eastAsia" w:cs="仿宋_GB2312"/>
          <w:color w:val="auto"/>
          <w:highlight w:val="none"/>
          <w:lang w:val="en-US" w:eastAsia="zh-CN"/>
        </w:rPr>
        <w:t>的批复</w:t>
      </w:r>
      <w:r>
        <w:rPr>
          <w:rFonts w:cs="仿宋_GB2312"/>
          <w:color w:val="auto"/>
          <w:highlight w:val="none"/>
          <w:lang w:eastAsia="zh-Hans"/>
        </w:rPr>
        <w:t>（</w:t>
      </w:r>
      <w:r>
        <w:rPr>
          <w:rFonts w:hint="eastAsia" w:cs="仿宋_GB2312"/>
          <w:color w:val="auto"/>
          <w:highlight w:val="none"/>
          <w:lang w:val="en-US" w:eastAsia="zh-CN"/>
        </w:rPr>
        <w:t>沙发改字【2014】423号</w:t>
      </w:r>
      <w:r>
        <w:rPr>
          <w:rFonts w:cs="仿宋_GB2312"/>
          <w:color w:val="auto"/>
          <w:highlight w:val="none"/>
          <w:lang w:eastAsia="zh-Hans"/>
        </w:rPr>
        <w:t>）</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r>
        <w:rPr>
          <w:rFonts w:cs="仿宋_GB2312"/>
          <w:color w:val="auto"/>
          <w:highlight w:val="none"/>
        </w:rPr>
        <w:t>（</w:t>
      </w:r>
      <w:r>
        <w:rPr>
          <w:rFonts w:hint="eastAsia" w:cs="仿宋_GB2312"/>
          <w:color w:val="auto"/>
          <w:highlight w:val="none"/>
          <w:lang w:eastAsia="zh-Hans"/>
        </w:rPr>
        <w:t>如有扣分</w:t>
      </w:r>
      <w:r>
        <w:rPr>
          <w:rFonts w:cs="仿宋_GB2312"/>
          <w:color w:val="auto"/>
          <w:highlight w:val="none"/>
          <w:lang w:eastAsia="zh-Hans"/>
        </w:rPr>
        <w:t>，</w:t>
      </w:r>
      <w:r>
        <w:rPr>
          <w:rFonts w:hint="eastAsia" w:cs="仿宋_GB2312"/>
          <w:color w:val="auto"/>
          <w:highlight w:val="none"/>
          <w:lang w:val="en-US" w:eastAsia="zh-CN"/>
        </w:rPr>
        <w:t>如实填写</w:t>
      </w:r>
      <w:r>
        <w:rPr>
          <w:rFonts w:cs="仿宋_GB2312"/>
          <w:color w:val="auto"/>
          <w:highlight w:val="none"/>
        </w:rPr>
        <w:t>）</w:t>
      </w:r>
    </w:p>
    <w:p>
      <w:pPr>
        <w:pStyle w:val="24"/>
        <w:pageBreakBefore w:val="0"/>
        <w:widowControl w:val="0"/>
        <w:kinsoku/>
        <w:wordWrap/>
        <w:topLinePunct w:val="0"/>
        <w:autoSpaceDE/>
        <w:autoSpaceDN/>
        <w:bidi w:val="0"/>
        <w:spacing w:line="520" w:lineRule="exact"/>
        <w:ind w:firstLine="736"/>
        <w:jc w:val="both"/>
        <w:textAlignment w:val="auto"/>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ageBreakBefore w:val="0"/>
        <w:widowControl w:val="0"/>
        <w:kinsoku/>
        <w:wordWrap/>
        <w:topLinePunct w:val="0"/>
        <w:autoSpaceDE/>
        <w:autoSpaceDN/>
        <w:bidi w:val="0"/>
        <w:spacing w:line="520" w:lineRule="exact"/>
        <w:ind w:firstLine="643"/>
        <w:jc w:val="both"/>
        <w:textAlignment w:val="auto"/>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pageBreakBefore w:val="0"/>
        <w:widowControl w:val="0"/>
        <w:kinsoku/>
        <w:wordWrap/>
        <w:topLinePunct w:val="0"/>
        <w:autoSpaceDE/>
        <w:autoSpaceDN/>
        <w:bidi w:val="0"/>
        <w:spacing w:line="520" w:lineRule="exact"/>
        <w:ind w:firstLine="643"/>
        <w:jc w:val="both"/>
        <w:textAlignment w:val="auto"/>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pageBreakBefore w:val="0"/>
        <w:widowControl w:val="0"/>
        <w:kinsoku/>
        <w:wordWrap/>
        <w:topLinePunct w:val="0"/>
        <w:autoSpaceDE/>
        <w:autoSpaceDN/>
        <w:bidi w:val="0"/>
        <w:spacing w:line="520" w:lineRule="exact"/>
        <w:ind w:firstLine="643"/>
        <w:jc w:val="both"/>
        <w:textAlignment w:val="auto"/>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pageBreakBefore w:val="0"/>
        <w:widowControl w:val="0"/>
        <w:kinsoku/>
        <w:wordWrap/>
        <w:topLinePunct w:val="0"/>
        <w:autoSpaceDE/>
        <w:autoSpaceDN/>
        <w:bidi w:val="0"/>
        <w:spacing w:line="520" w:lineRule="exact"/>
        <w:ind w:firstLine="643"/>
        <w:jc w:val="both"/>
        <w:textAlignment w:val="auto"/>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pageBreakBefore w:val="0"/>
        <w:widowControl w:val="0"/>
        <w:kinsoku/>
        <w:wordWrap/>
        <w:topLinePunct w:val="0"/>
        <w:autoSpaceDE/>
        <w:autoSpaceDN/>
        <w:bidi w:val="0"/>
        <w:spacing w:line="520" w:lineRule="exact"/>
        <w:ind w:firstLine="643"/>
        <w:jc w:val="both"/>
        <w:textAlignment w:val="auto"/>
        <w:rPr>
          <w:rFonts w:hint="eastAsia" w:ascii="楷体_GB2312" w:eastAsia="楷体_GB2312"/>
          <w:color w:val="auto"/>
          <w:szCs w:val="32"/>
        </w:rPr>
      </w:pPr>
      <w:r>
        <w:rPr>
          <w:rFonts w:hint="eastAsia" w:ascii="楷体_GB2312" w:eastAsia="楷体_GB2312"/>
          <w:color w:val="auto"/>
          <w:szCs w:val="32"/>
        </w:rPr>
        <w:t>（二）项目过程情况</w:t>
      </w:r>
    </w:p>
    <w:p>
      <w:pPr>
        <w:pageBreakBefore w:val="0"/>
        <w:widowControl w:val="0"/>
        <w:kinsoku/>
        <w:wordWrap/>
        <w:overflowPunct w:val="0"/>
        <w:topLinePunct w:val="0"/>
        <w:autoSpaceDE/>
        <w:autoSpaceDN/>
        <w:bidi w:val="0"/>
        <w:spacing w:line="520" w:lineRule="exact"/>
        <w:ind w:firstLine="640"/>
        <w:contextualSpacing/>
        <w:jc w:val="both"/>
        <w:textAlignment w:val="auto"/>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为</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ageBreakBefore w:val="0"/>
        <w:widowControl w:val="0"/>
        <w:kinsoku/>
        <w:wordWrap/>
        <w:topLinePunct w:val="0"/>
        <w:autoSpaceDE/>
        <w:autoSpaceDN/>
        <w:bidi w:val="0"/>
        <w:spacing w:line="520" w:lineRule="exact"/>
        <w:ind w:firstLine="643"/>
        <w:jc w:val="both"/>
        <w:textAlignment w:val="auto"/>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ageBreakBefore w:val="0"/>
        <w:widowControl w:val="0"/>
        <w:kinsoku/>
        <w:wordWrap/>
        <w:topLinePunct w:val="0"/>
        <w:autoSpaceDE/>
        <w:autoSpaceDN/>
        <w:bidi w:val="0"/>
        <w:spacing w:line="520" w:lineRule="exact"/>
        <w:ind w:firstLine="643"/>
        <w:jc w:val="both"/>
        <w:textAlignment w:val="auto"/>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100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ageBreakBefore w:val="0"/>
        <w:widowControl w:val="0"/>
        <w:kinsoku/>
        <w:wordWrap/>
        <w:topLinePunct w:val="0"/>
        <w:autoSpaceDE/>
        <w:autoSpaceDN/>
        <w:bidi w:val="0"/>
        <w:spacing w:line="520" w:lineRule="exact"/>
        <w:ind w:firstLine="643"/>
        <w:jc w:val="both"/>
        <w:textAlignment w:val="auto"/>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rPr>
        <w:t>智慧城市一期建设项目2022年还款资金项目</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pageBreakBefore w:val="0"/>
        <w:widowControl w:val="0"/>
        <w:kinsoku/>
        <w:wordWrap/>
        <w:topLinePunct w:val="0"/>
        <w:autoSpaceDE/>
        <w:autoSpaceDN/>
        <w:bidi w:val="0"/>
        <w:spacing w:line="520" w:lineRule="exact"/>
        <w:ind w:firstLine="643"/>
        <w:jc w:val="both"/>
        <w:textAlignment w:val="auto"/>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rPr>
        <w:t>智慧城市一期建设项目2022年还款资金项目</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ageBreakBefore w:val="0"/>
        <w:widowControl w:val="0"/>
        <w:kinsoku/>
        <w:wordWrap/>
        <w:topLinePunct w:val="0"/>
        <w:autoSpaceDE/>
        <w:autoSpaceDN/>
        <w:bidi w:val="0"/>
        <w:spacing w:line="520" w:lineRule="exact"/>
        <w:ind w:firstLine="643"/>
        <w:jc w:val="both"/>
        <w:textAlignment w:val="auto"/>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pageBreakBefore w:val="0"/>
        <w:widowControl w:val="0"/>
        <w:kinsoku/>
        <w:wordWrap/>
        <w:topLinePunct w:val="0"/>
        <w:autoSpaceDE/>
        <w:autoSpaceDN/>
        <w:bidi w:val="0"/>
        <w:spacing w:line="520" w:lineRule="exact"/>
        <w:ind w:firstLine="643"/>
        <w:jc w:val="both"/>
        <w:textAlignment w:val="auto"/>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pPr>
        <w:pageBreakBefore w:val="0"/>
        <w:widowControl w:val="0"/>
        <w:kinsoku/>
        <w:wordWrap/>
        <w:overflowPunct w:val="0"/>
        <w:topLinePunct w:val="0"/>
        <w:autoSpaceDE/>
        <w:autoSpaceDN/>
        <w:bidi w:val="0"/>
        <w:spacing w:line="520" w:lineRule="exact"/>
        <w:ind w:firstLine="640"/>
        <w:contextualSpacing/>
        <w:jc w:val="both"/>
        <w:textAlignment w:val="auto"/>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40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pageBreakBefore w:val="0"/>
        <w:widowControl w:val="0"/>
        <w:kinsoku/>
        <w:wordWrap/>
        <w:topLinePunct w:val="0"/>
        <w:autoSpaceDE/>
        <w:autoSpaceDN/>
        <w:bidi w:val="0"/>
        <w:spacing w:line="520" w:lineRule="exact"/>
        <w:ind w:firstLineChars="0"/>
        <w:jc w:val="both"/>
        <w:textAlignment w:val="auto"/>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pPr>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“偿还单位个数（个）”指标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宋体" w:hAnsi="宋体" w:eastAsia="宋体" w:cs="仿宋_GB2312"/>
          <w:color w:val="auto"/>
          <w:sz w:val="32"/>
          <w:szCs w:val="32"/>
          <w:highlight w:val="none"/>
          <w:lang w:eastAsia="zh-Hans"/>
        </w:rPr>
        <w:t>=1个</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资金支付凭证、工作总结、立项批复、合同</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完成偿还单位个数</w:t>
      </w:r>
      <w:r>
        <w:rPr>
          <w:rFonts w:hint="eastAsia" w:ascii="仿宋_GB2312" w:hAnsi="仿宋_GB2312" w:cs="仿宋_GB2312"/>
          <w:color w:val="auto"/>
          <w:sz w:val="32"/>
          <w:szCs w:val="32"/>
          <w:highlight w:val="none"/>
          <w:lang w:val="en-US" w:eastAsia="zh-CN"/>
        </w:rPr>
        <w:t>1个</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rPr>
        <w:t>分。</w:t>
      </w:r>
    </w:p>
    <w:p>
      <w:pPr>
        <w:pageBreakBefore w:val="0"/>
        <w:widowControl w:val="0"/>
        <w:kinsoku/>
        <w:wordWrap/>
        <w:topLinePunct w:val="0"/>
        <w:autoSpaceDE/>
        <w:autoSpaceDN/>
        <w:bidi w:val="0"/>
        <w:spacing w:line="520" w:lineRule="exact"/>
        <w:ind w:firstLine="643"/>
        <w:jc w:val="both"/>
        <w:textAlignment w:val="auto"/>
        <w:rPr>
          <w:rFonts w:ascii="仿宋_GB2312"/>
          <w:b/>
          <w:bCs/>
          <w:color w:val="auto"/>
          <w:sz w:val="32"/>
          <w:highlight w:val="none"/>
        </w:rPr>
      </w:pPr>
      <w:r>
        <w:rPr>
          <w:rFonts w:hint="eastAsia" w:ascii="仿宋_GB2312"/>
          <w:b/>
          <w:bCs/>
          <w:color w:val="auto"/>
          <w:sz w:val="32"/>
          <w:highlight w:val="none"/>
        </w:rPr>
        <w:t>2.产出质量</w:t>
      </w:r>
    </w:p>
    <w:p>
      <w:pPr>
        <w:pageBreakBefore w:val="0"/>
        <w:widowControl w:val="0"/>
        <w:kinsoku/>
        <w:wordWrap/>
        <w:topLinePunct w:val="0"/>
        <w:autoSpaceDE/>
        <w:autoSpaceDN/>
        <w:bidi w:val="0"/>
        <w:spacing w:line="520" w:lineRule="exact"/>
        <w:ind w:firstLine="64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 xml:space="preserve"> 资金使用规范率（%）”指标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宋体" w:hAnsi="宋体" w:eastAsia="宋体" w:cs="仿宋_GB2312"/>
          <w:color w:val="auto"/>
          <w:sz w:val="32"/>
          <w:szCs w:val="32"/>
          <w:highlight w:val="none"/>
          <w:lang w:val="en-US" w:eastAsia="zh-CN"/>
        </w:rPr>
        <w:t>=100%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资金支付凭证</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完成资金使用规范率</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，指标完成率为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%，该指标</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10</w:t>
      </w:r>
      <w:r>
        <w:rPr>
          <w:rFonts w:hint="eastAsia" w:ascii="仿宋_GB2312" w:hAnsi="仿宋_GB2312" w:cs="仿宋_GB2312"/>
          <w:color w:val="auto"/>
          <w:sz w:val="32"/>
          <w:szCs w:val="32"/>
          <w:highlight w:val="none"/>
        </w:rPr>
        <w:t>分。</w:t>
      </w:r>
    </w:p>
    <w:p>
      <w:pPr>
        <w:pStyle w:val="6"/>
        <w:pageBreakBefore w:val="0"/>
        <w:widowControl w:val="0"/>
        <w:kinsoku/>
        <w:wordWrap/>
        <w:topLinePunct w:val="0"/>
        <w:autoSpaceDE/>
        <w:autoSpaceDN/>
        <w:bidi w:val="0"/>
        <w:spacing w:before="0" w:after="0" w:line="520" w:lineRule="exact"/>
        <w:ind w:left="643" w:firstLine="0" w:firstLineChars="0"/>
        <w:jc w:val="both"/>
        <w:textAlignment w:val="auto"/>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pPr>
        <w:pageBreakBefore w:val="0"/>
        <w:widowControl w:val="0"/>
        <w:kinsoku/>
        <w:wordWrap/>
        <w:topLinePunct w:val="0"/>
        <w:autoSpaceDE/>
        <w:autoSpaceDN/>
        <w:bidi w:val="0"/>
        <w:spacing w:line="520" w:lineRule="exact"/>
        <w:ind w:firstLine="64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 xml:space="preserve"> 还款期限能按时还款率（%）”指标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宋体" w:hAnsi="宋体" w:eastAsia="宋体" w:cs="仿宋_GB2312"/>
          <w:color w:val="auto"/>
          <w:sz w:val="32"/>
          <w:szCs w:val="32"/>
          <w:highlight w:val="none"/>
          <w:lang w:val="en-US" w:eastAsia="zh-CN"/>
        </w:rPr>
        <w:t>=100%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资金支付凭证</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完成还款期限能按时还款率</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，指标完成率为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pPr>
        <w:pageBreakBefore w:val="0"/>
        <w:widowControl w:val="0"/>
        <w:kinsoku/>
        <w:wordWrap/>
        <w:topLinePunct w:val="0"/>
        <w:autoSpaceDE/>
        <w:autoSpaceDN/>
        <w:bidi w:val="0"/>
        <w:spacing w:line="520" w:lineRule="exact"/>
        <w:ind w:firstLine="640"/>
        <w:jc w:val="both"/>
        <w:textAlignment w:val="auto"/>
        <w:rPr>
          <w:rFonts w:hint="eastAsia" w:ascii="仿宋_GB2312" w:hAnsi="仿宋_GB2312" w:cs="仿宋_GB2312"/>
          <w:color w:val="auto"/>
          <w:sz w:val="32"/>
          <w:szCs w:val="32"/>
          <w:highlight w:val="yellow"/>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本年度还款完成时间（年月日）”指标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val="en-US" w:eastAsia="zh-CN"/>
        </w:rPr>
        <w:t>2023年12月25日前</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资金支付凭证</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完成本年度还款完成时间</w:t>
      </w:r>
      <w:r>
        <w:rPr>
          <w:rFonts w:hint="eastAsia" w:ascii="宋体" w:hAnsi="宋体" w:eastAsia="宋体" w:cs="仿宋_GB2312"/>
          <w:color w:val="auto"/>
          <w:sz w:val="32"/>
          <w:szCs w:val="32"/>
          <w:highlight w:val="none"/>
          <w:lang w:val="en-US" w:eastAsia="zh-CN"/>
        </w:rPr>
        <w:t>2023年12月25日前</w:t>
      </w:r>
      <w:r>
        <w:rPr>
          <w:rFonts w:hint="eastAsia" w:ascii="仿宋_GB2312" w:hAnsi="仿宋_GB2312" w:cs="仿宋_GB2312"/>
          <w:color w:val="auto"/>
          <w:sz w:val="32"/>
          <w:szCs w:val="32"/>
          <w:highlight w:val="none"/>
        </w:rPr>
        <w:t>，指标完成率为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pPr>
        <w:pStyle w:val="6"/>
        <w:pageBreakBefore w:val="0"/>
        <w:widowControl w:val="0"/>
        <w:kinsoku/>
        <w:wordWrap/>
        <w:topLinePunct w:val="0"/>
        <w:autoSpaceDE/>
        <w:autoSpaceDN/>
        <w:bidi w:val="0"/>
        <w:spacing w:before="0" w:after="0" w:line="520" w:lineRule="exact"/>
        <w:ind w:left="643" w:firstLine="0" w:firstLineChars="0"/>
        <w:jc w:val="both"/>
        <w:textAlignment w:val="auto"/>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pageBreakBefore w:val="0"/>
        <w:widowControl w:val="0"/>
        <w:kinsoku/>
        <w:wordWrap/>
        <w:topLinePunct w:val="0"/>
        <w:autoSpaceDE/>
        <w:autoSpaceDN/>
        <w:bidi w:val="0"/>
        <w:spacing w:line="520" w:lineRule="exact"/>
        <w:ind w:firstLine="640"/>
        <w:jc w:val="both"/>
        <w:textAlignment w:val="auto"/>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还款本金金额（万元）</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宋体" w:hAnsi="宋体" w:eastAsia="宋体" w:cs="Arial"/>
          <w:color w:val="auto"/>
          <w:sz w:val="32"/>
          <w:szCs w:val="32"/>
          <w:highlight w:val="none"/>
          <w:lang w:eastAsia="zh-Hans"/>
        </w:rPr>
        <w:t>=100万元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还款金额100</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w:t>
      </w:r>
    </w:p>
    <w:p>
      <w:pPr>
        <w:pStyle w:val="4"/>
        <w:pageBreakBefore w:val="0"/>
        <w:widowControl w:val="0"/>
        <w:kinsoku/>
        <w:wordWrap/>
        <w:topLinePunct w:val="0"/>
        <w:autoSpaceDE/>
        <w:autoSpaceDN/>
        <w:bidi w:val="0"/>
        <w:spacing w:line="520" w:lineRule="exact"/>
        <w:ind w:left="560" w:leftChars="200" w:firstLine="0" w:firstLineChars="0"/>
        <w:jc w:val="both"/>
        <w:textAlignment w:val="auto"/>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pageBreakBefore w:val="0"/>
        <w:widowControl w:val="0"/>
        <w:kinsoku/>
        <w:wordWrap/>
        <w:overflowPunct w:val="0"/>
        <w:topLinePunct w:val="0"/>
        <w:autoSpaceDE/>
        <w:autoSpaceDN/>
        <w:bidi w:val="0"/>
        <w:spacing w:line="520" w:lineRule="exact"/>
        <w:ind w:firstLine="640"/>
        <w:contextualSpacing/>
        <w:jc w:val="both"/>
        <w:textAlignment w:val="auto"/>
        <w:rPr>
          <w:rFonts w:ascii="仿宋_GB2312" w:hAnsi="仿宋_GB2312" w:cs="仿宋_GB2312"/>
          <w:color w:val="auto"/>
          <w:sz w:val="32"/>
          <w:szCs w:val="32"/>
          <w:highlight w:val="none"/>
          <w:lang w:eastAsia="zh-Hans"/>
        </w:rPr>
      </w:pPr>
      <w:r>
        <w:rPr>
          <w:rFonts w:hint="eastAsia"/>
          <w:color w:val="auto"/>
          <w:sz w:val="32"/>
          <w:szCs w:val="32"/>
          <w:highlight w:val="none"/>
          <w:u w:color="000000"/>
          <w:lang w:val="zh-TW" w:eastAsia="zh-TW"/>
        </w:rPr>
        <w:t>项目</w:t>
      </w:r>
      <w:r>
        <w:rPr>
          <w:rFonts w:hint="eastAsia" w:ascii="仿宋_GB2312"/>
          <w:color w:val="auto"/>
          <w:sz w:val="32"/>
          <w:szCs w:val="32"/>
          <w:highlight w:val="none"/>
        </w:rPr>
        <w:t>效益</w:t>
      </w:r>
      <w:r>
        <w:rPr>
          <w:rFonts w:hint="eastAsia"/>
          <w:color w:val="auto"/>
          <w:sz w:val="32"/>
          <w:szCs w:val="32"/>
          <w:highlight w:val="none"/>
          <w:u w:color="000000"/>
          <w:lang w:val="zh-TW" w:eastAsia="zh-TW"/>
        </w:rPr>
        <w:t>类指标由</w:t>
      </w:r>
      <w:r>
        <w:rPr>
          <w:rFonts w:hint="eastAsia"/>
          <w:color w:val="auto"/>
          <w:sz w:val="32"/>
          <w:szCs w:val="32"/>
          <w:highlight w:val="none"/>
          <w:u w:color="000000"/>
          <w:lang w:val="en-US" w:eastAsia="zh-CN"/>
        </w:rPr>
        <w:t>社会效益1</w:t>
      </w:r>
      <w:r>
        <w:rPr>
          <w:rFonts w:hint="eastAsia"/>
          <w:color w:val="auto"/>
          <w:sz w:val="32"/>
          <w:szCs w:val="32"/>
          <w:highlight w:val="none"/>
          <w:u w:color="000000"/>
          <w:lang w:val="zh-TW" w:eastAsia="zh-TW"/>
        </w:rPr>
        <w:t>个</w:t>
      </w:r>
      <w:r>
        <w:rPr>
          <w:rFonts w:hint="eastAsia"/>
          <w:color w:val="auto"/>
          <w:sz w:val="32"/>
          <w:szCs w:val="32"/>
          <w:highlight w:val="none"/>
          <w:u w:color="000000"/>
          <w:lang w:val="zh-TW"/>
        </w:rPr>
        <w:t>二</w:t>
      </w:r>
      <w:r>
        <w:rPr>
          <w:rFonts w:hint="eastAsia"/>
          <w:color w:val="auto"/>
          <w:sz w:val="32"/>
          <w:szCs w:val="32"/>
          <w:highlight w:val="none"/>
          <w:u w:color="000000"/>
          <w:lang w:val="zh-TW" w:eastAsia="zh-TW"/>
        </w:rPr>
        <w:t>级指标和</w:t>
      </w:r>
      <w:r>
        <w:rPr>
          <w:rFonts w:hint="eastAsia"/>
          <w:color w:val="auto"/>
          <w:sz w:val="32"/>
          <w:szCs w:val="32"/>
          <w:highlight w:val="none"/>
          <w:u w:color="000000"/>
          <w:lang w:val="en-US" w:eastAsia="zh-CN"/>
        </w:rPr>
        <w:t>1</w:t>
      </w:r>
      <w:r>
        <w:rPr>
          <w:rFonts w:hint="eastAsia"/>
          <w:color w:val="auto"/>
          <w:sz w:val="32"/>
          <w:szCs w:val="32"/>
          <w:highlight w:val="none"/>
          <w:u w:color="000000"/>
          <w:lang w:val="zh-TW" w:eastAsia="zh-TW"/>
        </w:rPr>
        <w:t>个</w:t>
      </w:r>
      <w:r>
        <w:rPr>
          <w:rFonts w:hint="eastAsia"/>
          <w:color w:val="auto"/>
          <w:sz w:val="32"/>
          <w:szCs w:val="32"/>
          <w:highlight w:val="none"/>
          <w:u w:color="000000"/>
        </w:rPr>
        <w:t>三</w:t>
      </w:r>
      <w:r>
        <w:rPr>
          <w:rFonts w:hint="eastAsia"/>
          <w:color w:val="auto"/>
          <w:sz w:val="32"/>
          <w:szCs w:val="32"/>
          <w:highlight w:val="none"/>
          <w:u w:color="000000"/>
          <w:lang w:val="zh-TW" w:eastAsia="zh-TW"/>
        </w:rPr>
        <w:t>级指标构成，</w:t>
      </w:r>
      <w:r>
        <w:rPr>
          <w:rFonts w:hint="eastAsia" w:ascii="仿宋_GB2312" w:cs="仿宋_GB2312"/>
          <w:color w:val="auto"/>
          <w:sz w:val="32"/>
          <w:szCs w:val="32"/>
          <w:highlight w:val="none"/>
        </w:rPr>
        <w:t>权重分为</w:t>
      </w:r>
      <w:r>
        <w:rPr>
          <w:rFonts w:hint="eastAsia" w:ascii="仿宋_GB2312" w:cs="仿宋_GB2312"/>
          <w:color w:val="auto"/>
          <w:sz w:val="32"/>
          <w:szCs w:val="32"/>
          <w:highlight w:val="none"/>
          <w:lang w:val="en-US" w:eastAsia="zh-CN"/>
        </w:rPr>
        <w:t>2</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20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pageBreakBefore w:val="0"/>
        <w:widowControl w:val="0"/>
        <w:kinsoku/>
        <w:wordWrap/>
        <w:topLinePunct w:val="0"/>
        <w:autoSpaceDE/>
        <w:autoSpaceDN/>
        <w:bidi w:val="0"/>
        <w:spacing w:line="520" w:lineRule="exact"/>
        <w:ind w:firstLine="643"/>
        <w:jc w:val="both"/>
        <w:textAlignment w:val="auto"/>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pageBreakBefore w:val="0"/>
        <w:widowControl w:val="0"/>
        <w:kinsoku/>
        <w:wordWrap/>
        <w:topLinePunct w:val="0"/>
        <w:autoSpaceDE/>
        <w:autoSpaceDN/>
        <w:bidi w:val="0"/>
        <w:spacing w:line="520" w:lineRule="exact"/>
        <w:ind w:firstLine="640"/>
        <w:jc w:val="both"/>
        <w:textAlignment w:val="auto"/>
        <w:rPr>
          <w:color w:val="auto"/>
          <w:highlight w:val="none"/>
        </w:rPr>
      </w:pPr>
      <w:r>
        <w:rPr>
          <w:rFonts w:hint="eastAsia" w:ascii="仿宋_GB2312"/>
          <w:color w:val="auto"/>
          <w:sz w:val="32"/>
          <w:szCs w:val="32"/>
          <w:highlight w:val="none"/>
          <w:lang w:eastAsia="zh-Hans"/>
        </w:rPr>
        <w:t>“</w:t>
      </w:r>
      <w:r>
        <w:rPr>
          <w:rFonts w:hint="eastAsia" w:ascii="仿宋_GB2312"/>
          <w:color w:val="auto"/>
          <w:sz w:val="32"/>
          <w:szCs w:val="32"/>
          <w:highlight w:val="none"/>
        </w:rPr>
        <w:t>降低政府债务风险</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“有效</w:t>
      </w:r>
      <w:r>
        <w:rPr>
          <w:rFonts w:hint="eastAsia" w:ascii="仿宋_GB2312"/>
          <w:color w:val="auto"/>
          <w:sz w:val="32"/>
          <w:szCs w:val="32"/>
          <w:highlight w:val="none"/>
          <w:lang w:val="en-US" w:eastAsia="zh-CN"/>
        </w:rPr>
        <w:t>降低</w:t>
      </w:r>
      <w:r>
        <w:rPr>
          <w:rFonts w:hint="eastAsia" w:ascii="仿宋_GB2312"/>
          <w:color w:val="auto"/>
          <w:sz w:val="32"/>
          <w:szCs w:val="32"/>
          <w:highlight w:val="none"/>
          <w:lang w:eastAsia="zh-Hans"/>
        </w:rPr>
        <w:t>”，</w:t>
      </w:r>
      <w:r>
        <w:rPr>
          <w:rFonts w:hint="eastAsia"/>
          <w:color w:val="auto"/>
          <w:sz w:val="32"/>
          <w:szCs w:val="32"/>
          <w:highlight w:val="none"/>
        </w:rPr>
        <w:t>根据</w:t>
      </w:r>
      <w:r>
        <w:rPr>
          <w:rFonts w:hint="eastAsia" w:ascii="仿宋_GB2312"/>
          <w:color w:val="auto"/>
          <w:sz w:val="32"/>
          <w:szCs w:val="32"/>
          <w:highlight w:val="none"/>
          <w:lang w:val="en-US" w:eastAsia="zh-CN"/>
        </w:rPr>
        <w:t>工作总结</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达成年度指标</w:t>
      </w:r>
      <w:r>
        <w:rPr>
          <w:rFonts w:hint="eastAsia" w:ascii="仿宋_GB2312"/>
          <w:color w:val="auto"/>
          <w:sz w:val="32"/>
          <w:szCs w:val="32"/>
          <w:highlight w:val="none"/>
          <w:lang w:eastAsia="zh-Hans"/>
        </w:rPr>
        <w:t>”</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pPr>
        <w:pageBreakBefore w:val="0"/>
        <w:widowControl w:val="0"/>
        <w:kinsoku/>
        <w:wordWrap/>
        <w:topLinePunct w:val="0"/>
        <w:autoSpaceDE/>
        <w:autoSpaceDN/>
        <w:bidi w:val="0"/>
        <w:spacing w:line="520" w:lineRule="exact"/>
        <w:ind w:firstLine="640"/>
        <w:jc w:val="both"/>
        <w:textAlignment w:val="auto"/>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pPr>
        <w:pageBreakBefore w:val="0"/>
        <w:widowControl w:val="0"/>
        <w:kinsoku/>
        <w:wordWrap/>
        <w:topLinePunct w:val="0"/>
        <w:autoSpaceDE/>
        <w:autoSpaceDN/>
        <w:bidi w:val="0"/>
        <w:spacing w:line="520" w:lineRule="exact"/>
        <w:ind w:firstLine="640"/>
        <w:jc w:val="both"/>
        <w:textAlignment w:val="auto"/>
        <w:rPr>
          <w:rFonts w:hint="eastAsia" w:ascii="仿宋_GB2312" w:eastAsia="仿宋_GB2312"/>
          <w:b/>
          <w:color w:val="auto"/>
          <w:sz w:val="32"/>
          <w:szCs w:val="32"/>
          <w:highlight w:val="none"/>
          <w:lang w:eastAsia="zh-CN"/>
        </w:rPr>
      </w:pPr>
      <w:r>
        <w:rPr>
          <w:rFonts w:hint="eastAsia" w:ascii="仿宋_GB2312"/>
          <w:color w:val="auto"/>
          <w:sz w:val="32"/>
          <w:szCs w:val="32"/>
          <w:highlight w:val="none"/>
          <w:lang w:eastAsia="zh-CN"/>
        </w:rPr>
        <w:t>“</w:t>
      </w: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r>
        <w:rPr>
          <w:rFonts w:hint="eastAsia" w:ascii="仿宋_GB2312"/>
          <w:color w:val="auto"/>
          <w:sz w:val="32"/>
          <w:szCs w:val="32"/>
          <w:highlight w:val="none"/>
          <w:lang w:eastAsia="zh-CN"/>
        </w:rPr>
        <w:t>”</w:t>
      </w:r>
    </w:p>
    <w:p>
      <w:pPr>
        <w:pageBreakBefore w:val="0"/>
        <w:widowControl w:val="0"/>
        <w:kinsoku/>
        <w:wordWrap/>
        <w:topLinePunct w:val="0"/>
        <w:autoSpaceDE/>
        <w:autoSpaceDN/>
        <w:bidi w:val="0"/>
        <w:spacing w:line="520" w:lineRule="exact"/>
        <w:ind w:firstLine="643"/>
        <w:jc w:val="both"/>
        <w:textAlignment w:val="auto"/>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pPr>
        <w:pageBreakBefore w:val="0"/>
        <w:widowControl w:val="0"/>
        <w:kinsoku/>
        <w:wordWrap/>
        <w:topLinePunct w:val="0"/>
        <w:autoSpaceDE/>
        <w:autoSpaceDN/>
        <w:bidi w:val="0"/>
        <w:spacing w:line="520" w:lineRule="exact"/>
        <w:ind w:firstLine="640"/>
        <w:jc w:val="both"/>
        <w:textAlignment w:val="auto"/>
        <w:rPr>
          <w:rFonts w:hint="eastAsia" w:ascii="仿宋_GB2312" w:eastAsia="仿宋_GB2312"/>
          <w:b/>
          <w:color w:val="auto"/>
          <w:sz w:val="32"/>
          <w:szCs w:val="32"/>
          <w:highlight w:val="none"/>
          <w:lang w:eastAsia="zh-CN"/>
        </w:rPr>
      </w:pPr>
      <w:r>
        <w:rPr>
          <w:rFonts w:hint="eastAsia" w:ascii="仿宋_GB2312"/>
          <w:color w:val="auto"/>
          <w:sz w:val="32"/>
          <w:szCs w:val="32"/>
          <w:highlight w:val="none"/>
          <w:lang w:eastAsia="zh-CN"/>
        </w:rPr>
        <w:t>“</w:t>
      </w: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r>
        <w:rPr>
          <w:rFonts w:hint="eastAsia" w:ascii="仿宋_GB2312"/>
          <w:color w:val="auto"/>
          <w:sz w:val="32"/>
          <w:szCs w:val="32"/>
          <w:highlight w:val="none"/>
          <w:lang w:eastAsia="zh-CN"/>
        </w:rPr>
        <w:t>”</w:t>
      </w:r>
    </w:p>
    <w:p>
      <w:pPr>
        <w:pStyle w:val="4"/>
        <w:pageBreakBefore w:val="0"/>
        <w:widowControl w:val="0"/>
        <w:kinsoku/>
        <w:wordWrap/>
        <w:topLinePunct w:val="0"/>
        <w:autoSpaceDE/>
        <w:autoSpaceDN/>
        <w:bidi w:val="0"/>
        <w:spacing w:line="520" w:lineRule="exact"/>
        <w:ind w:left="560" w:leftChars="200" w:firstLine="0" w:firstLineChars="0"/>
        <w:jc w:val="both"/>
        <w:textAlignment w:val="auto"/>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pPr>
        <w:pStyle w:val="21"/>
        <w:pageBreakBefore w:val="0"/>
        <w:widowControl w:val="0"/>
        <w:kinsoku/>
        <w:wordWrap/>
        <w:topLinePunct w:val="0"/>
        <w:autoSpaceDE/>
        <w:autoSpaceDN/>
        <w:bidi w:val="0"/>
        <w:spacing w:line="520" w:lineRule="exact"/>
        <w:ind w:firstLine="640"/>
        <w:jc w:val="both"/>
        <w:textAlignment w:val="auto"/>
        <w:rPr>
          <w:rFonts w:hint="eastAsia" w:ascii="仿宋_GB2312" w:cs="仿宋_GB2312"/>
          <w:color w:val="auto"/>
          <w:kern w:val="2"/>
          <w:sz w:val="32"/>
          <w:szCs w:val="32"/>
          <w:highlight w:val="none"/>
        </w:rPr>
      </w:pPr>
      <w:bookmarkStart w:id="16" w:name="_Toc28290"/>
      <w:bookmarkStart w:id="17" w:name="_Toc1921"/>
      <w:r>
        <w:rPr>
          <w:rFonts w:hint="eastAsia" w:ascii="仿宋_GB2312" w:cs="仿宋_GB2312"/>
          <w:color w:val="auto"/>
          <w:kern w:val="2"/>
          <w:sz w:val="32"/>
          <w:szCs w:val="32"/>
          <w:highlight w:val="none"/>
          <w:lang w:val="en-US" w:eastAsia="zh-CN"/>
        </w:rPr>
        <w:t>例如：</w:t>
      </w:r>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eastAsia="zh-Hans"/>
        </w:rPr>
        <w:t>服务对象满意度”</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宋体" w:hAnsi="宋体" w:eastAsia="宋体" w:cs="仿宋_GB2312"/>
          <w:color w:val="auto"/>
          <w:kern w:val="2"/>
          <w:sz w:val="32"/>
          <w:szCs w:val="32"/>
          <w:highlight w:val="none"/>
          <w:lang w:val="en-US" w:eastAsia="zh-CN"/>
        </w:rPr>
        <w:t>=100%</w:t>
      </w:r>
      <w:r>
        <w:rPr>
          <w:rFonts w:hint="eastAsia" w:ascii="仿宋_GB2312" w:cs="仿宋_GB2312"/>
          <w:color w:val="auto"/>
          <w:kern w:val="2"/>
          <w:sz w:val="32"/>
          <w:szCs w:val="32"/>
          <w:highlight w:val="none"/>
          <w:lang w:eastAsia="zh-Hans"/>
        </w:rPr>
        <w:t>”，根据对</w:t>
      </w:r>
      <w:r>
        <w:rPr>
          <w:rFonts w:hint="eastAsia" w:ascii="仿宋_GB2312" w:cs="仿宋_GB2312"/>
          <w:color w:val="auto"/>
          <w:kern w:val="2"/>
          <w:sz w:val="32"/>
          <w:szCs w:val="32"/>
          <w:highlight w:val="none"/>
          <w:lang w:val="en-US" w:eastAsia="zh-CN"/>
        </w:rPr>
        <w:t>还款单位</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还款单位</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100</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pPr>
        <w:pStyle w:val="3"/>
        <w:pageBreakBefore w:val="0"/>
        <w:widowControl w:val="0"/>
        <w:kinsoku/>
        <w:wordWrap/>
        <w:topLinePunct w:val="0"/>
        <w:autoSpaceDE/>
        <w:autoSpaceDN/>
        <w:bidi w:val="0"/>
        <w:spacing w:line="520" w:lineRule="exact"/>
        <w:ind w:firstLine="640"/>
        <w:jc w:val="both"/>
        <w:textAlignment w:val="auto"/>
        <w:rPr>
          <w:color w:val="auto"/>
          <w:szCs w:val="32"/>
        </w:rPr>
      </w:pPr>
      <w:r>
        <w:rPr>
          <w:rFonts w:hint="eastAsia"/>
          <w:color w:val="auto"/>
          <w:szCs w:val="32"/>
        </w:rPr>
        <w:t>五、预算执行进度与绩效指标偏差情况</w:t>
      </w:r>
    </w:p>
    <w:p>
      <w:pPr>
        <w:pStyle w:val="4"/>
        <w:pageBreakBefore w:val="0"/>
        <w:widowControl w:val="0"/>
        <w:numPr>
          <w:ilvl w:val="0"/>
          <w:numId w:val="6"/>
        </w:numPr>
        <w:kinsoku/>
        <w:wordWrap/>
        <w:topLinePunct w:val="0"/>
        <w:autoSpaceDE/>
        <w:autoSpaceDN/>
        <w:bidi w:val="0"/>
        <w:spacing w:line="520" w:lineRule="exact"/>
        <w:ind w:firstLine="643"/>
        <w:jc w:val="both"/>
        <w:textAlignment w:val="auto"/>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pageBreakBefore w:val="0"/>
        <w:widowControl w:val="0"/>
        <w:kinsoku/>
        <w:wordWrap/>
        <w:topLinePunct w:val="0"/>
        <w:autoSpaceDE/>
        <w:autoSpaceDN/>
        <w:bidi w:val="0"/>
        <w:spacing w:line="520" w:lineRule="exact"/>
        <w:ind w:firstLine="640"/>
        <w:jc w:val="both"/>
        <w:textAlignment w:val="auto"/>
        <w:rPr>
          <w:rFonts w:ascii="仿宋_GB2312"/>
          <w:color w:val="auto"/>
          <w:sz w:val="32"/>
          <w:szCs w:val="32"/>
          <w:highlight w:val="none"/>
          <w:lang w:eastAsia="zh-Hans"/>
        </w:rPr>
      </w:pPr>
      <w:r>
        <w:rPr>
          <w:rFonts w:hint="eastAsia" w:ascii="仿宋_GB2312"/>
          <w:color w:val="auto"/>
          <w:sz w:val="32"/>
          <w:szCs w:val="32"/>
          <w:highlight w:val="none"/>
          <w:lang w:eastAsia="zh-Hans"/>
        </w:rPr>
        <w:t>智慧城市一期建设项目2022年还款资金项目预算金额</w:t>
      </w:r>
      <w:r>
        <w:rPr>
          <w:rFonts w:hint="eastAsia" w:ascii="仿宋_GB2312"/>
          <w:color w:val="auto"/>
          <w:sz w:val="32"/>
          <w:szCs w:val="32"/>
          <w:highlight w:val="none"/>
          <w:lang w:val="en-US" w:eastAsia="zh-CN"/>
        </w:rPr>
        <w:t>100</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100</w:t>
      </w:r>
      <w:r>
        <w:rPr>
          <w:rFonts w:hint="eastAsia" w:ascii="仿宋_GB2312"/>
          <w:color w:val="auto"/>
          <w:sz w:val="32"/>
          <w:szCs w:val="32"/>
          <w:highlight w:val="none"/>
        </w:rPr>
        <w:t>万元</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全年项目</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100</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100</w:t>
      </w:r>
      <w:r>
        <w:rPr>
          <w:rFonts w:hint="eastAsia" w:ascii="仿宋_GB2312"/>
          <w:color w:val="auto"/>
          <w:sz w:val="32"/>
          <w:szCs w:val="32"/>
          <w:highlight w:val="none"/>
          <w:lang w:eastAsia="zh-Hans"/>
        </w:rPr>
        <w:t>%。</w:t>
      </w:r>
    </w:p>
    <w:p>
      <w:pPr>
        <w:pStyle w:val="4"/>
        <w:pageBreakBefore w:val="0"/>
        <w:widowControl w:val="0"/>
        <w:numPr>
          <w:ilvl w:val="0"/>
          <w:numId w:val="6"/>
        </w:numPr>
        <w:kinsoku/>
        <w:wordWrap/>
        <w:topLinePunct w:val="0"/>
        <w:autoSpaceDE/>
        <w:autoSpaceDN/>
        <w:bidi w:val="0"/>
        <w:spacing w:line="520" w:lineRule="exact"/>
        <w:ind w:firstLine="643"/>
        <w:jc w:val="both"/>
        <w:textAlignment w:val="auto"/>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pPr>
        <w:pageBreakBefore w:val="0"/>
        <w:widowControl w:val="0"/>
        <w:kinsoku/>
        <w:wordWrap/>
        <w:topLinePunct w:val="0"/>
        <w:autoSpaceDE/>
        <w:autoSpaceDN/>
        <w:bidi w:val="0"/>
        <w:spacing w:line="520" w:lineRule="exact"/>
        <w:ind w:firstLine="640"/>
        <w:jc w:val="both"/>
        <w:textAlignment w:val="auto"/>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年本单位负责实施的智慧城市一期建设项目2022年还款资金项目的绩效目标及指标已经全部达成，不存在偏差情况。</w:t>
      </w:r>
    </w:p>
    <w:bookmarkEnd w:id="16"/>
    <w:bookmarkEnd w:id="17"/>
    <w:p>
      <w:pPr>
        <w:pStyle w:val="3"/>
        <w:pageBreakBefore w:val="0"/>
        <w:widowControl w:val="0"/>
        <w:kinsoku/>
        <w:wordWrap/>
        <w:topLinePunct w:val="0"/>
        <w:autoSpaceDE/>
        <w:autoSpaceDN/>
        <w:bidi w:val="0"/>
        <w:spacing w:line="520" w:lineRule="exact"/>
        <w:ind w:firstLine="640"/>
        <w:jc w:val="both"/>
        <w:textAlignment w:val="auto"/>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3"/>
        <w:pageBreakBefore w:val="0"/>
        <w:widowControl w:val="0"/>
        <w:kinsoku/>
        <w:wordWrap/>
        <w:topLinePunct w:val="0"/>
        <w:autoSpaceDE/>
        <w:autoSpaceDN/>
        <w:bidi w:val="0"/>
        <w:spacing w:before="0" w:after="0" w:line="520" w:lineRule="exact"/>
        <w:ind w:left="560"/>
        <w:jc w:val="both"/>
        <w:textAlignment w:val="auto"/>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1"/>
        <w:pageBreakBefore w:val="0"/>
        <w:widowControl w:val="0"/>
        <w:kinsoku/>
        <w:wordWrap/>
        <w:topLinePunct w:val="0"/>
        <w:autoSpaceDE/>
        <w:autoSpaceDN/>
        <w:bidi w:val="0"/>
        <w:spacing w:line="520" w:lineRule="exact"/>
        <w:ind w:firstLine="643"/>
        <w:jc w:val="both"/>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pageBreakBefore w:val="0"/>
        <w:widowControl w:val="0"/>
        <w:kinsoku/>
        <w:wordWrap/>
        <w:topLinePunct w:val="0"/>
        <w:autoSpaceDE/>
        <w:autoSpaceDN/>
        <w:bidi w:val="0"/>
        <w:spacing w:line="520" w:lineRule="exact"/>
        <w:ind w:firstLine="643"/>
        <w:jc w:val="both"/>
        <w:textAlignment w:val="auto"/>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w:t>
      </w:r>
      <w:r>
        <w:rPr>
          <w:rFonts w:hint="eastAsia" w:ascii="仿宋_GB2312" w:hAnsi="仿宋_GB2312" w:cs="仿宋_GB2312"/>
          <w:b/>
          <w:bCs/>
          <w:color w:val="auto"/>
          <w:sz w:val="32"/>
          <w:szCs w:val="32"/>
          <w:lang w:eastAsia="zh-CN"/>
        </w:rPr>
        <w:t>监督</w:t>
      </w:r>
      <w:r>
        <w:rPr>
          <w:rFonts w:hint="eastAsia" w:ascii="仿宋_GB2312" w:hAnsi="仿宋_GB2312" w:cs="仿宋_GB2312"/>
          <w:b/>
          <w:bCs/>
          <w:color w:val="auto"/>
          <w:sz w:val="32"/>
          <w:szCs w:val="32"/>
        </w:rPr>
        <w:t>，提高资金效益</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紧抓预算执行动态</w:t>
      </w:r>
      <w:r>
        <w:rPr>
          <w:rFonts w:hint="eastAsia" w:ascii="仿宋_GB2312" w:hAnsi="仿宋_GB2312" w:cs="仿宋_GB2312"/>
          <w:color w:val="auto"/>
          <w:sz w:val="32"/>
          <w:szCs w:val="32"/>
          <w:lang w:eastAsia="zh-CN"/>
        </w:rPr>
        <w:t>监督</w:t>
      </w:r>
      <w:r>
        <w:rPr>
          <w:rFonts w:hint="eastAsia" w:ascii="仿宋_GB2312" w:hAnsi="仿宋_GB2312" w:cs="仿宋_GB2312"/>
          <w:color w:val="auto"/>
          <w:sz w:val="32"/>
          <w:szCs w:val="32"/>
        </w:rPr>
        <w:t>，提高资金使用效益。坚持以问题为导向，以财政部门的绩效</w:t>
      </w:r>
      <w:r>
        <w:rPr>
          <w:rFonts w:hint="eastAsia" w:ascii="仿宋_GB2312" w:hAnsi="仿宋_GB2312" w:cs="仿宋_GB2312"/>
          <w:color w:val="auto"/>
          <w:sz w:val="32"/>
          <w:szCs w:val="32"/>
          <w:lang w:eastAsia="zh-CN"/>
        </w:rPr>
        <w:t>监督</w:t>
      </w:r>
      <w:r>
        <w:rPr>
          <w:rFonts w:hint="eastAsia" w:ascii="仿宋_GB2312" w:hAnsi="仿宋_GB2312" w:cs="仿宋_GB2312"/>
          <w:color w:val="auto"/>
          <w:sz w:val="32"/>
          <w:szCs w:val="32"/>
        </w:rPr>
        <w:t>为契机，通过资料审核对资金执行进度及绩效目标实现程度开展审核，对绩效</w:t>
      </w:r>
      <w:r>
        <w:rPr>
          <w:rFonts w:hint="eastAsia" w:ascii="仿宋_GB2312" w:hAnsi="仿宋_GB2312" w:cs="仿宋_GB2312"/>
          <w:color w:val="auto"/>
          <w:sz w:val="32"/>
          <w:szCs w:val="32"/>
          <w:lang w:eastAsia="zh-CN"/>
        </w:rPr>
        <w:t>监督</w:t>
      </w:r>
      <w:r>
        <w:rPr>
          <w:rFonts w:hint="eastAsia" w:ascii="仿宋_GB2312" w:hAnsi="仿宋_GB2312" w:cs="仿宋_GB2312"/>
          <w:color w:val="auto"/>
          <w:sz w:val="32"/>
          <w:szCs w:val="32"/>
        </w:rPr>
        <w:t>中发现的问题及时整改，强化资金使用过程管理，有效降低</w:t>
      </w:r>
      <w:r>
        <w:rPr>
          <w:rFonts w:hint="eastAsia" w:ascii="仿宋_GB2312" w:hAnsi="仿宋_GB2312" w:cs="仿宋_GB2312"/>
          <w:color w:val="auto"/>
          <w:sz w:val="32"/>
          <w:szCs w:val="32"/>
          <w:lang w:val="en-US" w:eastAsia="zh-CN"/>
        </w:rPr>
        <w:t>了</w:t>
      </w:r>
      <w:r>
        <w:rPr>
          <w:rFonts w:hint="eastAsia" w:ascii="仿宋_GB2312" w:hAnsi="仿宋_GB2312" w:cs="仿宋_GB2312"/>
          <w:color w:val="auto"/>
          <w:sz w:val="32"/>
          <w:szCs w:val="32"/>
        </w:rPr>
        <w:t>资金偏离政策目标的风险，提高了资金使用效益。</w:t>
      </w:r>
    </w:p>
    <w:p>
      <w:pPr>
        <w:pStyle w:val="21"/>
        <w:pageBreakBefore w:val="0"/>
        <w:widowControl w:val="0"/>
        <w:kinsoku/>
        <w:wordWrap/>
        <w:topLinePunct w:val="0"/>
        <w:autoSpaceDE/>
        <w:autoSpaceDN/>
        <w:bidi w:val="0"/>
        <w:spacing w:line="520" w:lineRule="exact"/>
        <w:ind w:firstLine="643"/>
        <w:jc w:val="both"/>
        <w:textAlignment w:val="auto"/>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pageBreakBefore w:val="0"/>
        <w:widowControl w:val="0"/>
        <w:kinsoku/>
        <w:wordWrap/>
        <w:topLinePunct w:val="0"/>
        <w:autoSpaceDE/>
        <w:autoSpaceDN/>
        <w:bidi w:val="0"/>
        <w:spacing w:before="0" w:after="0" w:line="520" w:lineRule="exact"/>
        <w:ind w:left="560"/>
        <w:jc w:val="both"/>
        <w:textAlignment w:val="auto"/>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1"/>
        <w:pageBreakBefore w:val="0"/>
        <w:widowControl w:val="0"/>
        <w:kinsoku/>
        <w:wordWrap/>
        <w:topLinePunct w:val="0"/>
        <w:autoSpaceDE/>
        <w:autoSpaceDN/>
        <w:bidi w:val="0"/>
        <w:spacing w:line="520" w:lineRule="exact"/>
        <w:ind w:firstLine="643"/>
        <w:jc w:val="both"/>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pageBreakBefore w:val="0"/>
        <w:widowControl w:val="0"/>
        <w:kinsoku/>
        <w:wordWrap/>
        <w:topLinePunct w:val="0"/>
        <w:autoSpaceDE/>
        <w:autoSpaceDN/>
        <w:bidi w:val="0"/>
        <w:spacing w:line="520" w:lineRule="exact"/>
        <w:ind w:firstLine="643"/>
        <w:jc w:val="both"/>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21"/>
        <w:pageBreakBefore w:val="0"/>
        <w:widowControl w:val="0"/>
        <w:kinsoku/>
        <w:wordWrap/>
        <w:topLinePunct w:val="0"/>
        <w:autoSpaceDE/>
        <w:autoSpaceDN/>
        <w:bidi w:val="0"/>
        <w:spacing w:line="520" w:lineRule="exact"/>
        <w:ind w:firstLine="643"/>
        <w:jc w:val="both"/>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pPr>
        <w:pStyle w:val="22"/>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pageBreakBefore w:val="0"/>
        <w:widowControl w:val="0"/>
        <w:kinsoku/>
        <w:wordWrap/>
        <w:topLinePunct w:val="0"/>
        <w:autoSpaceDE/>
        <w:autoSpaceDN/>
        <w:bidi w:val="0"/>
        <w:spacing w:line="520" w:lineRule="exact"/>
        <w:ind w:firstLine="640"/>
        <w:jc w:val="both"/>
        <w:textAlignment w:val="auto"/>
        <w:rPr>
          <w:color w:val="auto"/>
          <w:szCs w:val="32"/>
        </w:rPr>
      </w:pPr>
      <w:r>
        <w:rPr>
          <w:rFonts w:hint="eastAsia"/>
          <w:color w:val="auto"/>
          <w:szCs w:val="32"/>
        </w:rPr>
        <w:t>七、</w:t>
      </w:r>
      <w:r>
        <w:rPr>
          <w:rFonts w:hint="eastAsia"/>
          <w:color w:val="auto"/>
          <w:szCs w:val="32"/>
          <w:lang w:eastAsia="zh-Hans"/>
        </w:rPr>
        <w:t>有关建议</w:t>
      </w:r>
    </w:p>
    <w:p>
      <w:pPr>
        <w:pStyle w:val="21"/>
        <w:pageBreakBefore w:val="0"/>
        <w:widowControl w:val="0"/>
        <w:kinsoku/>
        <w:wordWrap/>
        <w:topLinePunct w:val="0"/>
        <w:autoSpaceDE/>
        <w:autoSpaceDN/>
        <w:bidi w:val="0"/>
        <w:spacing w:line="520" w:lineRule="exact"/>
        <w:ind w:firstLine="643"/>
        <w:jc w:val="both"/>
        <w:textAlignment w:val="auto"/>
        <w:rPr>
          <w:rFonts w:ascii="仿宋_GB2312"/>
          <w:b/>
          <w:bCs/>
          <w:color w:val="auto"/>
          <w:sz w:val="32"/>
          <w:szCs w:val="32"/>
        </w:rPr>
      </w:pPr>
      <w:r>
        <w:rPr>
          <w:rFonts w:hint="eastAsia" w:ascii="仿宋_GB2312"/>
          <w:b/>
          <w:bCs/>
          <w:color w:val="auto"/>
          <w:sz w:val="32"/>
          <w:szCs w:val="32"/>
        </w:rPr>
        <w:t>1.加强培训，提高相关人员工作水平</w:t>
      </w:r>
    </w:p>
    <w:p>
      <w:pPr>
        <w:pStyle w:val="21"/>
        <w:pageBreakBefore w:val="0"/>
        <w:widowControl w:val="0"/>
        <w:kinsoku/>
        <w:wordWrap/>
        <w:topLinePunct w:val="0"/>
        <w:autoSpaceDE/>
        <w:autoSpaceDN/>
        <w:bidi w:val="0"/>
        <w:spacing w:line="520" w:lineRule="exact"/>
        <w:ind w:firstLine="640"/>
        <w:jc w:val="both"/>
        <w:textAlignment w:val="auto"/>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pageBreakBefore w:val="0"/>
        <w:widowControl w:val="0"/>
        <w:kinsoku/>
        <w:wordWrap/>
        <w:topLinePunct w:val="0"/>
        <w:autoSpaceDE/>
        <w:autoSpaceDN/>
        <w:bidi w:val="0"/>
        <w:spacing w:line="520" w:lineRule="exact"/>
        <w:ind w:firstLine="643"/>
        <w:jc w:val="both"/>
        <w:textAlignment w:val="auto"/>
        <w:rPr>
          <w:rFonts w:ascii="仿宋_GB2312"/>
          <w:b/>
          <w:bCs/>
          <w:color w:val="auto"/>
          <w:sz w:val="32"/>
          <w:szCs w:val="32"/>
        </w:rPr>
      </w:pPr>
      <w:r>
        <w:rPr>
          <w:rFonts w:hint="eastAsia" w:ascii="仿宋_GB2312"/>
          <w:b/>
          <w:bCs/>
          <w:color w:val="auto"/>
          <w:sz w:val="32"/>
          <w:szCs w:val="32"/>
        </w:rPr>
        <w:t>2.扎实推进档案规范化建设，提升档案管理水平</w:t>
      </w:r>
    </w:p>
    <w:p>
      <w:pPr>
        <w:pStyle w:val="21"/>
        <w:pageBreakBefore w:val="0"/>
        <w:widowControl w:val="0"/>
        <w:kinsoku/>
        <w:wordWrap/>
        <w:topLinePunct w:val="0"/>
        <w:autoSpaceDE/>
        <w:autoSpaceDN/>
        <w:bidi w:val="0"/>
        <w:spacing w:line="520" w:lineRule="exact"/>
        <w:ind w:firstLine="64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pageBreakBefore w:val="0"/>
        <w:widowControl w:val="0"/>
        <w:kinsoku/>
        <w:wordWrap/>
        <w:topLinePunct w:val="0"/>
        <w:autoSpaceDE/>
        <w:autoSpaceDN/>
        <w:bidi w:val="0"/>
        <w:spacing w:line="520" w:lineRule="exact"/>
        <w:ind w:firstLine="643"/>
        <w:jc w:val="both"/>
        <w:textAlignment w:val="auto"/>
        <w:rPr>
          <w:rFonts w:ascii="仿宋_GB2312"/>
          <w:b/>
          <w:bCs/>
          <w:color w:val="auto"/>
          <w:sz w:val="32"/>
          <w:szCs w:val="32"/>
        </w:rPr>
      </w:pPr>
      <w:r>
        <w:rPr>
          <w:rFonts w:hint="eastAsia" w:ascii="仿宋_GB2312"/>
          <w:b/>
          <w:bCs/>
          <w:color w:val="auto"/>
          <w:sz w:val="32"/>
          <w:szCs w:val="32"/>
        </w:rPr>
        <w:t>3.高度重视，加强领导</w:t>
      </w:r>
    </w:p>
    <w:p>
      <w:pPr>
        <w:pStyle w:val="21"/>
        <w:pageBreakBefore w:val="0"/>
        <w:widowControl w:val="0"/>
        <w:kinsoku/>
        <w:wordWrap/>
        <w:topLinePunct w:val="0"/>
        <w:autoSpaceDE/>
        <w:autoSpaceDN/>
        <w:bidi w:val="0"/>
        <w:spacing w:line="520" w:lineRule="exact"/>
        <w:ind w:firstLine="640"/>
        <w:jc w:val="both"/>
        <w:textAlignment w:val="auto"/>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w:t>
      </w:r>
      <w:r>
        <w:rPr>
          <w:rFonts w:hint="eastAsia" w:ascii="仿宋_GB2312"/>
          <w:color w:val="auto"/>
          <w:sz w:val="32"/>
          <w:szCs w:val="32"/>
          <w:lang w:val="en-US" w:eastAsia="zh-CN"/>
        </w:rPr>
        <w:t>评价</w:t>
      </w:r>
      <w:r>
        <w:rPr>
          <w:rFonts w:hint="eastAsia" w:ascii="仿宋_GB2312"/>
          <w:color w:val="auto"/>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21"/>
        <w:pageBreakBefore w:val="0"/>
        <w:widowControl w:val="0"/>
        <w:kinsoku/>
        <w:wordWrap/>
        <w:topLinePunct w:val="0"/>
        <w:autoSpaceDE/>
        <w:autoSpaceDN/>
        <w:bidi w:val="0"/>
        <w:spacing w:line="520" w:lineRule="exact"/>
        <w:ind w:firstLine="643"/>
        <w:jc w:val="both"/>
        <w:textAlignment w:val="auto"/>
        <w:rPr>
          <w:rFonts w:hint="default" w:ascii="仿宋_GB2312"/>
          <w:b/>
          <w:bCs/>
          <w:color w:val="auto"/>
          <w:sz w:val="32"/>
          <w:szCs w:val="32"/>
        </w:rPr>
      </w:pPr>
      <w:r>
        <w:rPr>
          <w:rFonts w:hint="eastAsia" w:ascii="仿宋_GB2312"/>
          <w:b/>
          <w:bCs/>
          <w:color w:val="auto"/>
          <w:sz w:val="32"/>
          <w:szCs w:val="32"/>
          <w:lang w:val="en-US" w:eastAsia="zh-CN"/>
        </w:rPr>
        <w:t>4.</w:t>
      </w:r>
      <w:r>
        <w:rPr>
          <w:rFonts w:hint="default" w:ascii="仿宋_GB2312"/>
          <w:b/>
          <w:bCs/>
          <w:color w:val="auto"/>
          <w:sz w:val="32"/>
          <w:szCs w:val="32"/>
        </w:rPr>
        <w:t>加大宣传力度，强化绩效理念</w:t>
      </w:r>
    </w:p>
    <w:p>
      <w:pPr>
        <w:pStyle w:val="21"/>
        <w:pageBreakBefore w:val="0"/>
        <w:widowControl w:val="0"/>
        <w:kinsoku/>
        <w:wordWrap/>
        <w:topLinePunct w:val="0"/>
        <w:autoSpaceDE/>
        <w:autoSpaceDN/>
        <w:bidi w:val="0"/>
        <w:spacing w:line="520" w:lineRule="exact"/>
        <w:ind w:firstLine="640"/>
        <w:jc w:val="both"/>
        <w:textAlignment w:val="auto"/>
        <w:rPr>
          <w:rFonts w:hint="default" w:ascii="仿宋_GB2312"/>
          <w:color w:val="auto"/>
          <w:sz w:val="32"/>
          <w:szCs w:val="32"/>
        </w:rPr>
      </w:pPr>
      <w:r>
        <w:rPr>
          <w:rFonts w:hint="default" w:ascii="仿宋_GB2312"/>
          <w:color w:val="auto"/>
          <w:sz w:val="32"/>
          <w:szCs w:val="32"/>
        </w:rPr>
        <w:t>通过召开会议、</w:t>
      </w:r>
      <w:r>
        <w:rPr>
          <w:rFonts w:hint="eastAsia" w:ascii="仿宋_GB2312"/>
          <w:color w:val="auto"/>
          <w:sz w:val="32"/>
          <w:szCs w:val="32"/>
          <w:lang w:eastAsia="zh-CN"/>
        </w:rPr>
        <w:t>市级</w:t>
      </w:r>
      <w:r>
        <w:rPr>
          <w:rFonts w:hint="default" w:ascii="仿宋_GB2312"/>
          <w:color w:val="auto"/>
          <w:sz w:val="32"/>
          <w:szCs w:val="32"/>
        </w:rPr>
        <w:t>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pageBreakBefore w:val="0"/>
        <w:widowControl w:val="0"/>
        <w:kinsoku/>
        <w:wordWrap/>
        <w:topLinePunct w:val="0"/>
        <w:autoSpaceDE/>
        <w:autoSpaceDN/>
        <w:bidi w:val="0"/>
        <w:spacing w:line="520" w:lineRule="exact"/>
        <w:ind w:firstLine="640"/>
        <w:jc w:val="both"/>
        <w:textAlignment w:val="auto"/>
        <w:rPr>
          <w:rFonts w:hint="default" w:ascii="仿宋_GB2312"/>
          <w:b/>
          <w:bCs/>
          <w:color w:val="auto"/>
          <w:sz w:val="32"/>
          <w:szCs w:val="32"/>
          <w:lang w:val="en-US" w:eastAsia="zh-CN"/>
        </w:rPr>
      </w:pPr>
      <w:r>
        <w:rPr>
          <w:rFonts w:hint="eastAsia" w:ascii="仿宋_GB2312"/>
          <w:b/>
          <w:bCs/>
          <w:color w:val="auto"/>
          <w:sz w:val="32"/>
          <w:szCs w:val="32"/>
          <w:lang w:val="en-US" w:eastAsia="zh-CN"/>
        </w:rPr>
        <w:t>5.</w:t>
      </w:r>
      <w:r>
        <w:rPr>
          <w:rFonts w:hint="default" w:ascii="仿宋_GB2312"/>
          <w:b/>
          <w:bCs/>
          <w:color w:val="auto"/>
          <w:sz w:val="32"/>
          <w:szCs w:val="32"/>
          <w:lang w:val="en-US" w:eastAsia="zh-CN"/>
        </w:rPr>
        <w:t>加强业务培训，提升专业能力</w:t>
      </w:r>
    </w:p>
    <w:p>
      <w:pPr>
        <w:pStyle w:val="21"/>
        <w:pageBreakBefore w:val="0"/>
        <w:widowControl w:val="0"/>
        <w:kinsoku/>
        <w:wordWrap/>
        <w:topLinePunct w:val="0"/>
        <w:autoSpaceDE/>
        <w:autoSpaceDN/>
        <w:bidi w:val="0"/>
        <w:spacing w:line="520" w:lineRule="exact"/>
        <w:ind w:firstLine="640"/>
        <w:jc w:val="both"/>
        <w:textAlignment w:val="auto"/>
        <w:rPr>
          <w:rFonts w:hint="default" w:ascii="仿宋_GB2312"/>
          <w:color w:val="auto"/>
          <w:sz w:val="32"/>
          <w:szCs w:val="32"/>
        </w:rPr>
      </w:pPr>
      <w:r>
        <w:rPr>
          <w:rFonts w:hint="default" w:ascii="仿宋_GB2312"/>
          <w:color w:val="auto"/>
          <w:sz w:val="32"/>
          <w:szCs w:val="32"/>
        </w:rPr>
        <w:t>预算绩效管理是一项专业性、技术性较强的工作，没有人才支撑，只能是纸上谈兵。</w:t>
      </w:r>
      <w:r>
        <w:rPr>
          <w:rFonts w:hint="eastAsia" w:ascii="仿宋_GB2312"/>
          <w:color w:val="auto"/>
          <w:sz w:val="32"/>
          <w:szCs w:val="32"/>
          <w:lang w:eastAsia="zh-CN"/>
        </w:rPr>
        <w:t>市级</w:t>
      </w:r>
      <w:r>
        <w:rPr>
          <w:rFonts w:hint="default" w:ascii="仿宋_GB2312"/>
          <w:color w:val="auto"/>
          <w:sz w:val="32"/>
          <w:szCs w:val="32"/>
        </w:rPr>
        <w:t>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pageBreakBefore w:val="0"/>
        <w:widowControl w:val="0"/>
        <w:kinsoku/>
        <w:wordWrap/>
        <w:topLinePunct w:val="0"/>
        <w:autoSpaceDE/>
        <w:autoSpaceDN/>
        <w:bidi w:val="0"/>
        <w:spacing w:line="520" w:lineRule="exact"/>
        <w:ind w:firstLine="640"/>
        <w:jc w:val="both"/>
        <w:textAlignment w:val="auto"/>
        <w:rPr>
          <w:rFonts w:hint="default" w:ascii="仿宋_GB2312"/>
          <w:b/>
          <w:bCs/>
          <w:color w:val="auto"/>
          <w:sz w:val="32"/>
          <w:szCs w:val="32"/>
          <w:lang w:val="en-US" w:eastAsia="zh-CN"/>
        </w:rPr>
      </w:pPr>
      <w:r>
        <w:rPr>
          <w:rFonts w:hint="eastAsia" w:ascii="仿宋_GB2312"/>
          <w:color w:val="auto"/>
          <w:sz w:val="32"/>
          <w:szCs w:val="32"/>
          <w:lang w:val="en-US" w:eastAsia="zh-CN"/>
        </w:rPr>
        <w:t>6.</w:t>
      </w:r>
      <w:r>
        <w:rPr>
          <w:rFonts w:hint="default" w:ascii="仿宋_GB2312"/>
          <w:b/>
          <w:bCs/>
          <w:color w:val="auto"/>
          <w:sz w:val="32"/>
          <w:szCs w:val="32"/>
          <w:lang w:val="en-US" w:eastAsia="zh-CN"/>
        </w:rPr>
        <w:t>健全管理机制，促进深度融合</w:t>
      </w:r>
    </w:p>
    <w:p>
      <w:pPr>
        <w:pStyle w:val="21"/>
        <w:pageBreakBefore w:val="0"/>
        <w:widowControl w:val="0"/>
        <w:kinsoku/>
        <w:wordWrap/>
        <w:topLinePunct w:val="0"/>
        <w:autoSpaceDE/>
        <w:autoSpaceDN/>
        <w:bidi w:val="0"/>
        <w:spacing w:line="520" w:lineRule="exact"/>
        <w:ind w:firstLine="640"/>
        <w:jc w:val="both"/>
        <w:textAlignment w:val="auto"/>
        <w:rPr>
          <w:rFonts w:hint="default" w:ascii="仿宋_GB2312"/>
          <w:color w:val="auto"/>
          <w:sz w:val="32"/>
          <w:szCs w:val="32"/>
        </w:rPr>
      </w:pPr>
      <w:r>
        <w:rPr>
          <w:rFonts w:hint="default" w:ascii="仿宋_GB2312"/>
          <w:color w:val="auto"/>
          <w:sz w:val="32"/>
          <w:szCs w:val="32"/>
        </w:rPr>
        <w:t>目前</w:t>
      </w:r>
      <w:r>
        <w:rPr>
          <w:rFonts w:hint="eastAsia" w:ascii="仿宋_GB2312"/>
          <w:color w:val="auto"/>
          <w:sz w:val="32"/>
          <w:szCs w:val="32"/>
          <w:lang w:eastAsia="zh-CN"/>
        </w:rPr>
        <w:t>市级</w:t>
      </w:r>
      <w:r>
        <w:rPr>
          <w:rFonts w:hint="default" w:ascii="仿宋_GB2312"/>
          <w:color w:val="auto"/>
          <w:sz w:val="32"/>
          <w:szCs w:val="32"/>
        </w:rPr>
        <w:t>财政部门的预算股、资金管理股和绩效管理股之间的预算绩效业务工作缺乏紧密配合，基本处于脱节状态，必须要加强</w:t>
      </w:r>
      <w:r>
        <w:rPr>
          <w:rFonts w:hint="eastAsia" w:ascii="仿宋_GB2312"/>
          <w:color w:val="auto"/>
          <w:sz w:val="32"/>
          <w:szCs w:val="32"/>
          <w:lang w:eastAsia="zh-CN"/>
        </w:rPr>
        <w:t>市级</w:t>
      </w:r>
      <w:r>
        <w:rPr>
          <w:rFonts w:hint="default" w:ascii="仿宋_GB2312"/>
          <w:color w:val="auto"/>
          <w:sz w:val="32"/>
          <w:szCs w:val="32"/>
        </w:rPr>
        <w:t>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pageBreakBefore w:val="0"/>
        <w:widowControl w:val="0"/>
        <w:kinsoku/>
        <w:wordWrap/>
        <w:topLinePunct w:val="0"/>
        <w:autoSpaceDE/>
        <w:autoSpaceDN/>
        <w:bidi w:val="0"/>
        <w:spacing w:line="520" w:lineRule="exact"/>
        <w:ind w:firstLine="640"/>
        <w:jc w:val="both"/>
        <w:textAlignment w:val="auto"/>
        <w:rPr>
          <w:color w:val="auto"/>
          <w:szCs w:val="32"/>
        </w:rPr>
      </w:pPr>
      <w:r>
        <w:rPr>
          <w:rFonts w:hint="eastAsia"/>
          <w:color w:val="auto"/>
          <w:szCs w:val="32"/>
        </w:rPr>
        <w:t>八、其他需要说明的问题</w:t>
      </w:r>
    </w:p>
    <w:p>
      <w:pPr>
        <w:pStyle w:val="21"/>
        <w:pageBreakBefore w:val="0"/>
        <w:widowControl w:val="0"/>
        <w:kinsoku/>
        <w:wordWrap/>
        <w:topLinePunct w:val="0"/>
        <w:autoSpaceDE/>
        <w:autoSpaceDN/>
        <w:bidi w:val="0"/>
        <w:spacing w:line="520" w:lineRule="exact"/>
        <w:ind w:firstLine="624"/>
        <w:jc w:val="both"/>
        <w:textAlignment w:val="auto"/>
        <w:rPr>
          <w:rFonts w:hint="eastAsia" w:ascii="仿宋_GB2312" w:eastAsia="仿宋_GB2312"/>
          <w:color w:val="auto"/>
          <w:sz w:val="32"/>
          <w:szCs w:val="32"/>
          <w:lang w:val="en-US" w:eastAsia="zh-CN"/>
        </w:rPr>
      </w:pPr>
      <w:r>
        <w:rPr>
          <w:rFonts w:hint="eastAsia"/>
          <w:color w:val="auto"/>
          <w:spacing w:val="-4"/>
          <w:sz w:val="32"/>
          <w:szCs w:val="32"/>
          <w:lang w:val="en-US" w:eastAsia="zh-CN"/>
        </w:rPr>
        <w:t>无</w:t>
      </w:r>
    </w:p>
    <w:bookmarkEnd w:id="19"/>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450273"/>
    <w:rsid w:val="0379245F"/>
    <w:rsid w:val="043974A0"/>
    <w:rsid w:val="04954D5F"/>
    <w:rsid w:val="06125D84"/>
    <w:rsid w:val="06E7061D"/>
    <w:rsid w:val="07043A2A"/>
    <w:rsid w:val="0825371E"/>
    <w:rsid w:val="0B9B23A8"/>
    <w:rsid w:val="0D285521"/>
    <w:rsid w:val="0E867F3D"/>
    <w:rsid w:val="0EBF25C0"/>
    <w:rsid w:val="125E480D"/>
    <w:rsid w:val="12F1313F"/>
    <w:rsid w:val="132F4981"/>
    <w:rsid w:val="145923F1"/>
    <w:rsid w:val="14732F9B"/>
    <w:rsid w:val="15BA6F11"/>
    <w:rsid w:val="162451E3"/>
    <w:rsid w:val="16397761"/>
    <w:rsid w:val="17F65421"/>
    <w:rsid w:val="180B36BA"/>
    <w:rsid w:val="184F4570"/>
    <w:rsid w:val="190A6602"/>
    <w:rsid w:val="1A524C3A"/>
    <w:rsid w:val="1CE75528"/>
    <w:rsid w:val="1D682FCE"/>
    <w:rsid w:val="1EC30CD2"/>
    <w:rsid w:val="206E2F6A"/>
    <w:rsid w:val="22B20AE5"/>
    <w:rsid w:val="22E4624E"/>
    <w:rsid w:val="239A1B90"/>
    <w:rsid w:val="244B6A99"/>
    <w:rsid w:val="245E1E24"/>
    <w:rsid w:val="24CA0395"/>
    <w:rsid w:val="29140C7D"/>
    <w:rsid w:val="298C53B7"/>
    <w:rsid w:val="2BC63AE7"/>
    <w:rsid w:val="2C1C7347"/>
    <w:rsid w:val="2CA455C9"/>
    <w:rsid w:val="2E483E7E"/>
    <w:rsid w:val="2F7C3300"/>
    <w:rsid w:val="2FF22A22"/>
    <w:rsid w:val="30006A7B"/>
    <w:rsid w:val="303A37E5"/>
    <w:rsid w:val="30742D8C"/>
    <w:rsid w:val="3109327F"/>
    <w:rsid w:val="31CE73E0"/>
    <w:rsid w:val="32631B38"/>
    <w:rsid w:val="32F737A6"/>
    <w:rsid w:val="335313EB"/>
    <w:rsid w:val="33684063"/>
    <w:rsid w:val="33944516"/>
    <w:rsid w:val="34140B56"/>
    <w:rsid w:val="34992CFE"/>
    <w:rsid w:val="358946C0"/>
    <w:rsid w:val="36D41B01"/>
    <w:rsid w:val="39CF5FE7"/>
    <w:rsid w:val="39DD52FC"/>
    <w:rsid w:val="3A3F3A3F"/>
    <w:rsid w:val="3ABF36AC"/>
    <w:rsid w:val="3D7D7ED0"/>
    <w:rsid w:val="3E2D1506"/>
    <w:rsid w:val="3F303D30"/>
    <w:rsid w:val="3FCC7236"/>
    <w:rsid w:val="401150BE"/>
    <w:rsid w:val="40AB69C0"/>
    <w:rsid w:val="41AC30C2"/>
    <w:rsid w:val="4250605B"/>
    <w:rsid w:val="42C46792"/>
    <w:rsid w:val="43D84B60"/>
    <w:rsid w:val="44ED681A"/>
    <w:rsid w:val="489900C5"/>
    <w:rsid w:val="49A75425"/>
    <w:rsid w:val="49C94A08"/>
    <w:rsid w:val="4ABC6965"/>
    <w:rsid w:val="4B9F272A"/>
    <w:rsid w:val="4BB57ADD"/>
    <w:rsid w:val="4D3116A5"/>
    <w:rsid w:val="4E1F09BA"/>
    <w:rsid w:val="4F465AFE"/>
    <w:rsid w:val="4FCF4E7E"/>
    <w:rsid w:val="514B1E8F"/>
    <w:rsid w:val="51C55704"/>
    <w:rsid w:val="528E28C4"/>
    <w:rsid w:val="529E1798"/>
    <w:rsid w:val="52A36B0C"/>
    <w:rsid w:val="52C8216A"/>
    <w:rsid w:val="532412A4"/>
    <w:rsid w:val="537B5679"/>
    <w:rsid w:val="544C5BC7"/>
    <w:rsid w:val="54BE2A98"/>
    <w:rsid w:val="568D2486"/>
    <w:rsid w:val="59CE258C"/>
    <w:rsid w:val="5A4A47CF"/>
    <w:rsid w:val="5A601E9A"/>
    <w:rsid w:val="5B301727"/>
    <w:rsid w:val="5BC11016"/>
    <w:rsid w:val="5D7317A1"/>
    <w:rsid w:val="5DCB42F9"/>
    <w:rsid w:val="5DEE5DE7"/>
    <w:rsid w:val="5E0943D3"/>
    <w:rsid w:val="5EDF9208"/>
    <w:rsid w:val="5F4963FA"/>
    <w:rsid w:val="5F5442D2"/>
    <w:rsid w:val="5FAFB075"/>
    <w:rsid w:val="60A72DA9"/>
    <w:rsid w:val="61716CEE"/>
    <w:rsid w:val="62C71D2A"/>
    <w:rsid w:val="635A163D"/>
    <w:rsid w:val="65694391"/>
    <w:rsid w:val="667945C9"/>
    <w:rsid w:val="68291A1A"/>
    <w:rsid w:val="691B1594"/>
    <w:rsid w:val="6C5C424F"/>
    <w:rsid w:val="6CD46A9B"/>
    <w:rsid w:val="6D2E1176"/>
    <w:rsid w:val="6DA959D7"/>
    <w:rsid w:val="6E930FFA"/>
    <w:rsid w:val="6F0D6C22"/>
    <w:rsid w:val="6F0E50C1"/>
    <w:rsid w:val="6FCB4F62"/>
    <w:rsid w:val="6FD35114"/>
    <w:rsid w:val="6FE70C15"/>
    <w:rsid w:val="6FF06EAC"/>
    <w:rsid w:val="6FF38B9B"/>
    <w:rsid w:val="70D97BAF"/>
    <w:rsid w:val="7223194D"/>
    <w:rsid w:val="736F68EF"/>
    <w:rsid w:val="73D9A77D"/>
    <w:rsid w:val="73F90A54"/>
    <w:rsid w:val="7455116B"/>
    <w:rsid w:val="7657F55C"/>
    <w:rsid w:val="76D2301A"/>
    <w:rsid w:val="77415633"/>
    <w:rsid w:val="77861774"/>
    <w:rsid w:val="77978BBA"/>
    <w:rsid w:val="77FD56A3"/>
    <w:rsid w:val="78607A0C"/>
    <w:rsid w:val="786D3A99"/>
    <w:rsid w:val="787457BA"/>
    <w:rsid w:val="79300B45"/>
    <w:rsid w:val="7A62077B"/>
    <w:rsid w:val="7ACE3009"/>
    <w:rsid w:val="7AFFA044"/>
    <w:rsid w:val="7C55A6FE"/>
    <w:rsid w:val="7C7F22A6"/>
    <w:rsid w:val="7E435B33"/>
    <w:rsid w:val="7EC438B8"/>
    <w:rsid w:val="7EF7BC1E"/>
    <w:rsid w:val="7F1A2E26"/>
    <w:rsid w:val="7F253931"/>
    <w:rsid w:val="7F7FAA4B"/>
    <w:rsid w:val="7FD15524"/>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8230</Words>
  <Characters>8608</Characters>
  <Lines>62</Lines>
  <Paragraphs>17</Paragraphs>
  <TotalTime>43</TotalTime>
  <ScaleCrop>false</ScaleCrop>
  <LinksUpToDate>false</LinksUpToDate>
  <CharactersWithSpaces>8616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lenovo</cp:lastModifiedBy>
  <cp:lastPrinted>2021-03-04T11:49:00Z</cp:lastPrinted>
  <dcterms:modified xsi:type="dcterms:W3CDTF">2024-11-21T11:36:31Z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FB3003DDD9BC4A41ADDBC35FBBEF80ED</vt:lpwstr>
  </property>
</Properties>
</file>