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Style w:val="18"/>
          <w:rFonts w:hint="eastAsia" w:ascii="楷体" w:hAnsi="楷体" w:eastAsia="楷体" w:cs="宋体"/>
          <w:spacing w:val="-4"/>
          <w:kern w:val="0"/>
          <w:sz w:val="32"/>
          <w:szCs w:val="32"/>
          <w:lang w:eastAsia="zh-CN"/>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市监局食品安全监督抽检专项经费</w:t>
      </w:r>
      <w:r>
        <w:rPr>
          <w:rStyle w:val="18"/>
          <w:rFonts w:hint="eastAsia" w:ascii="楷体" w:hAnsi="楷体" w:eastAsia="楷体"/>
          <w:spacing w:val="-4"/>
          <w:sz w:val="32"/>
          <w:szCs w:val="32"/>
          <w:lang w:eastAsia="zh-CN"/>
        </w:rPr>
        <w:t>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lang w:eastAsia="zh-CN"/>
        </w:rPr>
        <w:t>沙湾市</w:t>
      </w:r>
      <w:r>
        <w:rPr>
          <w:rStyle w:val="18"/>
          <w:rFonts w:hint="eastAsia" w:ascii="楷体" w:hAnsi="楷体" w:eastAsia="楷体"/>
          <w:spacing w:val="-4"/>
          <w:sz w:val="28"/>
          <w:szCs w:val="28"/>
        </w:rPr>
        <w:t>市场监督管理局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lang w:eastAsia="zh-CN"/>
        </w:rPr>
        <w:t>沙湾市</w:t>
      </w:r>
      <w:r>
        <w:rPr>
          <w:rStyle w:val="18"/>
          <w:rFonts w:hint="eastAsia" w:ascii="楷体" w:hAnsi="楷体" w:eastAsia="楷体"/>
          <w:spacing w:val="-4"/>
          <w:sz w:val="28"/>
          <w:szCs w:val="28"/>
        </w:rPr>
        <w:t>市场监督管理局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托力肯·吐尔斯别克</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2024年03月18日</w:t>
      </w:r>
    </w:p>
    <w:p>
      <w:pPr>
        <w:spacing w:line="700" w:lineRule="exact"/>
        <w:ind w:firstLine="708" w:firstLineChars="236"/>
        <w:jc w:val="left"/>
        <w:rPr>
          <w:rFonts w:hAnsi="宋体" w:eastAsia="仿宋_GB2312" w:cs="宋体"/>
          <w:kern w:val="0"/>
          <w:sz w:val="30"/>
          <w:szCs w:val="30"/>
        </w:rPr>
      </w:pPr>
    </w:p>
    <w:p>
      <w:pPr>
        <w:spacing w:line="540" w:lineRule="exact"/>
        <w:ind w:left="0" w:leftChars="0"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left="0" w:leftChars="0"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根据《中华人民共和国食品安全法》、《</w:t>
      </w:r>
      <w:r>
        <w:rPr>
          <w:rStyle w:val="18"/>
          <w:rFonts w:hint="eastAsia" w:ascii="楷体" w:hAnsi="楷体" w:eastAsia="楷体"/>
          <w:b w:val="0"/>
          <w:bCs w:val="0"/>
          <w:spacing w:val="-4"/>
          <w:sz w:val="32"/>
          <w:szCs w:val="32"/>
          <w:lang w:eastAsia="zh-CN"/>
        </w:rPr>
        <w:t>自治区</w:t>
      </w:r>
      <w:r>
        <w:rPr>
          <w:rStyle w:val="18"/>
          <w:rFonts w:hint="eastAsia" w:ascii="楷体" w:hAnsi="楷体" w:eastAsia="楷体"/>
          <w:b w:val="0"/>
          <w:bCs w:val="0"/>
          <w:spacing w:val="-4"/>
          <w:sz w:val="32"/>
          <w:szCs w:val="32"/>
        </w:rPr>
        <w:t>维吾尔食品药品安全“十三五”规划》和《自治区党委办公厅 自治区人民政府办公厅印发〈新疆维吾尔自治区关于落实食品安全党政同责的意见〉的通知》（新党厅字〔2017〕97号）相关文件精神，为切实加强</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食品安全监督管理工作，真正将食品安全属地责任履行地区，完成好自治区及地区市场监督管理局下达的对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区域内食用农产品的抽检计划，切实保证食用农产品安全，保障好人民群众的生命和财产安全，需要建立食用农产品抽检专项经费项目，委托有资质的第三方开展对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辖区内食用农产品的抽检工作。</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2023年根据</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市场监督管理局的专项经费申请报告，经</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财经委员会同意，</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本级财政拨入食用农产品抽检专项经费</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万元，主要用于支付自</w:t>
      </w:r>
      <w:r>
        <w:rPr>
          <w:rStyle w:val="18"/>
          <w:rFonts w:hint="eastAsia" w:ascii="楷体" w:hAnsi="楷体" w:eastAsia="楷体"/>
          <w:b w:val="0"/>
          <w:bCs w:val="0"/>
          <w:spacing w:val="-4"/>
          <w:sz w:val="32"/>
          <w:szCs w:val="32"/>
          <w:lang w:val="en-US" w:eastAsia="zh-CN"/>
        </w:rPr>
        <w:t>2023</w:t>
      </w:r>
      <w:r>
        <w:rPr>
          <w:rStyle w:val="18"/>
          <w:rFonts w:hint="eastAsia" w:ascii="楷体" w:hAnsi="楷体" w:eastAsia="楷体"/>
          <w:b w:val="0"/>
          <w:bCs w:val="0"/>
          <w:spacing w:val="-4"/>
          <w:sz w:val="32"/>
          <w:szCs w:val="32"/>
        </w:rPr>
        <w:t>年委托</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的委托业务费，开展对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辖区内的食用农产品抽取检测工作，保障</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辖区食品安全，促进食品安全监督管理工作的提升。</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2.项目主要内容及实施情况</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拨付</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市场监督管理局2023年度</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食品抽检专项经费</w:t>
      </w:r>
      <w:r>
        <w:rPr>
          <w:rStyle w:val="18"/>
          <w:rFonts w:hint="eastAsia" w:ascii="楷体" w:hAnsi="楷体" w:eastAsia="楷体"/>
          <w:b w:val="0"/>
          <w:bCs w:val="0"/>
          <w:spacing w:val="-4"/>
          <w:sz w:val="32"/>
          <w:szCs w:val="32"/>
          <w:lang w:val="en-US" w:eastAsia="zh-CN"/>
        </w:rPr>
        <w:t>31.85万</w:t>
      </w:r>
      <w:r>
        <w:rPr>
          <w:rStyle w:val="18"/>
          <w:rFonts w:hint="eastAsia" w:ascii="楷体" w:hAnsi="楷体" w:eastAsia="楷体"/>
          <w:b w:val="0"/>
          <w:bCs w:val="0"/>
          <w:spacing w:val="-4"/>
          <w:sz w:val="32"/>
          <w:szCs w:val="32"/>
        </w:rPr>
        <w:t>元，202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年12月</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日，此项经费支付</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市场监督管理局严格按照财务管理制度规定，做好对2023年度</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食品抽检经费的使用，通过项目实施内完成了禽畜肉及副产品类、水产品类和水果及蔬菜</w:t>
      </w:r>
      <w:r>
        <w:rPr>
          <w:rStyle w:val="18"/>
          <w:rFonts w:hint="eastAsia" w:ascii="楷体" w:hAnsi="楷体" w:eastAsia="楷体"/>
          <w:b w:val="0"/>
          <w:bCs w:val="0"/>
          <w:spacing w:val="-4"/>
          <w:sz w:val="32"/>
          <w:szCs w:val="32"/>
          <w:lang w:val="en-US" w:eastAsia="zh-CN"/>
        </w:rPr>
        <w:t>344</w:t>
      </w:r>
      <w:r>
        <w:rPr>
          <w:rStyle w:val="18"/>
          <w:rFonts w:hint="eastAsia" w:ascii="楷体" w:hAnsi="楷体" w:eastAsia="楷体"/>
          <w:b w:val="0"/>
          <w:bCs w:val="0"/>
          <w:spacing w:val="-4"/>
          <w:sz w:val="32"/>
          <w:szCs w:val="32"/>
        </w:rPr>
        <w:t>批次抽检，强化对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辖区内的食用农产品经营主体的监督管理，基本完成对食用农产品经营主体检查的全覆盖，取得良好的社会效益，人民群众对食用农产品的整体满意度达到9</w:t>
      </w:r>
      <w:r>
        <w:rPr>
          <w:rStyle w:val="18"/>
          <w:rFonts w:hint="eastAsia" w:ascii="楷体" w:hAnsi="楷体" w:eastAsia="楷体"/>
          <w:b w:val="0"/>
          <w:bCs w:val="0"/>
          <w:spacing w:val="-4"/>
          <w:sz w:val="32"/>
          <w:szCs w:val="32"/>
          <w:lang w:val="en-US" w:eastAsia="zh-CN"/>
        </w:rPr>
        <w:t>8</w:t>
      </w:r>
      <w:r>
        <w:rPr>
          <w:rStyle w:val="18"/>
          <w:rFonts w:hint="eastAsia" w:ascii="楷体" w:hAnsi="楷体" w:eastAsia="楷体"/>
          <w:b w:val="0"/>
          <w:bCs w:val="0"/>
          <w:spacing w:val="-4"/>
          <w:sz w:val="32"/>
          <w:szCs w:val="32"/>
        </w:rPr>
        <w:t>%。</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本级食用农产品抽检专项经费实际使用统计表</w:t>
      </w:r>
    </w:p>
    <w:p>
      <w:pPr>
        <w:numPr>
          <w:ilvl w:val="0"/>
          <w:numId w:val="0"/>
        </w:numPr>
        <w:spacing w:line="540" w:lineRule="exact"/>
        <w:ind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委托业务费，支付</w:t>
      </w:r>
      <w:r>
        <w:rPr>
          <w:rStyle w:val="18"/>
          <w:rFonts w:hint="eastAsia" w:ascii="楷体" w:hAnsi="楷体" w:eastAsia="楷体"/>
          <w:b w:val="0"/>
          <w:bCs w:val="0"/>
          <w:spacing w:val="-4"/>
          <w:sz w:val="32"/>
          <w:szCs w:val="32"/>
          <w:lang w:val="en-US" w:eastAsia="zh-CN"/>
        </w:rPr>
        <w:t>2023</w:t>
      </w:r>
      <w:r>
        <w:rPr>
          <w:rStyle w:val="18"/>
          <w:rFonts w:hint="eastAsia" w:ascii="楷体" w:hAnsi="楷体" w:eastAsia="楷体"/>
          <w:b w:val="0"/>
          <w:bCs w:val="0"/>
          <w:spacing w:val="-4"/>
          <w:sz w:val="32"/>
          <w:szCs w:val="32"/>
        </w:rPr>
        <w:t>年以来委托</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的开展食用农产品抽检服务费</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w:t>
      </w:r>
    </w:p>
    <w:p>
      <w:pPr>
        <w:numPr>
          <w:ilvl w:val="0"/>
          <w:numId w:val="0"/>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3.项目实施主体</w:t>
      </w:r>
    </w:p>
    <w:p>
      <w:pPr>
        <w:numPr>
          <w:ilvl w:val="0"/>
          <w:numId w:val="0"/>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食品抽检经费项目的实施主体为</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w:t>
      </w:r>
    </w:p>
    <w:p>
      <w:pPr>
        <w:numPr>
          <w:ilvl w:val="0"/>
          <w:numId w:val="0"/>
        </w:num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资金投入和使用情况</w:t>
      </w:r>
    </w:p>
    <w:p>
      <w:pPr>
        <w:numPr>
          <w:ilvl w:val="0"/>
          <w:numId w:val="1"/>
        </w:numPr>
        <w:spacing w:line="540" w:lineRule="exact"/>
        <w:ind w:left="0" w:leftChars="0" w:firstLine="343" w:firstLineChars="11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项目资金安排落实、总投入情况</w:t>
      </w:r>
    </w:p>
    <w:p>
      <w:pPr>
        <w:numPr>
          <w:ilvl w:val="0"/>
          <w:numId w:val="0"/>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根据</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财经委员会对《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市场监督管理局关于拨付食品抽检费的报告》批复要求，</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财政局对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食品抽检经费项目预算安排资金总额</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万元，其中财政资金</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万元；2023年实际收到预算资金</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万元，预算资金到位率为100%。</w:t>
      </w:r>
    </w:p>
    <w:p>
      <w:pPr>
        <w:numPr>
          <w:ilvl w:val="0"/>
          <w:numId w:val="0"/>
        </w:num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项目资金实际使用情况</w:t>
      </w:r>
    </w:p>
    <w:p>
      <w:pPr>
        <w:numPr>
          <w:ilvl w:val="0"/>
          <w:numId w:val="0"/>
        </w:num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截至2023年12月</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日，本项目实际支付资金</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万元，预算执行率100%。项目资金主要用于支付委托业务费用</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w:t>
      </w:r>
    </w:p>
    <w:p>
      <w:pPr>
        <w:spacing w:line="540" w:lineRule="exact"/>
        <w:ind w:left="0" w:leftChars="0"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为加强我县食品安全监管，委托有资质的第三方食品检验机构开展食用农产品抽检工作，保证我县人民群众的生命和财产安全，有计划地开展对禽畜肉及副产品类抽检比例批次、水产品类抽检比例批次、水果及蔬菜类抽检检比例批次的抽检工作。</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全年项目计划实现目标如下：“于2023年12月20日前支付31.85万元，项目完成食品安全监督抽检批次337批次，抽检在本地区覆盖率98%，资金支付及时率100%，食品安全监督抽检专项经费945元/批次。通过项目实施达到提升质量监管水平。实现对禽畜肉及副产品</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水产品</w:t>
      </w:r>
      <w:r>
        <w:rPr>
          <w:rStyle w:val="18"/>
          <w:rFonts w:hint="eastAsia" w:ascii="楷体" w:hAnsi="楷体" w:eastAsia="楷体"/>
          <w:b w:val="0"/>
          <w:bCs w:val="0"/>
          <w:spacing w:val="-4"/>
          <w:sz w:val="32"/>
          <w:szCs w:val="32"/>
          <w:lang w:eastAsia="zh-CN"/>
        </w:rPr>
        <w:t>及</w:t>
      </w:r>
      <w:r>
        <w:rPr>
          <w:rStyle w:val="18"/>
          <w:rFonts w:hint="eastAsia" w:ascii="楷体" w:hAnsi="楷体" w:eastAsia="楷体"/>
          <w:b w:val="0"/>
          <w:bCs w:val="0"/>
          <w:spacing w:val="-4"/>
          <w:sz w:val="32"/>
          <w:szCs w:val="32"/>
        </w:rPr>
        <w:t>水果及蔬菜的抽样检验全覆盖。”</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计划通过本项目的实施，消除食用农产品的安全风险，强化对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辖区内的食用农产品经营主体的监督管理，完成对食用农产品经营主体检查的全覆盖，取得提高食用农产品总体安全水平和食品安全监管水平的社会效益。</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2.阶段性目标</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pPr>
        <w:numPr>
          <w:ilvl w:val="0"/>
          <w:numId w:val="2"/>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p>
    <w:p>
      <w:pPr>
        <w:numPr>
          <w:ilvl w:val="0"/>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“食品安全监督抽检批次”指标，预期指标值为“</w:t>
      </w:r>
      <w:r>
        <w:rPr>
          <w:rStyle w:val="18"/>
          <w:rFonts w:hint="eastAsia" w:ascii="楷体" w:hAnsi="楷体" w:eastAsia="楷体"/>
          <w:b w:val="0"/>
          <w:bCs w:val="0"/>
          <w:spacing w:val="-4"/>
          <w:sz w:val="32"/>
          <w:szCs w:val="32"/>
          <w:lang w:eastAsia="zh-CN"/>
        </w:rPr>
        <w:t>大于等于</w:t>
      </w:r>
      <w:r>
        <w:rPr>
          <w:rStyle w:val="18"/>
          <w:rFonts w:hint="eastAsia" w:ascii="楷体" w:hAnsi="楷体" w:eastAsia="楷体"/>
          <w:b w:val="0"/>
          <w:bCs w:val="0"/>
          <w:spacing w:val="-4"/>
          <w:sz w:val="32"/>
          <w:szCs w:val="32"/>
          <w:lang w:val="en-US" w:eastAsia="zh-CN"/>
        </w:rPr>
        <w:t>337</w:t>
      </w:r>
      <w:r>
        <w:rPr>
          <w:rStyle w:val="18"/>
          <w:rFonts w:hint="eastAsia" w:ascii="楷体" w:hAnsi="楷体" w:eastAsia="楷体"/>
          <w:b w:val="0"/>
          <w:bCs w:val="0"/>
          <w:spacing w:val="-4"/>
          <w:sz w:val="32"/>
          <w:szCs w:val="32"/>
        </w:rPr>
        <w:t>批次”。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“抽检在本地区覆盖率”指标，预期指标值为“</w:t>
      </w:r>
      <w:r>
        <w:rPr>
          <w:rStyle w:val="18"/>
          <w:rFonts w:hint="eastAsia" w:ascii="楷体" w:hAnsi="楷体" w:eastAsia="楷体"/>
          <w:b w:val="0"/>
          <w:bCs w:val="0"/>
          <w:spacing w:val="-4"/>
          <w:sz w:val="32"/>
          <w:szCs w:val="32"/>
          <w:lang w:eastAsia="zh-CN"/>
        </w:rPr>
        <w:t>大于等于</w:t>
      </w:r>
      <w:r>
        <w:rPr>
          <w:rStyle w:val="18"/>
          <w:rFonts w:hint="eastAsia" w:ascii="楷体" w:hAnsi="楷体" w:eastAsia="楷体"/>
          <w:b w:val="0"/>
          <w:bCs w:val="0"/>
          <w:spacing w:val="-4"/>
          <w:sz w:val="32"/>
          <w:szCs w:val="32"/>
          <w:lang w:val="en-US" w:eastAsia="zh-CN"/>
        </w:rPr>
        <w:t>98</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“资金支付及时率”指标，预期指标值为“</w:t>
      </w:r>
      <w:r>
        <w:rPr>
          <w:rStyle w:val="18"/>
          <w:rFonts w:hint="eastAsia" w:ascii="楷体" w:hAnsi="楷体" w:eastAsia="楷体"/>
          <w:b w:val="0"/>
          <w:bCs w:val="0"/>
          <w:spacing w:val="-4"/>
          <w:sz w:val="32"/>
          <w:szCs w:val="32"/>
          <w:lang w:eastAsia="zh-CN"/>
        </w:rPr>
        <w:t>等于</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w:t>
      </w:r>
    </w:p>
    <w:p>
      <w:pPr>
        <w:numPr>
          <w:ilvl w:val="0"/>
          <w:numId w:val="0"/>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“项目资金完成时效”指标，预期指标值为“2023年</w:t>
      </w:r>
      <w:r>
        <w:rPr>
          <w:rStyle w:val="18"/>
          <w:rFonts w:hint="eastAsia" w:ascii="楷体" w:hAnsi="楷体" w:eastAsia="楷体"/>
          <w:b w:val="0"/>
          <w:bCs w:val="0"/>
          <w:spacing w:val="-4"/>
          <w:sz w:val="32"/>
          <w:szCs w:val="32"/>
          <w:lang w:val="en-US" w:eastAsia="zh-CN"/>
        </w:rPr>
        <w:t>12</w:t>
      </w:r>
      <w:r>
        <w:rPr>
          <w:rStyle w:val="18"/>
          <w:rFonts w:hint="eastAsia" w:ascii="楷体" w:hAnsi="楷体" w:eastAsia="楷体"/>
          <w:b w:val="0"/>
          <w:bCs w:val="0"/>
          <w:spacing w:val="-4"/>
          <w:sz w:val="32"/>
          <w:szCs w:val="32"/>
        </w:rPr>
        <w:t>月</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日</w:t>
      </w:r>
      <w:r>
        <w:rPr>
          <w:rStyle w:val="18"/>
          <w:rFonts w:hint="eastAsia" w:ascii="楷体" w:hAnsi="楷体" w:eastAsia="楷体"/>
          <w:b w:val="0"/>
          <w:bCs w:val="0"/>
          <w:spacing w:val="-4"/>
          <w:sz w:val="32"/>
          <w:szCs w:val="32"/>
          <w:lang w:eastAsia="zh-CN"/>
        </w:rPr>
        <w:t>前</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“食品安全监督抽检专项经费（元/批次）”指标，预期指标值为“</w:t>
      </w:r>
      <w:r>
        <w:rPr>
          <w:rStyle w:val="18"/>
          <w:rFonts w:hint="eastAsia" w:ascii="楷体" w:hAnsi="楷体" w:eastAsia="楷体"/>
          <w:b w:val="0"/>
          <w:bCs w:val="0"/>
          <w:spacing w:val="-4"/>
          <w:sz w:val="32"/>
          <w:szCs w:val="32"/>
          <w:lang w:eastAsia="zh-CN"/>
        </w:rPr>
        <w:t>小于等于</w:t>
      </w:r>
      <w:r>
        <w:rPr>
          <w:rStyle w:val="18"/>
          <w:rFonts w:hint="eastAsia" w:ascii="楷体" w:hAnsi="楷体" w:eastAsia="楷体"/>
          <w:b w:val="0"/>
          <w:bCs w:val="0"/>
          <w:spacing w:val="-4"/>
          <w:sz w:val="32"/>
          <w:szCs w:val="32"/>
          <w:lang w:val="en-US" w:eastAsia="zh-CN"/>
        </w:rPr>
        <w:t>945</w:t>
      </w:r>
      <w:r>
        <w:rPr>
          <w:rStyle w:val="18"/>
          <w:rFonts w:hint="eastAsia" w:ascii="楷体" w:hAnsi="楷体" w:eastAsia="楷体"/>
          <w:b w:val="0"/>
          <w:bCs w:val="0"/>
          <w:spacing w:val="-4"/>
          <w:sz w:val="32"/>
          <w:szCs w:val="32"/>
        </w:rPr>
        <w:t>元/批次”。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无此项指标。</w:t>
      </w:r>
    </w:p>
    <w:p>
      <w:pPr>
        <w:numPr>
          <w:ilvl w:val="0"/>
          <w:numId w:val="0"/>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“提升质量监管水平”指标，预期指标值为“有效提升”。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p>
    <w:p>
      <w:pPr>
        <w:numPr>
          <w:ilvl w:val="0"/>
          <w:numId w:val="0"/>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“公众对食品安全监管满意度”指标，预期指标值为“</w:t>
      </w:r>
      <w:r>
        <w:rPr>
          <w:rStyle w:val="18"/>
          <w:rFonts w:hint="eastAsia" w:ascii="楷体" w:hAnsi="楷体" w:eastAsia="楷体"/>
          <w:b w:val="0"/>
          <w:bCs w:val="0"/>
          <w:spacing w:val="-4"/>
          <w:sz w:val="32"/>
          <w:szCs w:val="32"/>
          <w:lang w:eastAsia="zh-CN"/>
        </w:rPr>
        <w:t>大于等于</w:t>
      </w:r>
      <w:r>
        <w:rPr>
          <w:rStyle w:val="18"/>
          <w:rFonts w:hint="eastAsia" w:ascii="楷体" w:hAnsi="楷体" w:eastAsia="楷体"/>
          <w:b w:val="0"/>
          <w:bCs w:val="0"/>
          <w:spacing w:val="-4"/>
          <w:sz w:val="32"/>
          <w:szCs w:val="32"/>
          <w:lang w:val="en-US" w:eastAsia="zh-CN"/>
        </w:rPr>
        <w:t>98</w:t>
      </w:r>
      <w:r>
        <w:rPr>
          <w:rStyle w:val="18"/>
          <w:rFonts w:hint="eastAsia" w:ascii="楷体" w:hAnsi="楷体" w:eastAsia="楷体"/>
          <w:b w:val="0"/>
          <w:bCs w:val="0"/>
          <w:spacing w:val="-4"/>
          <w:sz w:val="32"/>
          <w:szCs w:val="32"/>
        </w:rPr>
        <w:t>%”。</w:t>
      </w:r>
    </w:p>
    <w:p>
      <w:pPr>
        <w:spacing w:line="540" w:lineRule="exact"/>
        <w:ind w:left="0" w:leftChars="0"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left="0" w:leftChars="0"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p>
    <w:p>
      <w:p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left="0" w:leftChars="0"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p>
    <w:p>
      <w:pPr>
        <w:numPr>
          <w:ilvl w:val="0"/>
          <w:numId w:val="3"/>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在数据采集时，采取客观数据主管部门审查、社会中介组织复查与问卷调查相结合的形式，以保证各项指标的真实性。</w:t>
      </w:r>
    </w:p>
    <w:p>
      <w:pPr>
        <w:numPr>
          <w:ilvl w:val="0"/>
          <w:numId w:val="0"/>
        </w:num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left="0" w:leftChars="0"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托力肯·吐尔斯别克任评价组组长，绩效评价工作职责为检查项目绩效指标完成情况、审定项目支出绩效评价结果及项目支出绩效评价报告。</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薛瑞</w:t>
      </w:r>
      <w:r>
        <w:rPr>
          <w:rStyle w:val="18"/>
          <w:rFonts w:hint="eastAsia" w:ascii="楷体" w:hAnsi="楷体" w:eastAsia="楷体"/>
          <w:b w:val="0"/>
          <w:bCs w:val="0"/>
          <w:spacing w:val="-4"/>
          <w:sz w:val="32"/>
          <w:szCs w:val="32"/>
        </w:rPr>
        <w:t>任评价组副组长，绩效评价工作职责为组织和协调项目工作人员采取实地调查、资料检查等方式，核实项目绩效指标完成情况；组织受益对象对项目工作进行评价等。</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刘玲</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马卫军、张瑜</w:t>
      </w:r>
      <w:r>
        <w:rPr>
          <w:rStyle w:val="18"/>
          <w:rFonts w:hint="eastAsia" w:ascii="楷体" w:hAnsi="楷体" w:eastAsia="楷体"/>
          <w:b w:val="0"/>
          <w:bCs w:val="0"/>
          <w:spacing w:val="-4"/>
          <w:sz w:val="32"/>
          <w:szCs w:val="32"/>
        </w:rPr>
        <w:t>任评价组成员，绩效评价工作职责为做好项目支出绩效评价工作的沟通协调工作，对项目实施情况进行实地调查，编写项目支出绩效评价报告。</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第三阶段：分析评价。</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第四阶段：撰写与提交评价报告</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第五阶段：归集档案</w:t>
      </w:r>
    </w:p>
    <w:p>
      <w:p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left="0" w:leftChars="0"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通过</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食品抽检经费项目的实施，解决了食用农产品抽样检测问题，实现了提高</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区域内食用农产品总体安全水平和食品安全监管水平的社会效益，该项目预算执行率达100%，项目预期绩效目标及各项具体指标均已全部达成。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本次评价采取定量与定性评价相结合的方式，对</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的绩效目标和各项具体绩效指标实现情况进行了客观评价，最终评分为100分。绩效评级为“优秀”，具体得分情况为：项目决策15分、项目过程15分、项目产出40分、项目效益20分、项目满意度10分。</w:t>
      </w:r>
    </w:p>
    <w:p>
      <w:pPr>
        <w:spacing w:line="540" w:lineRule="exact"/>
        <w:ind w:left="0" w:leftChars="0" w:firstLine="624" w:firstLineChars="200"/>
        <w:rPr>
          <w:rStyle w:val="18"/>
          <w:rFonts w:ascii="黑体" w:hAnsi="黑体" w:eastAsia="黑体"/>
          <w:sz w:val="32"/>
          <w:szCs w:val="32"/>
        </w:rPr>
      </w:pPr>
      <w:r>
        <w:rPr>
          <w:rStyle w:val="18"/>
          <w:rFonts w:hint="eastAsia" w:ascii="黑体" w:hAnsi="黑体" w:eastAsia="黑体"/>
          <w:b w:val="0"/>
          <w:spacing w:val="-4"/>
          <w:sz w:val="32"/>
          <w:szCs w:val="32"/>
        </w:rPr>
        <w:t>四、绩效评价指标分析</w:t>
      </w:r>
      <w:r>
        <w:rPr>
          <w:rStyle w:val="18"/>
          <w:rFonts w:hint="eastAsia" w:ascii="黑体" w:hAnsi="黑体" w:eastAsia="黑体"/>
          <w:sz w:val="32"/>
          <w:szCs w:val="32"/>
        </w:rPr>
        <w:t xml:space="preserve"> </w:t>
      </w:r>
    </w:p>
    <w:p>
      <w:pPr>
        <w:tabs>
          <w:tab w:val="center" w:pos="4295"/>
        </w:tabs>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p>
    <w:p>
      <w:pPr>
        <w:tabs>
          <w:tab w:val="center" w:pos="4295"/>
        </w:tabs>
        <w:spacing w:line="540" w:lineRule="exact"/>
        <w:ind w:left="0" w:leftChars="0" w:firstLine="624" w:firstLineChars="200"/>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1.立项依据充分性：本项目是由</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市场监督管理局提出申报，于2023年1月批复设立，2023年</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市场监督管理局根据</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财经委员会批复要求组织实施该项目。项目立项符合国家法律法规、自治区和地区行业发展规划和政策要求，属于本部门履职所需。根据评分标准，该指标2.5分，得2.5分。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2.立项程序规范性：根据决策依据编制工作计划和经费预算，经过</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市场监督管理局党组认真研究、筛选确定经费预算计划，上报</w:t>
      </w:r>
      <w:r>
        <w:rPr>
          <w:rStyle w:val="18"/>
          <w:rFonts w:hint="eastAsia" w:ascii="楷体" w:hAnsi="楷体" w:eastAsia="楷体"/>
          <w:b w:val="0"/>
          <w:bCs w:val="0"/>
          <w:spacing w:val="-4"/>
          <w:sz w:val="32"/>
          <w:szCs w:val="32"/>
          <w:lang w:eastAsia="zh-CN"/>
        </w:rPr>
        <w:t>市委、市政府</w:t>
      </w:r>
      <w:r>
        <w:rPr>
          <w:rStyle w:val="18"/>
          <w:rFonts w:hint="eastAsia" w:ascii="楷体" w:hAnsi="楷体" w:eastAsia="楷体"/>
          <w:b w:val="0"/>
          <w:bCs w:val="0"/>
          <w:spacing w:val="-4"/>
          <w:sz w:val="32"/>
          <w:szCs w:val="32"/>
        </w:rPr>
        <w:t>分管领导同意，上报</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财经委员会研究确定最终预算方案。根据评分标准，该指标2.5分，得2.5分。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lang w:eastAsia="zh-CN"/>
        </w:rPr>
        <w:tab/>
      </w:r>
    </w:p>
    <w:p>
      <w:pPr>
        <w:spacing w:line="540" w:lineRule="exact"/>
        <w:ind w:left="0" w:leftChars="0" w:firstLine="627" w:firstLineChars="200"/>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2.预算执行率：本项目预算编制较为详细，预算资金</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3.资金使用合规性：项目任务下达后，我单位根据《</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市场监督管理局财务管理制度》对经费使用进行规范管理，财务制度健全、执行严格；根据评分标准，该指标3分，得3分。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4.管理制度健全性：我单位制定了《</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市场监督管理局财务管理制度》等相关项目管理办法，同时对财政专项资金进行严格管理，基本做到了专款专用，根据评分标准，该指标4分，得4分。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5.制度执行有效性：由部门提出经费预算支出可行性方案，经过与</w:t>
      </w:r>
      <w:r>
        <w:rPr>
          <w:rStyle w:val="18"/>
          <w:rFonts w:hint="eastAsia" w:ascii="楷体" w:hAnsi="楷体" w:eastAsia="楷体"/>
          <w:b w:val="0"/>
          <w:bCs w:val="0"/>
          <w:spacing w:val="-4"/>
          <w:sz w:val="32"/>
          <w:szCs w:val="32"/>
          <w:lang w:eastAsia="zh-CN"/>
        </w:rPr>
        <w:t>市委、市政府</w:t>
      </w:r>
      <w:r>
        <w:rPr>
          <w:rStyle w:val="18"/>
          <w:rFonts w:hint="eastAsia" w:ascii="楷体" w:hAnsi="楷体" w:eastAsia="楷体"/>
          <w:b w:val="0"/>
          <w:bCs w:val="0"/>
          <w:spacing w:val="-4"/>
          <w:sz w:val="32"/>
          <w:szCs w:val="32"/>
        </w:rPr>
        <w:t>分管领导沟通后，经</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市场监督管理局党组认真研究决定执行，财务对资金的使用合法合规性进行监督，年底对资金使用效果进行自评，根据评分标准，该指标4分，得4分。</w:t>
      </w:r>
    </w:p>
    <w:p>
      <w:pPr>
        <w:spacing w:line="540" w:lineRule="exact"/>
        <w:ind w:left="0" w:leftChars="0" w:firstLine="627" w:firstLineChars="2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left="0" w:leftChars="0"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项目产出类指标包括产出数量、产出质量、产出时效、产出成本共四方面的内容，由7个三级指标构成，权重分为40分，本项目实际得分40分，得分率为100%。具体各项指标得分如下：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“食品安全监督抽检批次”指标，预期指标值为“</w:t>
      </w:r>
      <w:r>
        <w:rPr>
          <w:rStyle w:val="18"/>
          <w:rFonts w:hint="eastAsia" w:ascii="楷体" w:hAnsi="楷体" w:eastAsia="楷体"/>
          <w:b w:val="0"/>
          <w:bCs w:val="0"/>
          <w:spacing w:val="-4"/>
          <w:sz w:val="32"/>
          <w:szCs w:val="32"/>
          <w:lang w:eastAsia="zh-CN"/>
        </w:rPr>
        <w:t>大于等于</w:t>
      </w:r>
      <w:r>
        <w:rPr>
          <w:rStyle w:val="18"/>
          <w:rFonts w:hint="eastAsia" w:ascii="楷体" w:hAnsi="楷体" w:eastAsia="楷体"/>
          <w:b w:val="0"/>
          <w:bCs w:val="0"/>
          <w:spacing w:val="-4"/>
          <w:sz w:val="32"/>
          <w:szCs w:val="32"/>
          <w:lang w:val="en-US" w:eastAsia="zh-CN"/>
        </w:rPr>
        <w:t>337</w:t>
      </w:r>
      <w:r>
        <w:rPr>
          <w:rStyle w:val="18"/>
          <w:rFonts w:hint="eastAsia" w:ascii="楷体" w:hAnsi="楷体" w:eastAsia="楷体"/>
          <w:b w:val="0"/>
          <w:bCs w:val="0"/>
          <w:spacing w:val="-4"/>
          <w:sz w:val="32"/>
          <w:szCs w:val="32"/>
        </w:rPr>
        <w:t>批次”，根据</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食品抽检经费项目工作总结可知，实际完成</w:t>
      </w:r>
      <w:r>
        <w:rPr>
          <w:rStyle w:val="18"/>
          <w:rFonts w:hint="eastAsia" w:ascii="楷体" w:hAnsi="楷体" w:eastAsia="楷体"/>
          <w:b w:val="0"/>
          <w:bCs w:val="0"/>
          <w:spacing w:val="-4"/>
          <w:sz w:val="32"/>
          <w:szCs w:val="32"/>
          <w:lang w:val="en-US" w:eastAsia="zh-CN"/>
        </w:rPr>
        <w:t>344</w:t>
      </w:r>
      <w:r>
        <w:rPr>
          <w:rStyle w:val="18"/>
          <w:rFonts w:hint="eastAsia" w:ascii="楷体" w:hAnsi="楷体" w:eastAsia="楷体"/>
          <w:b w:val="0"/>
          <w:bCs w:val="0"/>
          <w:spacing w:val="-4"/>
          <w:sz w:val="32"/>
          <w:szCs w:val="32"/>
        </w:rPr>
        <w:t>批次，与预期目标</w:t>
      </w:r>
      <w:r>
        <w:rPr>
          <w:rStyle w:val="18"/>
          <w:rFonts w:hint="eastAsia" w:ascii="楷体" w:hAnsi="楷体" w:eastAsia="楷体"/>
          <w:b w:val="0"/>
          <w:bCs w:val="0"/>
          <w:spacing w:val="-4"/>
          <w:sz w:val="32"/>
          <w:szCs w:val="32"/>
          <w:lang w:val="en-US" w:eastAsia="zh-CN"/>
        </w:rPr>
        <w:t>基本</w:t>
      </w:r>
      <w:r>
        <w:rPr>
          <w:rStyle w:val="18"/>
          <w:rFonts w:hint="eastAsia" w:ascii="楷体" w:hAnsi="楷体" w:eastAsia="楷体"/>
          <w:b w:val="0"/>
          <w:bCs w:val="0"/>
          <w:spacing w:val="-4"/>
          <w:sz w:val="32"/>
          <w:szCs w:val="32"/>
        </w:rPr>
        <w:t>一致，根据评分标准，该指标</w:t>
      </w:r>
      <w:r>
        <w:rPr>
          <w:rStyle w:val="18"/>
          <w:rFonts w:hint="eastAsia" w:ascii="楷体" w:hAnsi="楷体" w:eastAsia="楷体"/>
          <w:b w:val="0"/>
          <w:bCs w:val="0"/>
          <w:spacing w:val="-4"/>
          <w:sz w:val="32"/>
          <w:szCs w:val="32"/>
          <w:lang w:val="en-US" w:eastAsia="zh-CN"/>
        </w:rPr>
        <w:t>10</w:t>
      </w:r>
      <w:r>
        <w:rPr>
          <w:rStyle w:val="18"/>
          <w:rFonts w:hint="eastAsia" w:ascii="楷体" w:hAnsi="楷体" w:eastAsia="楷体"/>
          <w:b w:val="0"/>
          <w:bCs w:val="0"/>
          <w:spacing w:val="-4"/>
          <w:sz w:val="32"/>
          <w:szCs w:val="32"/>
        </w:rPr>
        <w:t>分，得</w:t>
      </w:r>
      <w:r>
        <w:rPr>
          <w:rStyle w:val="18"/>
          <w:rFonts w:hint="eastAsia" w:ascii="楷体" w:hAnsi="楷体" w:eastAsia="楷体"/>
          <w:b w:val="0"/>
          <w:bCs w:val="0"/>
          <w:spacing w:val="-4"/>
          <w:sz w:val="32"/>
          <w:szCs w:val="32"/>
          <w:lang w:val="en-US" w:eastAsia="zh-CN"/>
        </w:rPr>
        <w:t>10</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“抽检在本地区覆盖率”指标，预期指标值为“</w:t>
      </w:r>
      <w:r>
        <w:rPr>
          <w:rStyle w:val="18"/>
          <w:rFonts w:hint="eastAsia" w:ascii="楷体" w:hAnsi="楷体" w:eastAsia="楷体"/>
          <w:b w:val="0"/>
          <w:bCs w:val="0"/>
          <w:spacing w:val="-4"/>
          <w:sz w:val="32"/>
          <w:szCs w:val="32"/>
          <w:lang w:eastAsia="zh-CN"/>
        </w:rPr>
        <w:t>大于等于</w:t>
      </w:r>
      <w:r>
        <w:rPr>
          <w:rStyle w:val="18"/>
          <w:rFonts w:hint="eastAsia" w:ascii="楷体" w:hAnsi="楷体" w:eastAsia="楷体"/>
          <w:b w:val="0"/>
          <w:bCs w:val="0"/>
          <w:spacing w:val="-4"/>
          <w:sz w:val="32"/>
          <w:szCs w:val="32"/>
          <w:lang w:val="en-US" w:eastAsia="zh-CN"/>
        </w:rPr>
        <w:t>98</w:t>
      </w:r>
      <w:r>
        <w:rPr>
          <w:rStyle w:val="18"/>
          <w:rFonts w:hint="eastAsia" w:ascii="楷体" w:hAnsi="楷体" w:eastAsia="楷体"/>
          <w:b w:val="0"/>
          <w:bCs w:val="0"/>
          <w:spacing w:val="-4"/>
          <w:sz w:val="32"/>
          <w:szCs w:val="32"/>
        </w:rPr>
        <w:t>%”，根据</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食品抽检经费项目工作总结可知，</w:t>
      </w:r>
      <w:r>
        <w:rPr>
          <w:rStyle w:val="18"/>
          <w:rFonts w:hint="eastAsia" w:ascii="楷体" w:hAnsi="楷体" w:eastAsia="楷体"/>
          <w:b w:val="0"/>
          <w:bCs w:val="0"/>
          <w:spacing w:val="-4"/>
          <w:sz w:val="32"/>
          <w:szCs w:val="32"/>
          <w:lang w:eastAsia="zh-CN"/>
        </w:rPr>
        <w:t>实际</w:t>
      </w:r>
      <w:r>
        <w:rPr>
          <w:rStyle w:val="18"/>
          <w:rFonts w:hint="eastAsia" w:ascii="楷体" w:hAnsi="楷体" w:eastAsia="楷体"/>
          <w:b w:val="0"/>
          <w:bCs w:val="0"/>
          <w:spacing w:val="-4"/>
          <w:sz w:val="32"/>
          <w:szCs w:val="32"/>
        </w:rPr>
        <w:t>覆盖率达到</w:t>
      </w:r>
      <w:r>
        <w:rPr>
          <w:rStyle w:val="18"/>
          <w:rFonts w:hint="eastAsia" w:ascii="楷体" w:hAnsi="楷体" w:eastAsia="楷体"/>
          <w:b w:val="0"/>
          <w:bCs w:val="0"/>
          <w:spacing w:val="-4"/>
          <w:sz w:val="32"/>
          <w:szCs w:val="32"/>
          <w:lang w:val="en-US" w:eastAsia="zh-CN"/>
        </w:rPr>
        <w:t>98</w:t>
      </w:r>
      <w:r>
        <w:rPr>
          <w:rStyle w:val="18"/>
          <w:rFonts w:hint="eastAsia" w:ascii="楷体" w:hAnsi="楷体" w:eastAsia="楷体"/>
          <w:b w:val="0"/>
          <w:bCs w:val="0"/>
          <w:spacing w:val="-4"/>
          <w:sz w:val="32"/>
          <w:szCs w:val="32"/>
        </w:rPr>
        <w:t>%，与预期目标一致，根据评分标准，该指标</w:t>
      </w:r>
      <w:r>
        <w:rPr>
          <w:rStyle w:val="18"/>
          <w:rFonts w:hint="eastAsia" w:ascii="楷体" w:hAnsi="楷体" w:eastAsia="楷体"/>
          <w:b w:val="0"/>
          <w:bCs w:val="0"/>
          <w:spacing w:val="-4"/>
          <w:sz w:val="32"/>
          <w:szCs w:val="32"/>
          <w:lang w:val="en-US" w:eastAsia="zh-CN"/>
        </w:rPr>
        <w:t>10</w:t>
      </w:r>
      <w:r>
        <w:rPr>
          <w:rStyle w:val="18"/>
          <w:rFonts w:hint="eastAsia" w:ascii="楷体" w:hAnsi="楷体" w:eastAsia="楷体"/>
          <w:b w:val="0"/>
          <w:bCs w:val="0"/>
          <w:spacing w:val="-4"/>
          <w:sz w:val="32"/>
          <w:szCs w:val="32"/>
        </w:rPr>
        <w:t>分，得</w:t>
      </w:r>
      <w:r>
        <w:rPr>
          <w:rStyle w:val="18"/>
          <w:rFonts w:hint="eastAsia" w:ascii="楷体" w:hAnsi="楷体" w:eastAsia="楷体"/>
          <w:b w:val="0"/>
          <w:bCs w:val="0"/>
          <w:spacing w:val="-4"/>
          <w:sz w:val="32"/>
          <w:szCs w:val="32"/>
          <w:lang w:val="en-US" w:eastAsia="zh-CN"/>
        </w:rPr>
        <w:t>10</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“资金支付及时率”指标，预期指标值为“</w:t>
      </w:r>
      <w:r>
        <w:rPr>
          <w:rStyle w:val="18"/>
          <w:rFonts w:hint="eastAsia" w:ascii="楷体" w:hAnsi="楷体" w:eastAsia="楷体"/>
          <w:b w:val="0"/>
          <w:bCs w:val="0"/>
          <w:spacing w:val="-4"/>
          <w:sz w:val="32"/>
          <w:szCs w:val="32"/>
          <w:lang w:eastAsia="zh-CN"/>
        </w:rPr>
        <w:t>等于</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根据资金支付凭证，该项目</w:t>
      </w:r>
      <w:r>
        <w:rPr>
          <w:rStyle w:val="18"/>
          <w:rFonts w:hint="eastAsia" w:ascii="楷体" w:hAnsi="楷体" w:eastAsia="楷体"/>
          <w:b w:val="0"/>
          <w:bCs w:val="0"/>
          <w:spacing w:val="-4"/>
          <w:sz w:val="32"/>
          <w:szCs w:val="32"/>
          <w:lang w:eastAsia="zh-CN"/>
        </w:rPr>
        <w:t>资金</w:t>
      </w:r>
      <w:r>
        <w:rPr>
          <w:rStyle w:val="18"/>
          <w:rFonts w:hint="eastAsia" w:ascii="楷体" w:hAnsi="楷体" w:eastAsia="楷体"/>
          <w:b w:val="0"/>
          <w:bCs w:val="0"/>
          <w:spacing w:val="-4"/>
          <w:sz w:val="32"/>
          <w:szCs w:val="32"/>
        </w:rPr>
        <w:t>已于2023年</w:t>
      </w:r>
      <w:r>
        <w:rPr>
          <w:rStyle w:val="18"/>
          <w:rFonts w:hint="eastAsia" w:ascii="楷体" w:hAnsi="楷体" w:eastAsia="楷体"/>
          <w:b w:val="0"/>
          <w:bCs w:val="0"/>
          <w:spacing w:val="-4"/>
          <w:sz w:val="32"/>
          <w:szCs w:val="32"/>
          <w:lang w:val="en-US" w:eastAsia="zh-CN"/>
        </w:rPr>
        <w:t>8</w:t>
      </w:r>
      <w:r>
        <w:rPr>
          <w:rStyle w:val="18"/>
          <w:rFonts w:hint="eastAsia" w:ascii="楷体" w:hAnsi="楷体" w:eastAsia="楷体"/>
          <w:b w:val="0"/>
          <w:bCs w:val="0"/>
          <w:spacing w:val="-4"/>
          <w:sz w:val="32"/>
          <w:szCs w:val="32"/>
        </w:rPr>
        <w:t>月全部支付完毕，与预期目标指标一致，根据评分标准，该指标</w:t>
      </w: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分，得</w:t>
      </w: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“项目资金完成时效”指标，预期指标值为“2023年1</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月</w:t>
      </w:r>
      <w:r>
        <w:rPr>
          <w:rStyle w:val="18"/>
          <w:rFonts w:hint="eastAsia" w:ascii="楷体" w:hAnsi="楷体" w:eastAsia="楷体"/>
          <w:b w:val="0"/>
          <w:bCs w:val="0"/>
          <w:spacing w:val="-4"/>
          <w:sz w:val="32"/>
          <w:szCs w:val="32"/>
          <w:lang w:val="en-US" w:eastAsia="zh-CN"/>
        </w:rPr>
        <w:t>20</w:t>
      </w:r>
      <w:r>
        <w:rPr>
          <w:rStyle w:val="18"/>
          <w:rFonts w:hint="eastAsia" w:ascii="楷体" w:hAnsi="楷体" w:eastAsia="楷体"/>
          <w:b w:val="0"/>
          <w:bCs w:val="0"/>
          <w:spacing w:val="-4"/>
          <w:sz w:val="32"/>
          <w:szCs w:val="32"/>
        </w:rPr>
        <w:t>日”；根据资金支付凭证，该项目于202</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年</w:t>
      </w:r>
      <w:r>
        <w:rPr>
          <w:rStyle w:val="18"/>
          <w:rFonts w:hint="eastAsia" w:ascii="楷体" w:hAnsi="楷体" w:eastAsia="楷体"/>
          <w:b w:val="0"/>
          <w:bCs w:val="0"/>
          <w:spacing w:val="-4"/>
          <w:sz w:val="32"/>
          <w:szCs w:val="32"/>
          <w:lang w:val="en-US" w:eastAsia="zh-CN"/>
        </w:rPr>
        <w:t>8</w:t>
      </w:r>
      <w:r>
        <w:rPr>
          <w:rStyle w:val="18"/>
          <w:rFonts w:hint="eastAsia" w:ascii="楷体" w:hAnsi="楷体" w:eastAsia="楷体"/>
          <w:b w:val="0"/>
          <w:bCs w:val="0"/>
          <w:spacing w:val="-4"/>
          <w:sz w:val="32"/>
          <w:szCs w:val="32"/>
        </w:rPr>
        <w:t>月</w:t>
      </w:r>
      <w:r>
        <w:rPr>
          <w:rStyle w:val="18"/>
          <w:rFonts w:hint="eastAsia" w:ascii="楷体" w:hAnsi="楷体" w:eastAsia="楷体"/>
          <w:b w:val="0"/>
          <w:bCs w:val="0"/>
          <w:spacing w:val="-4"/>
          <w:sz w:val="32"/>
          <w:szCs w:val="32"/>
          <w:lang w:val="en-US" w:eastAsia="zh-CN"/>
        </w:rPr>
        <w:t>21</w:t>
      </w:r>
      <w:r>
        <w:rPr>
          <w:rStyle w:val="18"/>
          <w:rFonts w:hint="eastAsia" w:ascii="楷体" w:hAnsi="楷体" w:eastAsia="楷体"/>
          <w:b w:val="0"/>
          <w:bCs w:val="0"/>
          <w:spacing w:val="-4"/>
          <w:sz w:val="32"/>
          <w:szCs w:val="32"/>
        </w:rPr>
        <w:t>日已经完成，</w:t>
      </w:r>
      <w:r>
        <w:rPr>
          <w:rStyle w:val="18"/>
          <w:rFonts w:hint="eastAsia" w:ascii="楷体" w:hAnsi="楷体" w:eastAsia="楷体"/>
          <w:b w:val="0"/>
          <w:bCs w:val="0"/>
          <w:spacing w:val="-4"/>
          <w:sz w:val="32"/>
          <w:szCs w:val="32"/>
          <w:lang w:eastAsia="zh-CN"/>
        </w:rPr>
        <w:t>资金</w:t>
      </w:r>
      <w:r>
        <w:rPr>
          <w:rStyle w:val="18"/>
          <w:rFonts w:hint="eastAsia" w:ascii="楷体" w:hAnsi="楷体" w:eastAsia="楷体"/>
          <w:b w:val="0"/>
          <w:bCs w:val="0"/>
          <w:spacing w:val="-4"/>
          <w:sz w:val="32"/>
          <w:szCs w:val="32"/>
        </w:rPr>
        <w:t>已于2023年</w:t>
      </w:r>
      <w:r>
        <w:rPr>
          <w:rStyle w:val="18"/>
          <w:rFonts w:hint="eastAsia" w:ascii="楷体" w:hAnsi="楷体" w:eastAsia="楷体"/>
          <w:b w:val="0"/>
          <w:bCs w:val="0"/>
          <w:spacing w:val="-4"/>
          <w:sz w:val="32"/>
          <w:szCs w:val="32"/>
          <w:lang w:val="en-US" w:eastAsia="zh-CN"/>
        </w:rPr>
        <w:t>8</w:t>
      </w:r>
      <w:r>
        <w:rPr>
          <w:rStyle w:val="18"/>
          <w:rFonts w:hint="eastAsia" w:ascii="楷体" w:hAnsi="楷体" w:eastAsia="楷体"/>
          <w:b w:val="0"/>
          <w:bCs w:val="0"/>
          <w:spacing w:val="-4"/>
          <w:sz w:val="32"/>
          <w:szCs w:val="32"/>
        </w:rPr>
        <w:t>月全部支付完毕，与预期目标指标一致，根据评分标准，该指标</w:t>
      </w: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分，得</w:t>
      </w: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经济成本“食品安全监督抽检专项经费（元/批次）”指标，预期指标值为“</w:t>
      </w:r>
      <w:r>
        <w:rPr>
          <w:rStyle w:val="18"/>
          <w:rFonts w:hint="eastAsia" w:ascii="楷体" w:hAnsi="楷体" w:eastAsia="楷体"/>
          <w:b w:val="0"/>
          <w:bCs w:val="0"/>
          <w:spacing w:val="-4"/>
          <w:sz w:val="32"/>
          <w:szCs w:val="32"/>
          <w:lang w:eastAsia="zh-CN"/>
        </w:rPr>
        <w:t>小于等于</w:t>
      </w:r>
      <w:r>
        <w:rPr>
          <w:rStyle w:val="18"/>
          <w:rFonts w:hint="eastAsia" w:ascii="楷体" w:hAnsi="楷体" w:eastAsia="楷体"/>
          <w:b w:val="0"/>
          <w:bCs w:val="0"/>
          <w:spacing w:val="-4"/>
          <w:sz w:val="32"/>
          <w:szCs w:val="32"/>
          <w:lang w:val="en-US" w:eastAsia="zh-CN"/>
        </w:rPr>
        <w:t>945</w:t>
      </w:r>
      <w:r>
        <w:rPr>
          <w:rStyle w:val="18"/>
          <w:rFonts w:hint="eastAsia" w:ascii="楷体" w:hAnsi="楷体" w:eastAsia="楷体"/>
          <w:b w:val="0"/>
          <w:bCs w:val="0"/>
          <w:spacing w:val="-4"/>
          <w:sz w:val="32"/>
          <w:szCs w:val="32"/>
        </w:rPr>
        <w:t>元/批次”，根据项目合同和资金支付凭证显示，本项目2023年共计支付业务款</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万元，食品安全监督抽检专项经费</w:t>
      </w:r>
      <w:r>
        <w:rPr>
          <w:rStyle w:val="18"/>
          <w:rFonts w:hint="eastAsia" w:ascii="楷体" w:hAnsi="楷体" w:eastAsia="楷体"/>
          <w:b w:val="0"/>
          <w:bCs w:val="0"/>
          <w:spacing w:val="-4"/>
          <w:sz w:val="32"/>
          <w:szCs w:val="32"/>
          <w:lang w:val="en-US" w:eastAsia="zh-CN"/>
        </w:rPr>
        <w:t>945</w:t>
      </w:r>
      <w:r>
        <w:rPr>
          <w:rStyle w:val="18"/>
          <w:rFonts w:hint="eastAsia" w:ascii="楷体" w:hAnsi="楷体" w:eastAsia="楷体"/>
          <w:b w:val="0"/>
          <w:bCs w:val="0"/>
          <w:spacing w:val="-4"/>
          <w:sz w:val="32"/>
          <w:szCs w:val="32"/>
        </w:rPr>
        <w:t>元/批次</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经费支出能够控制在年度计划成本范围内，根据评分标准，该指标</w:t>
      </w:r>
      <w:r>
        <w:rPr>
          <w:rStyle w:val="18"/>
          <w:rFonts w:hint="eastAsia" w:ascii="楷体" w:hAnsi="楷体" w:eastAsia="楷体"/>
          <w:b w:val="0"/>
          <w:bCs w:val="0"/>
          <w:spacing w:val="-4"/>
          <w:sz w:val="32"/>
          <w:szCs w:val="32"/>
          <w:lang w:val="en-US" w:eastAsia="zh-CN"/>
        </w:rPr>
        <w:t>10</w:t>
      </w:r>
      <w:r>
        <w:rPr>
          <w:rStyle w:val="18"/>
          <w:rFonts w:hint="eastAsia" w:ascii="楷体" w:hAnsi="楷体" w:eastAsia="楷体"/>
          <w:b w:val="0"/>
          <w:bCs w:val="0"/>
          <w:spacing w:val="-4"/>
          <w:sz w:val="32"/>
          <w:szCs w:val="32"/>
        </w:rPr>
        <w:t>分，得</w:t>
      </w:r>
      <w:r>
        <w:rPr>
          <w:rStyle w:val="18"/>
          <w:rFonts w:hint="eastAsia" w:ascii="楷体" w:hAnsi="楷体" w:eastAsia="楷体"/>
          <w:b w:val="0"/>
          <w:bCs w:val="0"/>
          <w:spacing w:val="-4"/>
          <w:sz w:val="32"/>
          <w:szCs w:val="32"/>
          <w:lang w:val="en-US" w:eastAsia="zh-CN"/>
        </w:rPr>
        <w:t>1</w:t>
      </w:r>
      <w:r>
        <w:rPr>
          <w:rStyle w:val="18"/>
          <w:rFonts w:hint="eastAsia" w:ascii="楷体" w:hAnsi="楷体" w:eastAsia="楷体"/>
          <w:b w:val="0"/>
          <w:bCs w:val="0"/>
          <w:spacing w:val="-4"/>
          <w:sz w:val="32"/>
          <w:szCs w:val="32"/>
        </w:rPr>
        <w:t>0分。</w:t>
      </w:r>
    </w:p>
    <w:p>
      <w:pPr>
        <w:spacing w:line="540" w:lineRule="exact"/>
        <w:ind w:left="0" w:leftChars="0" w:firstLine="627" w:firstLineChars="2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项目效益类指标由社会效益1个二级指标和2个三级指标构成，权重分为20分，本项目实际得分20分，得分率为100%。具体各项指标得分如下：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“提升质量监管水平”指标，预期指标值为“有效提升”</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根据食用农产品抽检项目分析报告，实际完成值为“</w:t>
      </w:r>
      <w:r>
        <w:rPr>
          <w:rStyle w:val="18"/>
          <w:rFonts w:hint="eastAsia" w:ascii="楷体" w:hAnsi="楷体" w:eastAsia="楷体"/>
          <w:b w:val="0"/>
          <w:bCs w:val="0"/>
          <w:spacing w:val="-4"/>
          <w:sz w:val="32"/>
          <w:szCs w:val="32"/>
          <w:lang w:eastAsia="zh-CN"/>
        </w:rPr>
        <w:t>有效提升</w:t>
      </w:r>
      <w:r>
        <w:rPr>
          <w:rStyle w:val="18"/>
          <w:rFonts w:hint="eastAsia" w:ascii="楷体" w:hAnsi="楷体" w:eastAsia="楷体"/>
          <w:b w:val="0"/>
          <w:bCs w:val="0"/>
          <w:spacing w:val="-4"/>
          <w:sz w:val="32"/>
          <w:szCs w:val="32"/>
        </w:rPr>
        <w:t>”根据评分标准，该指标</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0分，得</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本项目无该项指标。</w:t>
      </w:r>
    </w:p>
    <w:p>
      <w:pPr>
        <w:spacing w:line="540" w:lineRule="exact"/>
        <w:ind w:left="0" w:leftChars="0"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（五）满意度指标完成情况分析</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“公众对食品安全监管满意度”指标，预期指标值为“</w:t>
      </w:r>
      <w:r>
        <w:rPr>
          <w:rStyle w:val="18"/>
          <w:rFonts w:hint="eastAsia" w:ascii="楷体" w:hAnsi="楷体" w:eastAsia="楷体"/>
          <w:b w:val="0"/>
          <w:bCs w:val="0"/>
          <w:spacing w:val="-4"/>
          <w:sz w:val="32"/>
          <w:szCs w:val="32"/>
          <w:lang w:eastAsia="zh-CN"/>
        </w:rPr>
        <w:t>大于等于</w:t>
      </w:r>
      <w:r>
        <w:rPr>
          <w:rStyle w:val="18"/>
          <w:rFonts w:hint="eastAsia" w:ascii="楷体" w:hAnsi="楷体" w:eastAsia="楷体"/>
          <w:b w:val="0"/>
          <w:bCs w:val="0"/>
          <w:spacing w:val="-4"/>
          <w:sz w:val="32"/>
          <w:szCs w:val="32"/>
          <w:lang w:val="en-US" w:eastAsia="zh-CN"/>
        </w:rPr>
        <w:t>98</w:t>
      </w:r>
      <w:r>
        <w:rPr>
          <w:rStyle w:val="18"/>
          <w:rFonts w:hint="eastAsia" w:ascii="楷体" w:hAnsi="楷体" w:eastAsia="楷体"/>
          <w:b w:val="0"/>
          <w:bCs w:val="0"/>
          <w:spacing w:val="-4"/>
          <w:sz w:val="32"/>
          <w:szCs w:val="32"/>
        </w:rPr>
        <w:t>%”，根据对公众进行满意度问卷调查的结果可知，满意度达9</w:t>
      </w:r>
      <w:r>
        <w:rPr>
          <w:rStyle w:val="18"/>
          <w:rFonts w:hint="eastAsia" w:ascii="楷体" w:hAnsi="楷体" w:eastAsia="楷体"/>
          <w:b w:val="0"/>
          <w:bCs w:val="0"/>
          <w:spacing w:val="-4"/>
          <w:sz w:val="32"/>
          <w:szCs w:val="32"/>
          <w:lang w:val="en-US" w:eastAsia="zh-CN"/>
        </w:rPr>
        <w:t>8</w:t>
      </w:r>
      <w:r>
        <w:rPr>
          <w:rStyle w:val="18"/>
          <w:rFonts w:hint="eastAsia" w:ascii="楷体" w:hAnsi="楷体" w:eastAsia="楷体"/>
          <w:b w:val="0"/>
          <w:bCs w:val="0"/>
          <w:spacing w:val="-4"/>
          <w:sz w:val="32"/>
          <w:szCs w:val="32"/>
        </w:rPr>
        <w:t>%，根据评分标准，该指标</w:t>
      </w:r>
      <w:r>
        <w:rPr>
          <w:rStyle w:val="18"/>
          <w:rFonts w:hint="eastAsia" w:ascii="楷体" w:hAnsi="楷体" w:eastAsia="楷体"/>
          <w:b w:val="0"/>
          <w:bCs w:val="0"/>
          <w:spacing w:val="-4"/>
          <w:sz w:val="32"/>
          <w:szCs w:val="32"/>
          <w:lang w:val="en-US" w:eastAsia="zh-CN"/>
        </w:rPr>
        <w:t>10</w:t>
      </w:r>
      <w:r>
        <w:rPr>
          <w:rStyle w:val="18"/>
          <w:rFonts w:hint="eastAsia" w:ascii="楷体" w:hAnsi="楷体" w:eastAsia="楷体"/>
          <w:b w:val="0"/>
          <w:bCs w:val="0"/>
          <w:spacing w:val="-4"/>
          <w:sz w:val="32"/>
          <w:szCs w:val="32"/>
        </w:rPr>
        <w:t>分,得</w:t>
      </w:r>
      <w:r>
        <w:rPr>
          <w:rStyle w:val="18"/>
          <w:rFonts w:hint="eastAsia" w:ascii="楷体" w:hAnsi="楷体" w:eastAsia="楷体"/>
          <w:b w:val="0"/>
          <w:bCs w:val="0"/>
          <w:spacing w:val="-4"/>
          <w:sz w:val="32"/>
          <w:szCs w:val="32"/>
          <w:lang w:val="en-US" w:eastAsia="zh-CN"/>
        </w:rPr>
        <w:t>10</w:t>
      </w:r>
      <w:r>
        <w:rPr>
          <w:rStyle w:val="18"/>
          <w:rFonts w:hint="eastAsia" w:ascii="楷体" w:hAnsi="楷体" w:eastAsia="楷体"/>
          <w:b w:val="0"/>
          <w:bCs w:val="0"/>
          <w:spacing w:val="-4"/>
          <w:sz w:val="32"/>
          <w:szCs w:val="32"/>
        </w:rPr>
        <w:t>分。</w:t>
      </w:r>
    </w:p>
    <w:p>
      <w:pPr>
        <w:spacing w:line="540" w:lineRule="exact"/>
        <w:ind w:left="0" w:leftChars="0"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（一）预算执行进度</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食品抽检经费项目预算金额</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万元，全年项目实际支出</w:t>
      </w:r>
      <w:r>
        <w:rPr>
          <w:rStyle w:val="18"/>
          <w:rFonts w:hint="eastAsia" w:ascii="楷体" w:hAnsi="楷体" w:eastAsia="楷体"/>
          <w:b w:val="0"/>
          <w:bCs w:val="0"/>
          <w:spacing w:val="-4"/>
          <w:sz w:val="32"/>
          <w:szCs w:val="32"/>
          <w:lang w:val="en-US" w:eastAsia="zh-CN"/>
        </w:rPr>
        <w:t>31.85</w:t>
      </w:r>
      <w:r>
        <w:rPr>
          <w:rStyle w:val="18"/>
          <w:rFonts w:hint="eastAsia" w:ascii="楷体" w:hAnsi="楷体" w:eastAsia="楷体"/>
          <w:b w:val="0"/>
          <w:bCs w:val="0"/>
          <w:spacing w:val="-4"/>
          <w:sz w:val="32"/>
          <w:szCs w:val="32"/>
        </w:rPr>
        <w:t>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（二）绩效指标偏差情况</w:t>
      </w:r>
    </w:p>
    <w:p>
      <w:pPr>
        <w:spacing w:line="540" w:lineRule="exact"/>
        <w:ind w:left="0" w:leftChars="0" w:firstLine="624" w:firstLineChars="20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2023年本单位负责实施的</w:t>
      </w:r>
      <w:r>
        <w:rPr>
          <w:rStyle w:val="18"/>
          <w:rFonts w:hint="eastAsia" w:ascii="楷体" w:hAnsi="楷体" w:eastAsia="楷体"/>
          <w:b w:val="0"/>
          <w:bCs w:val="0"/>
          <w:spacing w:val="-4"/>
          <w:sz w:val="32"/>
          <w:szCs w:val="32"/>
          <w:lang w:eastAsia="zh-CN"/>
        </w:rPr>
        <w:t>沙湾市</w:t>
      </w:r>
      <w:r>
        <w:rPr>
          <w:rStyle w:val="18"/>
          <w:rFonts w:hint="eastAsia" w:ascii="楷体" w:hAnsi="楷体" w:eastAsia="楷体"/>
          <w:b w:val="0"/>
          <w:bCs w:val="0"/>
          <w:spacing w:val="-4"/>
          <w:sz w:val="32"/>
          <w:szCs w:val="32"/>
        </w:rPr>
        <w:t>市场监督管理局2023年</w:t>
      </w:r>
      <w:r>
        <w:rPr>
          <w:rStyle w:val="18"/>
          <w:rFonts w:hint="eastAsia" w:ascii="楷体" w:hAnsi="楷体" w:eastAsia="楷体"/>
          <w:b w:val="0"/>
          <w:bCs w:val="0"/>
          <w:spacing w:val="-4"/>
          <w:sz w:val="32"/>
          <w:szCs w:val="32"/>
          <w:lang w:eastAsia="zh-CN"/>
        </w:rPr>
        <w:t>新正检验检测有限公司</w:t>
      </w:r>
      <w:r>
        <w:rPr>
          <w:rStyle w:val="18"/>
          <w:rFonts w:hint="eastAsia" w:ascii="楷体" w:hAnsi="楷体" w:eastAsia="楷体"/>
          <w:b w:val="0"/>
          <w:bCs w:val="0"/>
          <w:spacing w:val="-4"/>
          <w:sz w:val="32"/>
          <w:szCs w:val="32"/>
        </w:rPr>
        <w:t>食品抽检经费项目的绩效目标及指标已经全部达成，不存在偏差情况。</w:t>
      </w:r>
    </w:p>
    <w:p>
      <w:pPr>
        <w:spacing w:line="540" w:lineRule="exact"/>
        <w:ind w:left="0" w:leftChars="0"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1、聚焦重点任务，推动项目工作落地落实</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numPr>
          <w:ilvl w:val="0"/>
          <w:numId w:val="4"/>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坚持问题导向，加强执行监</w:t>
      </w:r>
      <w:r>
        <w:rPr>
          <w:rStyle w:val="18"/>
          <w:rFonts w:hint="eastAsia" w:ascii="楷体" w:hAnsi="楷体" w:eastAsia="楷体"/>
          <w:b w:val="0"/>
          <w:bCs w:val="0"/>
          <w:spacing w:val="-4"/>
          <w:sz w:val="32"/>
          <w:szCs w:val="32"/>
          <w:lang w:eastAsia="zh-CN"/>
        </w:rPr>
        <w:t>管</w:t>
      </w:r>
      <w:r>
        <w:rPr>
          <w:rStyle w:val="18"/>
          <w:rFonts w:hint="eastAsia" w:ascii="楷体" w:hAnsi="楷体" w:eastAsia="楷体"/>
          <w:b w:val="0"/>
          <w:bCs w:val="0"/>
          <w:spacing w:val="-4"/>
          <w:sz w:val="32"/>
          <w:szCs w:val="32"/>
        </w:rPr>
        <w:t>，提高资金效益</w:t>
      </w:r>
    </w:p>
    <w:p>
      <w:pPr>
        <w:numPr>
          <w:ilvl w:val="0"/>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紧抓预算执行动态监</w:t>
      </w:r>
      <w:r>
        <w:rPr>
          <w:rStyle w:val="18"/>
          <w:rFonts w:hint="eastAsia" w:ascii="楷体" w:hAnsi="楷体" w:eastAsia="楷体"/>
          <w:b w:val="0"/>
          <w:bCs w:val="0"/>
          <w:spacing w:val="-4"/>
          <w:sz w:val="32"/>
          <w:szCs w:val="32"/>
          <w:lang w:eastAsia="zh-CN"/>
        </w:rPr>
        <w:t>管</w:t>
      </w:r>
      <w:r>
        <w:rPr>
          <w:rStyle w:val="18"/>
          <w:rFonts w:hint="eastAsia" w:ascii="楷体" w:hAnsi="楷体" w:eastAsia="楷体"/>
          <w:b w:val="0"/>
          <w:bCs w:val="0"/>
          <w:spacing w:val="-4"/>
          <w:sz w:val="32"/>
          <w:szCs w:val="32"/>
        </w:rPr>
        <w:t>，提高资金使用效益。坚持以问题为导向，以财政部门的绩效监</w:t>
      </w:r>
      <w:r>
        <w:rPr>
          <w:rStyle w:val="18"/>
          <w:rFonts w:hint="eastAsia" w:ascii="楷体" w:hAnsi="楷体" w:eastAsia="楷体"/>
          <w:b w:val="0"/>
          <w:bCs w:val="0"/>
          <w:spacing w:val="-4"/>
          <w:sz w:val="32"/>
          <w:szCs w:val="32"/>
          <w:lang w:eastAsia="zh-CN"/>
        </w:rPr>
        <w:t>管</w:t>
      </w:r>
      <w:r>
        <w:rPr>
          <w:rStyle w:val="18"/>
          <w:rFonts w:hint="eastAsia" w:ascii="楷体" w:hAnsi="楷体" w:eastAsia="楷体"/>
          <w:b w:val="0"/>
          <w:bCs w:val="0"/>
          <w:spacing w:val="-4"/>
          <w:sz w:val="32"/>
          <w:szCs w:val="32"/>
        </w:rPr>
        <w:t>为契机，通过资料审核对资金执行进度及绩效目标实现程度开展审核，对绩效监</w:t>
      </w:r>
      <w:r>
        <w:rPr>
          <w:rStyle w:val="18"/>
          <w:rFonts w:hint="eastAsia" w:ascii="楷体" w:hAnsi="楷体" w:eastAsia="楷体"/>
          <w:b w:val="0"/>
          <w:bCs w:val="0"/>
          <w:spacing w:val="-4"/>
          <w:sz w:val="32"/>
          <w:szCs w:val="32"/>
          <w:lang w:eastAsia="zh-CN"/>
        </w:rPr>
        <w:t>管</w:t>
      </w:r>
      <w:bookmarkStart w:id="0" w:name="_GoBack"/>
      <w:bookmarkEnd w:id="0"/>
      <w:r>
        <w:rPr>
          <w:rStyle w:val="18"/>
          <w:rFonts w:hint="eastAsia" w:ascii="楷体" w:hAnsi="楷体" w:eastAsia="楷体"/>
          <w:b w:val="0"/>
          <w:bCs w:val="0"/>
          <w:spacing w:val="-4"/>
          <w:sz w:val="32"/>
          <w:szCs w:val="32"/>
        </w:rPr>
        <w:t>中发现的问题及时整改，强化资金使用过程管理，有效</w:t>
      </w:r>
      <w:r>
        <w:rPr>
          <w:rStyle w:val="18"/>
          <w:rFonts w:hint="eastAsia" w:ascii="楷体" w:hAnsi="楷体" w:eastAsia="楷体"/>
          <w:b w:val="0"/>
          <w:bCs w:val="0"/>
          <w:spacing w:val="-4"/>
          <w:sz w:val="32"/>
          <w:szCs w:val="32"/>
          <w:lang w:eastAsia="zh-CN"/>
        </w:rPr>
        <w:t>地</w:t>
      </w:r>
      <w:r>
        <w:rPr>
          <w:rStyle w:val="18"/>
          <w:rFonts w:hint="eastAsia" w:ascii="楷体" w:hAnsi="楷体" w:eastAsia="楷体"/>
          <w:b w:val="0"/>
          <w:bCs w:val="0"/>
          <w:spacing w:val="-4"/>
          <w:sz w:val="32"/>
          <w:szCs w:val="32"/>
        </w:rPr>
        <w:t>降低</w:t>
      </w:r>
      <w:r>
        <w:rPr>
          <w:rStyle w:val="18"/>
          <w:rFonts w:hint="eastAsia" w:ascii="楷体" w:hAnsi="楷体" w:eastAsia="楷体"/>
          <w:b w:val="0"/>
          <w:bCs w:val="0"/>
          <w:spacing w:val="-4"/>
          <w:sz w:val="32"/>
          <w:szCs w:val="32"/>
          <w:lang w:eastAsia="zh-CN"/>
        </w:rPr>
        <w:t>了</w:t>
      </w:r>
      <w:r>
        <w:rPr>
          <w:rStyle w:val="18"/>
          <w:rFonts w:hint="eastAsia" w:ascii="楷体" w:hAnsi="楷体" w:eastAsia="楷体"/>
          <w:b w:val="0"/>
          <w:bCs w:val="0"/>
          <w:spacing w:val="-4"/>
          <w:sz w:val="32"/>
          <w:szCs w:val="32"/>
        </w:rPr>
        <w:t>资金偏离政策目标的风险，提高了资金使用效益。</w:t>
      </w:r>
    </w:p>
    <w:p>
      <w:pPr>
        <w:numPr>
          <w:ilvl w:val="0"/>
          <w:numId w:val="4"/>
        </w:num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强化绩效目标刚性约束，及时对项目进行跟踪问效</w:t>
      </w:r>
    </w:p>
    <w:p>
      <w:pPr>
        <w:numPr>
          <w:ilvl w:val="0"/>
          <w:numId w:val="0"/>
        </w:numPr>
        <w:spacing w:line="540" w:lineRule="exact"/>
        <w:ind w:firstLine="624" w:firstLineChars="200"/>
        <w:rPr>
          <w:rFonts w:ascii="仿宋_GB2312" w:eastAsia="仿宋_GB2312"/>
          <w:spacing w:val="-4"/>
          <w:sz w:val="32"/>
          <w:szCs w:val="32"/>
        </w:rPr>
      </w:pP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2、项目支出绩效评价存在局限，客观性有待加强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left="0" w:leftChars="0"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（一）加强业务培训，提升专业能力</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预算绩效管理是一项专业性、技术性较强的工作，没有人才支撑，只能是纸上谈兵。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首先财政部门牵头组织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2、由财政部门每年再举办一次预算绩效管理业务知识考试，奖励一批优胜者，巩固并提升预算绩效业务知识，同时也有助于形成一个良性的“新陈代谢”人才生态空间。</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3、采取多种培训形式对单位财务人员、业务科室人员进行集中培训，进一步树牢绩效观念，提高本单位工作人员的绩效管理能力和工作水平，为预算绩效管理相关工作的顺利开展提供保障。</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（二）高度重视，加强组织领导</w:t>
      </w:r>
    </w:p>
    <w:p>
      <w:pPr>
        <w:spacing w:line="540" w:lineRule="exact"/>
        <w:ind w:left="0" w:leftChars="0"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高度重视，加强领导，精心组织。项目绩效</w:t>
      </w:r>
      <w:r>
        <w:rPr>
          <w:rStyle w:val="18"/>
          <w:rFonts w:hint="eastAsia" w:ascii="楷体" w:hAnsi="楷体" w:eastAsia="楷体"/>
          <w:b w:val="0"/>
          <w:bCs w:val="0"/>
          <w:spacing w:val="-4"/>
          <w:sz w:val="32"/>
          <w:szCs w:val="32"/>
          <w:lang w:eastAsia="zh-CN"/>
        </w:rPr>
        <w:t>评价</w:t>
      </w:r>
      <w:r>
        <w:rPr>
          <w:rStyle w:val="18"/>
          <w:rFonts w:hint="eastAsia" w:ascii="楷体" w:hAnsi="楷体" w:eastAsia="楷体"/>
          <w:b w:val="0"/>
          <w:bCs w:val="0"/>
          <w:spacing w:val="-4"/>
          <w:sz w:val="32"/>
          <w:szCs w:val="32"/>
        </w:rPr>
        <w:t>领导小组对绩效评价工作进行指导、监督、检查，确保项目绩效评价反映项目完成真实情况。严格执行项目绩效评价工作要求，切实提高项目绩效报告的客观性和公正性。</w:t>
      </w:r>
    </w:p>
    <w:p>
      <w:pPr>
        <w:numPr>
          <w:ilvl w:val="0"/>
          <w:numId w:val="5"/>
        </w:numPr>
        <w:spacing w:line="540" w:lineRule="exact"/>
        <w:ind w:left="0" w:leftChars="0"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其他需要说明的问题</w:t>
      </w:r>
    </w:p>
    <w:p>
      <w:pPr>
        <w:numPr>
          <w:ilvl w:val="0"/>
          <w:numId w:val="0"/>
        </w:numPr>
        <w:spacing w:line="540" w:lineRule="exact"/>
        <w:ind w:firstLine="624" w:firstLineChars="200"/>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left="0" w:leftChars="0" w:firstLine="0" w:firstLineChars="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A65D2"/>
    <w:multiLevelType w:val="singleLevel"/>
    <w:tmpl w:val="86BA65D2"/>
    <w:lvl w:ilvl="0" w:tentative="0">
      <w:start w:val="2"/>
      <w:numFmt w:val="decimal"/>
      <w:suff w:val="nothing"/>
      <w:lvlText w:val="%1、"/>
      <w:lvlJc w:val="left"/>
    </w:lvl>
  </w:abstractNum>
  <w:abstractNum w:abstractNumId="1">
    <w:nsid w:val="A7D772E5"/>
    <w:multiLevelType w:val="singleLevel"/>
    <w:tmpl w:val="A7D772E5"/>
    <w:lvl w:ilvl="0" w:tentative="0">
      <w:start w:val="1"/>
      <w:numFmt w:val="decimal"/>
      <w:suff w:val="nothing"/>
      <w:lvlText w:val="（%1）"/>
      <w:lvlJc w:val="left"/>
    </w:lvl>
  </w:abstractNum>
  <w:abstractNum w:abstractNumId="2">
    <w:nsid w:val="31FC175F"/>
    <w:multiLevelType w:val="singleLevel"/>
    <w:tmpl w:val="31FC175F"/>
    <w:lvl w:ilvl="0" w:tentative="0">
      <w:start w:val="1"/>
      <w:numFmt w:val="decimal"/>
      <w:suff w:val="nothing"/>
      <w:lvlText w:val="（%1）"/>
      <w:lvlJc w:val="left"/>
    </w:lvl>
  </w:abstractNum>
  <w:abstractNum w:abstractNumId="3">
    <w:nsid w:val="428EF554"/>
    <w:multiLevelType w:val="singleLevel"/>
    <w:tmpl w:val="428EF554"/>
    <w:lvl w:ilvl="0" w:tentative="0">
      <w:start w:val="1"/>
      <w:numFmt w:val="decimal"/>
      <w:suff w:val="nothing"/>
      <w:lvlText w:val="（%1）"/>
      <w:lvlJc w:val="left"/>
    </w:lvl>
  </w:abstractNum>
  <w:abstractNum w:abstractNumId="4">
    <w:nsid w:val="751E6583"/>
    <w:multiLevelType w:val="singleLevel"/>
    <w:tmpl w:val="751E6583"/>
    <w:lvl w:ilvl="0" w:tentative="0">
      <w:start w:val="8"/>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A8C39C8"/>
    <w:rsid w:val="0BF71E08"/>
    <w:rsid w:val="0BFB189F"/>
    <w:rsid w:val="11BD75F7"/>
    <w:rsid w:val="13BE561A"/>
    <w:rsid w:val="15392994"/>
    <w:rsid w:val="18FE139B"/>
    <w:rsid w:val="1F9C481A"/>
    <w:rsid w:val="3029612C"/>
    <w:rsid w:val="32A221C5"/>
    <w:rsid w:val="33F20F2A"/>
    <w:rsid w:val="34C44675"/>
    <w:rsid w:val="37604911"/>
    <w:rsid w:val="382C157A"/>
    <w:rsid w:val="3B5B5607"/>
    <w:rsid w:val="3CE21B3C"/>
    <w:rsid w:val="3E1344BC"/>
    <w:rsid w:val="3E810FEA"/>
    <w:rsid w:val="454818BD"/>
    <w:rsid w:val="46EE3C09"/>
    <w:rsid w:val="4D2606A1"/>
    <w:rsid w:val="50D826CC"/>
    <w:rsid w:val="51830480"/>
    <w:rsid w:val="53A616BE"/>
    <w:rsid w:val="54662BFB"/>
    <w:rsid w:val="54A95885"/>
    <w:rsid w:val="57BC2012"/>
    <w:rsid w:val="5BDC3815"/>
    <w:rsid w:val="60F5761F"/>
    <w:rsid w:val="62051CA5"/>
    <w:rsid w:val="6ACF35FC"/>
    <w:rsid w:val="6ADB5A74"/>
    <w:rsid w:val="6C3A69EF"/>
    <w:rsid w:val="701358B0"/>
    <w:rsid w:val="722A38A7"/>
    <w:rsid w:val="793B481F"/>
    <w:rsid w:val="79CF6BC3"/>
    <w:rsid w:val="7D8402E3"/>
    <w:rsid w:val="7DB12889"/>
    <w:rsid w:val="7F004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7802</Words>
  <Characters>8148</Characters>
  <Lines>5</Lines>
  <Paragraphs>1</Paragraphs>
  <TotalTime>55</TotalTime>
  <ScaleCrop>false</ScaleCrop>
  <LinksUpToDate>false</LinksUpToDate>
  <CharactersWithSpaces>8408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2024-11-19T03:40:19Z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