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沙湾市市场监督管理局</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pageBreakBefore w:val="0"/>
        <w:kinsoku/>
        <w:wordWrap/>
        <w:overflowPunct/>
        <w:topLinePunct w:val="0"/>
        <w:bidi w:val="0"/>
        <w:adjustRightInd/>
        <w:snapToGrid/>
        <w:spacing w:line="240" w:lineRule="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pageBreakBefore w:val="0"/>
        <w:kinsoku/>
        <w:wordWrap/>
        <w:overflowPunct/>
        <w:topLinePunct w:val="0"/>
        <w:bidi w:val="0"/>
        <w:adjustRightInd/>
        <w:snapToGrid/>
        <w:spacing w:line="240" w:lineRule="auto"/>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pageBreakBefore w:val="0"/>
        <w:kinsoku/>
        <w:wordWrap/>
        <w:overflowPunct/>
        <w:topLinePunct w:val="0"/>
        <w:bidi w:val="0"/>
        <w:adjustRightInd/>
        <w:snapToGrid/>
        <w:spacing w:line="240" w:lineRule="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left="0" w:leftChars="0" w:firstLine="644" w:firstLineChars="230"/>
        <w:jc w:val="left"/>
        <w:textAlignment w:val="auto"/>
        <w:rPr>
          <w:rFonts w:hint="eastAsia" w:ascii="仿宋_GB2312" w:hAnsi="Times New Roman" w:eastAsia="仿宋_GB2312" w:cs="Times New Roman"/>
          <w:color w:val="auto"/>
          <w:sz w:val="32"/>
          <w:szCs w:val="32"/>
          <w:highlight w:val="none"/>
          <w:lang w:eastAsia="zh-CN"/>
        </w:rPr>
      </w:pPr>
      <w:r>
        <w:rPr>
          <w:rFonts w:hint="eastAsia" w:ascii="仿宋_GB2312" w:eastAsia="仿宋_GB2312"/>
          <w:kern w:val="0"/>
          <w:sz w:val="28"/>
          <w:szCs w:val="28"/>
          <w:highlight w:val="none"/>
          <w:lang w:bidi="ar"/>
        </w:rPr>
        <w:t>(1</w:t>
      </w:r>
      <w:r>
        <w:rPr>
          <w:rFonts w:hint="eastAsia" w:ascii="仿宋_GB2312" w:hAnsi="Times New Roman" w:eastAsia="仿宋_GB2312" w:cs="Times New Roman"/>
          <w:color w:val="auto"/>
          <w:sz w:val="32"/>
          <w:szCs w:val="32"/>
          <w:highlight w:val="none"/>
          <w:lang w:eastAsia="zh-CN"/>
        </w:rPr>
        <w:t>)负责市场综合监督管理和知识产权管理。</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t>(2)负责市场主体统</w:t>
      </w:r>
      <w:r>
        <w:rPr>
          <w:rFonts w:hint="eastAsia" w:ascii="仿宋_GB2312" w:eastAsia="仿宋_GB2312" w:cs="Times New Roman"/>
          <w:color w:val="auto"/>
          <w:sz w:val="32"/>
          <w:szCs w:val="32"/>
          <w:highlight w:val="none"/>
          <w:lang w:val="en-US" w:eastAsia="zh-CN"/>
        </w:rPr>
        <w:t>一</w:t>
      </w:r>
      <w:r>
        <w:rPr>
          <w:rFonts w:hint="eastAsia" w:ascii="仿宋_GB2312" w:hAnsi="Times New Roman" w:eastAsia="仿宋_GB2312" w:cs="Times New Roman"/>
          <w:color w:val="auto"/>
          <w:sz w:val="32"/>
          <w:szCs w:val="32"/>
          <w:highlight w:val="none"/>
          <w:lang w:eastAsia="zh-CN"/>
        </w:rPr>
        <w:t>登记注册。</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t>(3)负责组织和指导市场监管和知识产权综合执法工作。</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t>(4)负责自治区委托的反垄断调查。</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t>(5)负责监督管理市场秩序。</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t>(6)负责产品质量安全监督管理。</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t>(7)负责特种设备安全监督管理。</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t>(8)负责食品安全监督管理综合协调。</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t>(9)负责食品安全监督管理。</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t>(10)负责统一管理计量工作。</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t>(11)负责统一管理标准化工作。</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t>(12)负责统一管理检验检测工作。</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t>(13)负责统一管理、监督和综合协调认证认可工作。</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t>(14)负责市场监督管理和知识产权科技与信息化建设、新闻宣传，以及对外交流合作，按规定承担技术性贸易措施有关工作。</w:t>
      </w:r>
    </w:p>
    <w:p>
      <w:pPr>
        <w:keepNext w:val="0"/>
        <w:keepLines w:val="0"/>
        <w:pageBreakBefore w:val="0"/>
        <w:widowControl w:val="0"/>
        <w:kinsoku/>
        <w:wordWrap/>
        <w:overflowPunct/>
        <w:topLinePunct w:val="0"/>
        <w:autoSpaceDE/>
        <w:autoSpaceDN/>
        <w:bidi w:val="0"/>
        <w:adjustRightInd/>
        <w:snapToGrid/>
        <w:spacing w:line="240" w:lineRule="auto"/>
        <w:ind w:left="0" w:leftChars="0" w:firstLine="736" w:firstLineChars="230"/>
        <w:jc w:val="left"/>
        <w:textAlignment w:val="auto"/>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t>(15)负责促进知识产权运用。</w:t>
      </w:r>
    </w:p>
    <w:p>
      <w:pPr>
        <w:keepNext w:val="0"/>
        <w:keepLines w:val="0"/>
        <w:pageBreakBefore w:val="0"/>
        <w:widowControl w:val="0"/>
        <w:kinsoku/>
        <w:wordWrap/>
        <w:overflowPunct/>
        <w:topLinePunct w:val="0"/>
        <w:autoSpaceDE/>
        <w:autoSpaceDN/>
        <w:bidi w:val="0"/>
        <w:adjustRightInd/>
        <w:snapToGrid/>
        <w:spacing w:line="240" w:lineRule="auto"/>
        <w:ind w:left="0" w:leftChars="0" w:firstLine="736" w:firstLineChars="230"/>
        <w:jc w:val="left"/>
        <w:textAlignment w:val="auto"/>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t>(16)负责保护知识产权。</w:t>
      </w:r>
    </w:p>
    <w:p>
      <w:pPr>
        <w:keepNext w:val="0"/>
        <w:keepLines w:val="0"/>
        <w:pageBreakBefore w:val="0"/>
        <w:widowControl w:val="0"/>
        <w:kinsoku/>
        <w:wordWrap/>
        <w:overflowPunct/>
        <w:topLinePunct w:val="0"/>
        <w:autoSpaceDE/>
        <w:autoSpaceDN/>
        <w:bidi w:val="0"/>
        <w:adjustRightInd/>
        <w:snapToGrid/>
        <w:spacing w:line="240" w:lineRule="auto"/>
        <w:ind w:left="0" w:leftChars="0" w:firstLine="736" w:firstLineChars="230"/>
        <w:jc w:val="left"/>
        <w:textAlignment w:val="auto"/>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t>(17)依法实施合同行政监督管理，规范合同行为，负责企业 动产抵押登记;组织实施合同格式条款备案工作;监督管理拍卖行为，依法查处合同欺诈等违法行为。</w:t>
      </w:r>
    </w:p>
    <w:p>
      <w:pPr>
        <w:keepNext w:val="0"/>
        <w:keepLines w:val="0"/>
        <w:pageBreakBefore w:val="0"/>
        <w:widowControl w:val="0"/>
        <w:kinsoku/>
        <w:wordWrap/>
        <w:overflowPunct/>
        <w:topLinePunct w:val="0"/>
        <w:autoSpaceDE/>
        <w:autoSpaceDN/>
        <w:bidi w:val="0"/>
        <w:adjustRightInd/>
        <w:snapToGrid/>
        <w:spacing w:line="240" w:lineRule="auto"/>
        <w:ind w:left="0" w:leftChars="0" w:firstLine="736" w:firstLineChars="230"/>
        <w:jc w:val="left"/>
        <w:textAlignment w:val="auto"/>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t>(18)负责药品、医疗器械和化妆品安全监督管理。</w:t>
      </w:r>
    </w:p>
    <w:p>
      <w:pPr>
        <w:keepNext w:val="0"/>
        <w:keepLines w:val="0"/>
        <w:pageBreakBefore w:val="0"/>
        <w:widowControl w:val="0"/>
        <w:kinsoku/>
        <w:wordWrap/>
        <w:overflowPunct/>
        <w:topLinePunct w:val="0"/>
        <w:autoSpaceDE/>
        <w:autoSpaceDN/>
        <w:bidi w:val="0"/>
        <w:adjustRightInd/>
        <w:snapToGrid/>
        <w:spacing w:line="240" w:lineRule="auto"/>
        <w:ind w:left="0" w:leftChars="0" w:firstLine="736" w:firstLineChars="230"/>
        <w:jc w:val="left"/>
        <w:textAlignment w:val="auto"/>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t>(19)配合实施药品分类管理制度；监督实施国家药品标准， 组织实施中药、民族药监督管理规范和质量标准，监督实施中药饮片炮制规范。</w:t>
      </w:r>
    </w:p>
    <w:p>
      <w:pPr>
        <w:keepNext w:val="0"/>
        <w:keepLines w:val="0"/>
        <w:pageBreakBefore w:val="0"/>
        <w:widowControl w:val="0"/>
        <w:kinsoku/>
        <w:wordWrap/>
        <w:overflowPunct/>
        <w:topLinePunct w:val="0"/>
        <w:autoSpaceDE/>
        <w:autoSpaceDN/>
        <w:bidi w:val="0"/>
        <w:adjustRightInd/>
        <w:snapToGrid/>
        <w:spacing w:line="240" w:lineRule="auto"/>
        <w:ind w:left="0" w:leftChars="0" w:firstLine="736" w:firstLineChars="230"/>
        <w:jc w:val="left"/>
        <w:textAlignment w:val="auto"/>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t>(20)负责药品、医疗器械、化妆品质量管理。</w:t>
      </w:r>
    </w:p>
    <w:p>
      <w:pPr>
        <w:keepNext w:val="0"/>
        <w:keepLines w:val="0"/>
        <w:pageBreakBefore w:val="0"/>
        <w:widowControl w:val="0"/>
        <w:kinsoku/>
        <w:wordWrap/>
        <w:overflowPunct/>
        <w:topLinePunct w:val="0"/>
        <w:autoSpaceDE/>
        <w:autoSpaceDN/>
        <w:bidi w:val="0"/>
        <w:adjustRightInd/>
        <w:snapToGrid/>
        <w:spacing w:line="240" w:lineRule="auto"/>
        <w:ind w:left="0" w:leftChars="0" w:firstLine="736" w:firstLineChars="230"/>
        <w:jc w:val="left"/>
        <w:textAlignment w:val="auto"/>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t>(21)负责药品、医疗器械和化妆品上市后风险管理。</w:t>
      </w:r>
    </w:p>
    <w:p>
      <w:pPr>
        <w:keepNext w:val="0"/>
        <w:keepLines w:val="0"/>
        <w:pageBreakBefore w:val="0"/>
        <w:widowControl w:val="0"/>
        <w:kinsoku/>
        <w:wordWrap/>
        <w:overflowPunct/>
        <w:topLinePunct w:val="0"/>
        <w:autoSpaceDE/>
        <w:autoSpaceDN/>
        <w:bidi w:val="0"/>
        <w:adjustRightInd/>
        <w:snapToGrid/>
        <w:spacing w:line="240" w:lineRule="auto"/>
        <w:ind w:left="0" w:leftChars="0" w:firstLine="736" w:firstLineChars="230"/>
        <w:jc w:val="left"/>
        <w:textAlignment w:val="auto"/>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t>(22)完成</w:t>
      </w:r>
      <w:r>
        <w:rPr>
          <w:rFonts w:hint="eastAsia" w:ascii="仿宋_GB2312" w:eastAsia="仿宋_GB2312" w:cs="Times New Roman"/>
          <w:color w:val="auto"/>
          <w:sz w:val="32"/>
          <w:szCs w:val="32"/>
          <w:highlight w:val="none"/>
          <w:lang w:eastAsia="zh-CN"/>
        </w:rPr>
        <w:t>市委、市政府</w:t>
      </w:r>
      <w:r>
        <w:rPr>
          <w:rFonts w:hint="eastAsia" w:ascii="仿宋_GB2312" w:hAnsi="Times New Roman" w:eastAsia="仿宋_GB2312" w:cs="Times New Roman"/>
          <w:color w:val="auto"/>
          <w:sz w:val="32"/>
          <w:szCs w:val="32"/>
          <w:highlight w:val="none"/>
          <w:lang w:eastAsia="zh-CN"/>
        </w:rPr>
        <w:t>交办的其他任务。</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沙湾市市场监督管理局</w:t>
      </w:r>
      <w:r>
        <w:rPr>
          <w:rFonts w:hint="eastAsia" w:ascii="仿宋_GB2312" w:eastAsia="仿宋_GB2312"/>
          <w:color w:val="auto"/>
          <w:spacing w:val="0"/>
          <w:sz w:val="32"/>
          <w:szCs w:val="32"/>
          <w:highlight w:val="none"/>
          <w:lang w:eastAsia="zh-CN"/>
        </w:rPr>
        <w:t>2023年度，实有人数</w:t>
      </w:r>
      <w:r>
        <w:rPr>
          <w:rFonts w:hint="eastAsia" w:ascii="仿宋_GB2312" w:eastAsia="仿宋_GB2312"/>
          <w:color w:val="auto"/>
          <w:spacing w:val="0"/>
          <w:sz w:val="32"/>
          <w:szCs w:val="32"/>
          <w:highlight w:val="none"/>
          <w:lang w:val="en-US" w:eastAsia="zh-CN"/>
        </w:rPr>
        <w:t>150</w:t>
      </w:r>
      <w:r>
        <w:rPr>
          <w:rFonts w:hint="eastAsia" w:ascii="仿宋_GB2312" w:eastAsia="仿宋_GB2312"/>
          <w:color w:val="auto"/>
          <w:spacing w:val="0"/>
          <w:sz w:val="32"/>
          <w:szCs w:val="32"/>
          <w:highlight w:val="none"/>
          <w:lang w:eastAsia="zh-CN"/>
        </w:rPr>
        <w:t>人，其中：在职人员</w:t>
      </w:r>
      <w:r>
        <w:rPr>
          <w:rFonts w:hint="eastAsia" w:ascii="仿宋_GB2312" w:eastAsia="仿宋_GB2312"/>
          <w:color w:val="auto"/>
          <w:spacing w:val="0"/>
          <w:sz w:val="32"/>
          <w:szCs w:val="32"/>
          <w:highlight w:val="none"/>
          <w:lang w:val="zh-CN" w:eastAsia="zh-CN"/>
        </w:rPr>
        <w:t>90</w:t>
      </w:r>
      <w:r>
        <w:rPr>
          <w:rFonts w:hint="eastAsia" w:ascii="仿宋_GB2312" w:eastAsia="仿宋_GB2312"/>
          <w:color w:val="auto"/>
          <w:spacing w:val="0"/>
          <w:sz w:val="32"/>
          <w:szCs w:val="32"/>
          <w:highlight w:val="none"/>
          <w:lang w:eastAsia="zh-CN"/>
        </w:rPr>
        <w:t>人，离休人员</w:t>
      </w:r>
      <w:r>
        <w:rPr>
          <w:rFonts w:hint="eastAsia" w:ascii="仿宋_GB2312" w:eastAsia="仿宋_GB2312"/>
          <w:color w:val="auto"/>
          <w:spacing w:val="0"/>
          <w:sz w:val="32"/>
          <w:szCs w:val="32"/>
          <w:highlight w:val="none"/>
          <w:lang w:val="zh-CN" w:eastAsia="zh-CN"/>
        </w:rPr>
        <w:t>0</w:t>
      </w:r>
      <w:r>
        <w:rPr>
          <w:rFonts w:hint="eastAsia" w:ascii="仿宋_GB2312" w:eastAsia="仿宋_GB2312"/>
          <w:color w:val="auto"/>
          <w:spacing w:val="0"/>
          <w:sz w:val="32"/>
          <w:szCs w:val="32"/>
          <w:highlight w:val="none"/>
          <w:lang w:eastAsia="zh-CN"/>
        </w:rPr>
        <w:t>人，退休人员</w:t>
      </w:r>
      <w:r>
        <w:rPr>
          <w:rFonts w:hint="eastAsia" w:ascii="仿宋_GB2312" w:eastAsia="仿宋_GB2312"/>
          <w:color w:val="auto"/>
          <w:spacing w:val="0"/>
          <w:sz w:val="32"/>
          <w:szCs w:val="32"/>
          <w:highlight w:val="none"/>
          <w:lang w:val="zh-CN" w:eastAsia="zh-CN"/>
        </w:rPr>
        <w:t>60</w:t>
      </w:r>
      <w:r>
        <w:rPr>
          <w:rFonts w:hint="eastAsia" w:ascii="仿宋_GB2312" w:eastAsia="仿宋_GB2312"/>
          <w:color w:val="auto"/>
          <w:spacing w:val="0"/>
          <w:sz w:val="32"/>
          <w:szCs w:val="32"/>
          <w:highlight w:val="none"/>
          <w:lang w:eastAsia="zh-CN"/>
        </w:rPr>
        <w:t>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单位无下属预算单位，下设9个科室，分别是办公室、注册登记监督管理科、质量计量和标准化监督管理科、计划财务科、政策法规科、商标广告及知识产权科、特种设备安全监督管理科、药械化妆品监督管理科、食品安全监督管理科。</w:t>
      </w:r>
      <w:bookmarkStart w:id="6" w:name="_Toc3092"/>
      <w:bookmarkStart w:id="7" w:name="_Toc29374"/>
    </w:p>
    <w:p>
      <w:pPr>
        <w:rPr>
          <w:rFonts w:hint="eastAsia" w:ascii="仿宋_GB2312" w:hAnsi="Times New Roman" w:eastAsia="仿宋_GB2312" w:cs="Times New Roman"/>
          <w:color w:val="auto"/>
          <w:sz w:val="32"/>
          <w:szCs w:val="32"/>
          <w:highlight w:val="none"/>
          <w:lang w:val="en-US" w:eastAsia="zh-CN"/>
        </w:rPr>
      </w:pPr>
      <w:r>
        <w:rPr>
          <w:rFonts w:hint="eastAsia" w:ascii="仿宋_GB2312" w:eastAsia="仿宋_GB2312"/>
          <w:color w:val="auto"/>
          <w:spacing w:val="0"/>
          <w:sz w:val="32"/>
          <w:szCs w:val="32"/>
          <w:highlight w:val="none"/>
          <w:lang w:val="en-US" w:eastAsia="zh-CN"/>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1,712.35万元，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1,712.35万元，使用非财政拨款结余0.00万元，年初结转和结余0.00万元。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1,712.35万元，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1,712.35万元，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val="zh-CN" w:eastAsia="zh-CN"/>
        </w:rPr>
        <w:t>减少5.72万元</w:t>
      </w:r>
      <w:r>
        <w:rPr>
          <w:rFonts w:hint="eastAsia" w:ascii="仿宋_GB2312" w:eastAsia="仿宋_GB2312"/>
          <w:color w:val="auto"/>
          <w:spacing w:val="0"/>
          <w:sz w:val="32"/>
          <w:szCs w:val="32"/>
          <w:highlight w:val="none"/>
          <w:lang w:eastAsia="zh-CN"/>
        </w:rPr>
        <w:t>，下降0.33%，主要原因是：</w:t>
      </w:r>
      <w:r>
        <w:rPr>
          <w:rFonts w:hint="eastAsia" w:ascii="仿宋_GB2312" w:hAnsi="Times New Roman" w:eastAsia="仿宋_GB2312" w:cs="Times New Roman"/>
          <w:color w:val="auto"/>
          <w:spacing w:val="0"/>
          <w:sz w:val="32"/>
          <w:szCs w:val="32"/>
          <w:highlight w:val="none"/>
          <w:lang w:val="en-US" w:eastAsia="zh-CN"/>
        </w:rPr>
        <w:t>单位</w:t>
      </w:r>
      <w:r>
        <w:rPr>
          <w:rFonts w:hint="eastAsia" w:ascii="仿宋_GB2312" w:eastAsia="仿宋_GB2312" w:cs="Times New Roman"/>
          <w:color w:val="auto"/>
          <w:spacing w:val="0"/>
          <w:sz w:val="32"/>
          <w:szCs w:val="32"/>
          <w:highlight w:val="none"/>
          <w:lang w:val="en-US" w:eastAsia="zh-CN"/>
        </w:rPr>
        <w:t>退休人员</w:t>
      </w:r>
      <w:r>
        <w:rPr>
          <w:rFonts w:hint="eastAsia" w:ascii="仿宋_GB2312" w:hAnsi="Times New Roman" w:eastAsia="仿宋_GB2312" w:cs="Times New Roman"/>
          <w:color w:val="auto"/>
          <w:spacing w:val="0"/>
          <w:sz w:val="32"/>
          <w:szCs w:val="32"/>
          <w:highlight w:val="none"/>
          <w:lang w:val="en-US" w:eastAsia="zh-CN"/>
        </w:rPr>
        <w:t>及年末人员调出，人数减少，费用降低。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1,712.35</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1,712.35</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本年支出1,712.35万元，其中：基本支出1,626.18万元，占94.97%；项目支出86.17万元，占5.03%；上缴上级支出0.00万元，占0.00%；经营支出0.00万元，占0.00%；对附属单位补助支出0.00万元，占0.00%。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1,712.35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1,712.35</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1,712.35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1,712.35</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Times New Roman" w:eastAsia="仿宋_GB2312" w:cs="Times New Roman"/>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减少5.72万元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下降0.33%,</w:t>
      </w:r>
      <w:r>
        <w:rPr>
          <w:rFonts w:hint="eastAsia" w:ascii="仿宋_GB2312" w:eastAsia="仿宋_GB2312"/>
          <w:color w:val="auto"/>
          <w:spacing w:val="0"/>
          <w:sz w:val="32"/>
          <w:szCs w:val="32"/>
          <w:highlight w:val="none"/>
          <w:lang w:eastAsia="zh-CN"/>
        </w:rPr>
        <w:t>主要原因是：</w:t>
      </w:r>
      <w:r>
        <w:rPr>
          <w:rFonts w:hint="eastAsia" w:ascii="仿宋_GB2312" w:hAnsi="Times New Roman" w:eastAsia="仿宋_GB2312" w:cs="Times New Roman"/>
          <w:color w:val="auto"/>
          <w:spacing w:val="0"/>
          <w:sz w:val="32"/>
          <w:szCs w:val="32"/>
          <w:highlight w:val="none"/>
          <w:lang w:val="en-US" w:eastAsia="zh-CN"/>
        </w:rPr>
        <w:t>单位</w:t>
      </w:r>
      <w:r>
        <w:rPr>
          <w:rFonts w:hint="eastAsia" w:ascii="仿宋_GB2312" w:eastAsia="仿宋_GB2312" w:cs="Times New Roman"/>
          <w:color w:val="auto"/>
          <w:spacing w:val="0"/>
          <w:sz w:val="32"/>
          <w:szCs w:val="32"/>
          <w:highlight w:val="none"/>
          <w:lang w:val="en-US" w:eastAsia="zh-CN"/>
        </w:rPr>
        <w:t>退休人员</w:t>
      </w:r>
      <w:r>
        <w:rPr>
          <w:rFonts w:hint="eastAsia" w:ascii="仿宋_GB2312" w:hAnsi="Times New Roman" w:eastAsia="仿宋_GB2312" w:cs="Times New Roman"/>
          <w:color w:val="auto"/>
          <w:spacing w:val="0"/>
          <w:sz w:val="32"/>
          <w:szCs w:val="32"/>
          <w:highlight w:val="none"/>
          <w:lang w:val="en-US" w:eastAsia="zh-CN"/>
        </w:rPr>
        <w:t>及年末人员调出，人数减少，费用降低</w:t>
      </w:r>
      <w:r>
        <w:rPr>
          <w:rFonts w:hint="eastAsia" w:ascii="仿宋_GB2312" w:hAnsi="Times New Roman" w:eastAsia="仿宋_GB2312" w:cs="Times New Roman"/>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000000" w:themeColor="text1"/>
          <w:spacing w:val="0"/>
          <w:sz w:val="32"/>
          <w:szCs w:val="32"/>
          <w:highlight w:val="none"/>
          <w:lang w:val="en-US" w:eastAsia="zh-CN"/>
          <w14:textFill>
            <w14:solidFill>
              <w14:schemeClr w14:val="tx1"/>
            </w14:solidFill>
          </w14:textFill>
        </w:rPr>
      </w:pP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1,631.43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1,712.35</w:t>
      </w:r>
      <w:r>
        <w:rPr>
          <w:rFonts w:hint="eastAsia" w:ascii="仿宋_GB2312" w:eastAsia="仿宋_GB2312"/>
          <w:color w:val="auto"/>
          <w:spacing w:val="0"/>
          <w:sz w:val="32"/>
          <w:szCs w:val="32"/>
          <w:highlight w:val="none"/>
          <w:lang w:eastAsia="zh-CN"/>
        </w:rPr>
        <w:t>万元，预决算差异率4.96%，</w:t>
      </w:r>
      <w:r>
        <w:rPr>
          <w:rFonts w:hint="eastAsia" w:ascii="仿宋_GB2312" w:eastAsia="仿宋_GB2312"/>
          <w:color w:val="000000" w:themeColor="text1"/>
          <w:spacing w:val="0"/>
          <w:sz w:val="32"/>
          <w:szCs w:val="32"/>
          <w:highlight w:val="none"/>
          <w:lang w:eastAsia="zh-CN"/>
          <w14:textFill>
            <w14:solidFill>
              <w14:schemeClr w14:val="tx1"/>
            </w14:solidFill>
          </w14:textFill>
        </w:rPr>
        <w:t>主要</w:t>
      </w:r>
      <w:r>
        <w:rPr>
          <w:rFonts w:hint="eastAsia" w:ascii="仿宋" w:hAnsi="仿宋" w:eastAsia="仿宋" w:cs="仿宋"/>
          <w:color w:val="000000" w:themeColor="text1"/>
          <w:sz w:val="28"/>
          <w:szCs w:val="28"/>
          <w:highlight w:val="none"/>
          <w:lang w:eastAsia="zh-CN"/>
          <w14:textFill>
            <w14:solidFill>
              <w14:schemeClr w14:val="tx1"/>
            </w14:solidFill>
          </w14:textFill>
        </w:rPr>
        <w:t>原</w:t>
      </w:r>
      <w:r>
        <w:rPr>
          <w:rFonts w:hint="eastAsia" w:ascii="仿宋_GB2312" w:eastAsia="仿宋_GB2312"/>
          <w:color w:val="000000" w:themeColor="text1"/>
          <w:spacing w:val="0"/>
          <w:sz w:val="32"/>
          <w:szCs w:val="32"/>
          <w:highlight w:val="none"/>
          <w:lang w:eastAsia="zh-CN"/>
          <w14:textFill>
            <w14:solidFill>
              <w14:schemeClr w14:val="tx1"/>
            </w14:solidFill>
          </w14:textFill>
        </w:rPr>
        <w:t>因是：</w:t>
      </w:r>
      <w:r>
        <w:rPr>
          <w:rFonts w:hint="eastAsia" w:ascii="仿宋_GB2312" w:hAnsi="Times New Roman" w:eastAsia="仿宋_GB2312" w:cs="Times New Roman"/>
          <w:color w:val="000000" w:themeColor="text1"/>
          <w:spacing w:val="0"/>
          <w:sz w:val="32"/>
          <w:szCs w:val="32"/>
          <w:highlight w:val="none"/>
          <w:lang w:eastAsia="zh-CN"/>
          <w14:textFill>
            <w14:solidFill>
              <w14:schemeClr w14:val="tx1"/>
            </w14:solidFill>
          </w14:textFill>
        </w:rPr>
        <w:t>1</w:t>
      </w:r>
      <w:r>
        <w:rPr>
          <w:rFonts w:hint="eastAsia" w:ascii="仿宋_GB2312" w:hAnsi="Times New Roman" w:eastAsia="仿宋_GB2312" w:cs="Times New Roman"/>
          <w:color w:val="000000" w:themeColor="text1"/>
          <w:spacing w:val="0"/>
          <w:sz w:val="32"/>
          <w:szCs w:val="32"/>
          <w:highlight w:val="none"/>
          <w:lang w:val="en-US" w:eastAsia="zh-CN"/>
          <w14:textFill>
            <w14:solidFill>
              <w14:schemeClr w14:val="tx1"/>
            </w14:solidFill>
          </w14:textFill>
        </w:rPr>
        <w:t>.</w:t>
      </w:r>
      <w:r>
        <w:rPr>
          <w:rFonts w:hint="eastAsia" w:ascii="仿宋_GB2312" w:eastAsia="仿宋_GB2312" w:cs="Times New Roman"/>
          <w:color w:val="000000" w:themeColor="text1"/>
          <w:spacing w:val="0"/>
          <w:sz w:val="32"/>
          <w:szCs w:val="32"/>
          <w:highlight w:val="none"/>
          <w:lang w:val="en-US" w:eastAsia="zh-CN"/>
          <w14:textFill>
            <w14:solidFill>
              <w14:schemeClr w14:val="tx1"/>
            </w14:solidFill>
          </w14:textFill>
        </w:rPr>
        <w:t>追加上年专项－工作队经费39.32万</w:t>
      </w:r>
      <w:r>
        <w:rPr>
          <w:rFonts w:hint="eastAsia" w:ascii="仿宋_GB2312" w:eastAsia="仿宋_GB2312"/>
          <w:color w:val="000000" w:themeColor="text1"/>
          <w:spacing w:val="0"/>
          <w:sz w:val="32"/>
          <w:szCs w:val="32"/>
          <w:highlight w:val="none"/>
          <w:lang w:eastAsia="zh-CN"/>
          <w14:textFill>
            <w14:solidFill>
              <w14:schemeClr w14:val="tx1"/>
            </w14:solidFill>
          </w14:textFill>
        </w:rPr>
        <w:t>；</w:t>
      </w:r>
      <w:r>
        <w:rPr>
          <w:rFonts w:hint="eastAsia" w:ascii="仿宋_GB2312" w:hAnsi="Times New Roman" w:eastAsia="仿宋_GB2312" w:cs="Times New Roman"/>
          <w:color w:val="000000" w:themeColor="text1"/>
          <w:spacing w:val="0"/>
          <w:sz w:val="32"/>
          <w:szCs w:val="32"/>
          <w:highlight w:val="none"/>
          <w:lang w:eastAsia="zh-CN"/>
          <w14:textFill>
            <w14:solidFill>
              <w14:schemeClr w14:val="tx1"/>
            </w14:solidFill>
          </w14:textFill>
        </w:rPr>
        <w:t>2.</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经沙财行调剂[2023]02号调剂</w:t>
      </w:r>
      <w:r>
        <w:rPr>
          <w:rFonts w:hint="eastAsia" w:ascii="仿宋_GB2312" w:eastAsia="仿宋_GB2312" w:cs="Times New Roman"/>
          <w:color w:val="000000" w:themeColor="text1"/>
          <w:spacing w:val="0"/>
          <w:sz w:val="32"/>
          <w:szCs w:val="32"/>
          <w:highlight w:val="none"/>
          <w:lang w:eastAsia="zh-CN"/>
          <w14:textFill>
            <w14:solidFill>
              <w14:schemeClr w14:val="tx1"/>
            </w14:solidFill>
          </w14:textFill>
        </w:rPr>
        <w:t>新增食品抽检专项经费</w:t>
      </w:r>
      <w:r>
        <w:rPr>
          <w:rFonts w:hint="eastAsia" w:ascii="仿宋_GB2312" w:eastAsia="仿宋_GB2312" w:cs="Times New Roman"/>
          <w:color w:val="000000" w:themeColor="text1"/>
          <w:spacing w:val="0"/>
          <w:sz w:val="32"/>
          <w:szCs w:val="32"/>
          <w:highlight w:val="none"/>
          <w:lang w:val="en-US" w:eastAsia="zh-CN"/>
          <w14:textFill>
            <w14:solidFill>
              <w14:schemeClr w14:val="tx1"/>
            </w14:solidFill>
          </w14:textFill>
        </w:rPr>
        <w:t>32万</w:t>
      </w:r>
      <w:r>
        <w:rPr>
          <w:rFonts w:hint="eastAsia" w:ascii="仿宋_GB2312" w:eastAsia="仿宋_GB2312" w:cs="Times New Roman"/>
          <w:color w:val="000000" w:themeColor="text1"/>
          <w:spacing w:val="0"/>
          <w:sz w:val="32"/>
          <w:szCs w:val="32"/>
          <w:highlight w:val="none"/>
          <w:lang w:eastAsia="zh-CN"/>
          <w14:textFill>
            <w14:solidFill>
              <w14:schemeClr w14:val="tx1"/>
            </w14:solidFill>
          </w14:textFill>
        </w:rPr>
        <w:t>，偿还鑫科兴商贸欠款</w:t>
      </w:r>
      <w:r>
        <w:rPr>
          <w:rFonts w:hint="eastAsia" w:ascii="仿宋_GB2312" w:eastAsia="仿宋_GB2312" w:cs="Times New Roman"/>
          <w:color w:val="000000" w:themeColor="text1"/>
          <w:spacing w:val="0"/>
          <w:sz w:val="32"/>
          <w:szCs w:val="32"/>
          <w:highlight w:val="none"/>
          <w:lang w:val="en-US" w:eastAsia="zh-CN"/>
          <w14:textFill>
            <w14:solidFill>
              <w14:schemeClr w14:val="tx1"/>
            </w14:solidFill>
          </w14:textFill>
        </w:rPr>
        <w:t>9.6万。</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000000" w:themeColor="text1"/>
          <w:spacing w:val="0"/>
          <w:sz w:val="32"/>
          <w:szCs w:val="32"/>
          <w:highlight w:val="none"/>
          <w:lang w:val="en-US" w:eastAsia="zh-CN"/>
          <w14:textFill>
            <w14:solidFill>
              <w14:schemeClr w14:val="tx1"/>
            </w14:solidFill>
          </w14:textFill>
        </w:rPr>
      </w:pPr>
      <w:r>
        <w:rPr>
          <w:rFonts w:hint="eastAsia" w:ascii="仿宋_GB2312" w:eastAsia="仿宋_GB2312"/>
          <w:color w:val="auto"/>
          <w:spacing w:val="0"/>
          <w:sz w:val="32"/>
          <w:szCs w:val="32"/>
          <w:highlight w:val="none"/>
          <w:lang w:eastAsia="zh-CN"/>
        </w:rPr>
        <w:t>2023年度一般公共预算财政拨款支出1,712.35万元，占本年支出合计的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减少5.72万元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下降0.33%,</w:t>
      </w:r>
      <w:r>
        <w:rPr>
          <w:rFonts w:hint="eastAsia" w:ascii="仿宋_GB2312" w:eastAsia="仿宋_GB2312"/>
          <w:color w:val="auto"/>
          <w:spacing w:val="0"/>
          <w:sz w:val="32"/>
          <w:szCs w:val="32"/>
          <w:highlight w:val="none"/>
          <w:lang w:eastAsia="zh-CN"/>
        </w:rPr>
        <w:t>主要原因是：</w:t>
      </w:r>
      <w:r>
        <w:rPr>
          <w:rFonts w:hint="eastAsia" w:ascii="仿宋_GB2312" w:hAnsi="Times New Roman" w:eastAsia="仿宋_GB2312" w:cs="Times New Roman"/>
          <w:color w:val="auto"/>
          <w:spacing w:val="0"/>
          <w:sz w:val="32"/>
          <w:szCs w:val="32"/>
          <w:highlight w:val="none"/>
          <w:lang w:val="en-US" w:eastAsia="zh-CN"/>
        </w:rPr>
        <w:t>单位</w:t>
      </w:r>
      <w:r>
        <w:rPr>
          <w:rFonts w:hint="eastAsia" w:ascii="仿宋_GB2312" w:eastAsia="仿宋_GB2312" w:cs="Times New Roman"/>
          <w:color w:val="auto"/>
          <w:spacing w:val="0"/>
          <w:sz w:val="32"/>
          <w:szCs w:val="32"/>
          <w:highlight w:val="none"/>
          <w:lang w:val="en-US" w:eastAsia="zh-CN"/>
        </w:rPr>
        <w:t>退休人员</w:t>
      </w:r>
      <w:r>
        <w:rPr>
          <w:rFonts w:hint="eastAsia" w:ascii="仿宋_GB2312" w:hAnsi="Times New Roman" w:eastAsia="仿宋_GB2312" w:cs="Times New Roman"/>
          <w:color w:val="auto"/>
          <w:spacing w:val="0"/>
          <w:sz w:val="32"/>
          <w:szCs w:val="32"/>
          <w:highlight w:val="none"/>
          <w:lang w:val="en-US" w:eastAsia="zh-CN"/>
        </w:rPr>
        <w:t>及年末人员调出，人数减少，费用降低</w:t>
      </w:r>
      <w:r>
        <w:rPr>
          <w:rFonts w:hint="eastAsia" w:ascii="仿宋_GB2312" w:hAnsi="Times New Roman" w:eastAsia="仿宋_GB2312" w:cs="Times New Roman"/>
          <w:color w:val="auto"/>
          <w:spacing w:val="0"/>
          <w:sz w:val="32"/>
          <w:szCs w:val="32"/>
          <w:highlight w:val="none"/>
          <w:lang w:eastAsia="zh-CN"/>
        </w:rPr>
        <w:t>。</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1,631.43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1,712.35</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4.96%</w:t>
      </w:r>
      <w:r>
        <w:rPr>
          <w:rFonts w:hint="eastAsia" w:ascii="仿宋_GB2312" w:eastAsia="仿宋_GB2312"/>
          <w:color w:val="auto"/>
          <w:spacing w:val="0"/>
          <w:sz w:val="32"/>
          <w:szCs w:val="32"/>
          <w:highlight w:val="none"/>
          <w:lang w:eastAsia="zh-CN"/>
        </w:rPr>
        <w:t>，主要原因是：</w:t>
      </w:r>
      <w:r>
        <w:rPr>
          <w:rFonts w:hint="eastAsia" w:ascii="仿宋_GB2312" w:hAnsi="Times New Roman" w:eastAsia="仿宋_GB2312" w:cs="Times New Roman"/>
          <w:color w:val="000000" w:themeColor="text1"/>
          <w:spacing w:val="0"/>
          <w:sz w:val="32"/>
          <w:szCs w:val="32"/>
          <w:highlight w:val="none"/>
          <w:lang w:eastAsia="zh-CN"/>
          <w14:textFill>
            <w14:solidFill>
              <w14:schemeClr w14:val="tx1"/>
            </w14:solidFill>
          </w14:textFill>
        </w:rPr>
        <w:t>1</w:t>
      </w:r>
      <w:r>
        <w:rPr>
          <w:rFonts w:hint="eastAsia" w:ascii="仿宋_GB2312" w:hAnsi="Times New Roman" w:eastAsia="仿宋_GB2312" w:cs="Times New Roman"/>
          <w:color w:val="000000" w:themeColor="text1"/>
          <w:spacing w:val="0"/>
          <w:sz w:val="32"/>
          <w:szCs w:val="32"/>
          <w:highlight w:val="none"/>
          <w:lang w:val="en-US" w:eastAsia="zh-CN"/>
          <w14:textFill>
            <w14:solidFill>
              <w14:schemeClr w14:val="tx1"/>
            </w14:solidFill>
          </w14:textFill>
        </w:rPr>
        <w:t>.</w:t>
      </w:r>
      <w:r>
        <w:rPr>
          <w:rFonts w:hint="eastAsia" w:ascii="仿宋_GB2312" w:eastAsia="仿宋_GB2312" w:cs="Times New Roman"/>
          <w:color w:val="000000" w:themeColor="text1"/>
          <w:spacing w:val="0"/>
          <w:sz w:val="32"/>
          <w:szCs w:val="32"/>
          <w:highlight w:val="none"/>
          <w:lang w:val="en-US" w:eastAsia="zh-CN"/>
          <w14:textFill>
            <w14:solidFill>
              <w14:schemeClr w14:val="tx1"/>
            </w14:solidFill>
          </w14:textFill>
        </w:rPr>
        <w:t>追加上年专项－工作队经费39.32万</w:t>
      </w:r>
      <w:r>
        <w:rPr>
          <w:rFonts w:hint="eastAsia" w:ascii="仿宋_GB2312" w:eastAsia="仿宋_GB2312"/>
          <w:color w:val="000000" w:themeColor="text1"/>
          <w:spacing w:val="0"/>
          <w:sz w:val="32"/>
          <w:szCs w:val="32"/>
          <w:highlight w:val="none"/>
          <w:lang w:eastAsia="zh-CN"/>
          <w14:textFill>
            <w14:solidFill>
              <w14:schemeClr w14:val="tx1"/>
            </w14:solidFill>
          </w14:textFill>
        </w:rPr>
        <w:t>；</w:t>
      </w:r>
      <w:r>
        <w:rPr>
          <w:rFonts w:hint="eastAsia" w:ascii="仿宋_GB2312" w:hAnsi="Times New Roman" w:eastAsia="仿宋_GB2312" w:cs="Times New Roman"/>
          <w:color w:val="000000" w:themeColor="text1"/>
          <w:spacing w:val="0"/>
          <w:sz w:val="32"/>
          <w:szCs w:val="32"/>
          <w:highlight w:val="none"/>
          <w:lang w:eastAsia="zh-CN"/>
          <w14:textFill>
            <w14:solidFill>
              <w14:schemeClr w14:val="tx1"/>
            </w14:solidFill>
          </w14:textFill>
        </w:rPr>
        <w:t>2.</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经沙财行调剂[2023]02号调剂</w:t>
      </w:r>
      <w:r>
        <w:rPr>
          <w:rFonts w:hint="eastAsia" w:ascii="仿宋_GB2312" w:eastAsia="仿宋_GB2312" w:cs="Times New Roman"/>
          <w:color w:val="000000" w:themeColor="text1"/>
          <w:spacing w:val="0"/>
          <w:sz w:val="32"/>
          <w:szCs w:val="32"/>
          <w:highlight w:val="none"/>
          <w:lang w:eastAsia="zh-CN"/>
          <w14:textFill>
            <w14:solidFill>
              <w14:schemeClr w14:val="tx1"/>
            </w14:solidFill>
          </w14:textFill>
        </w:rPr>
        <w:t>新增食品抽检专项经费</w:t>
      </w:r>
      <w:r>
        <w:rPr>
          <w:rFonts w:hint="eastAsia" w:ascii="仿宋_GB2312" w:eastAsia="仿宋_GB2312" w:cs="Times New Roman"/>
          <w:color w:val="000000" w:themeColor="text1"/>
          <w:spacing w:val="0"/>
          <w:sz w:val="32"/>
          <w:szCs w:val="32"/>
          <w:highlight w:val="none"/>
          <w:lang w:val="en-US" w:eastAsia="zh-CN"/>
          <w14:textFill>
            <w14:solidFill>
              <w14:schemeClr w14:val="tx1"/>
            </w14:solidFill>
          </w14:textFill>
        </w:rPr>
        <w:t>32万</w:t>
      </w:r>
      <w:r>
        <w:rPr>
          <w:rFonts w:hint="eastAsia" w:ascii="仿宋_GB2312" w:eastAsia="仿宋_GB2312" w:cs="Times New Roman"/>
          <w:color w:val="000000" w:themeColor="text1"/>
          <w:spacing w:val="0"/>
          <w:sz w:val="32"/>
          <w:szCs w:val="32"/>
          <w:highlight w:val="none"/>
          <w:lang w:eastAsia="zh-CN"/>
          <w14:textFill>
            <w14:solidFill>
              <w14:schemeClr w14:val="tx1"/>
            </w14:solidFill>
          </w14:textFill>
        </w:rPr>
        <w:t>，偿还鑫科兴商贸欠款</w:t>
      </w:r>
      <w:r>
        <w:rPr>
          <w:rFonts w:hint="eastAsia" w:ascii="仿宋_GB2312" w:eastAsia="仿宋_GB2312" w:cs="Times New Roman"/>
          <w:color w:val="000000" w:themeColor="text1"/>
          <w:spacing w:val="0"/>
          <w:sz w:val="32"/>
          <w:szCs w:val="32"/>
          <w:highlight w:val="none"/>
          <w:lang w:val="en-US" w:eastAsia="zh-CN"/>
          <w14:textFill>
            <w14:solidFill>
              <w14:schemeClr w14:val="tx1"/>
            </w14:solidFill>
          </w14:textFill>
        </w:rPr>
        <w:t>9.6万。</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1,283.72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74.97%</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200.68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11.72%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80.16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4.68%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109.01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6.37%</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5</w:t>
      </w:r>
      <w:r>
        <w:rPr>
          <w:rFonts w:hint="default" w:ascii="仿宋_GB2312" w:hAnsi="Times New Roman" w:eastAsia="仿宋_GB2312" w:cs="Times New Roman"/>
          <w:color w:val="auto"/>
          <w:spacing w:val="0"/>
          <w:kern w:val="2"/>
          <w:sz w:val="32"/>
          <w:szCs w:val="32"/>
          <w:highlight w:val="none"/>
          <w:lang w:val="zh-CN" w:eastAsia="zh-CN" w:bidi="ar-SA"/>
        </w:rPr>
        <w:t>.其他支出（类）</w:t>
      </w:r>
      <w:r>
        <w:rPr>
          <w:rFonts w:hint="eastAsia" w:ascii="仿宋_GB2312" w:hAnsi="Times New Roman" w:eastAsia="仿宋_GB2312" w:cs="Times New Roman"/>
          <w:color w:val="auto"/>
          <w:spacing w:val="0"/>
          <w:kern w:val="2"/>
          <w:sz w:val="32"/>
          <w:szCs w:val="32"/>
          <w:highlight w:val="none"/>
          <w:lang w:val="zh-CN" w:eastAsia="zh-CN" w:bidi="ar-SA"/>
        </w:rPr>
        <w:t>38.77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2.26%</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1.卫生健康支出（类）行政事业单位医疗（款）行政单位医疗（项）:支出决算数为40.43万元，比上年决算减少39.15万元，下降49.20%，主要原因是：</w:t>
      </w:r>
      <w:r>
        <w:rPr>
          <w:rFonts w:hint="eastAsia" w:ascii="仿宋_GB2312" w:hAnsi="Times New Roman" w:eastAsia="仿宋_GB2312" w:cs="Times New Roman"/>
          <w:color w:val="auto"/>
          <w:spacing w:val="0"/>
          <w:sz w:val="32"/>
          <w:szCs w:val="32"/>
          <w:highlight w:val="none"/>
          <w:lang w:val="en-US" w:eastAsia="zh-CN"/>
        </w:rPr>
        <w:t>单位</w:t>
      </w:r>
      <w:r>
        <w:rPr>
          <w:rFonts w:hint="eastAsia" w:ascii="仿宋_GB2312" w:eastAsia="仿宋_GB2312" w:cs="Times New Roman"/>
          <w:color w:val="auto"/>
          <w:spacing w:val="0"/>
          <w:sz w:val="32"/>
          <w:szCs w:val="32"/>
          <w:highlight w:val="none"/>
          <w:lang w:val="en-US" w:eastAsia="zh-CN"/>
        </w:rPr>
        <w:t>退休人员</w:t>
      </w:r>
      <w:r>
        <w:rPr>
          <w:rFonts w:hint="eastAsia" w:ascii="仿宋_GB2312" w:hAnsi="Times New Roman" w:eastAsia="仿宋_GB2312" w:cs="Times New Roman"/>
          <w:color w:val="auto"/>
          <w:spacing w:val="0"/>
          <w:sz w:val="32"/>
          <w:szCs w:val="32"/>
          <w:highlight w:val="none"/>
          <w:lang w:val="en-US" w:eastAsia="zh-CN"/>
        </w:rPr>
        <w:t>及年末人员调出，人数减少，费用降低</w:t>
      </w:r>
      <w:r>
        <w:rPr>
          <w:rFonts w:hint="eastAsia" w:ascii="仿宋_GB2312" w:hAnsi="Times New Roman" w:eastAsia="仿宋_GB2312" w:cs="Times New Roman"/>
          <w:color w:val="auto"/>
          <w:spacing w:val="0"/>
          <w:sz w:val="32"/>
          <w:szCs w:val="32"/>
          <w:highlight w:val="none"/>
          <w:lang w:eastAsia="zh-CN"/>
        </w:rPr>
        <w:t>，</w:t>
      </w:r>
      <w:r>
        <w:rPr>
          <w:rFonts w:hint="eastAsia" w:ascii="仿宋_GB2312" w:hAnsi="Times New Roman" w:eastAsia="仿宋_GB2312" w:cs="Times New Roman"/>
          <w:color w:val="auto"/>
          <w:spacing w:val="0"/>
          <w:sz w:val="32"/>
          <w:szCs w:val="32"/>
          <w:highlight w:val="none"/>
          <w:lang w:val="en-US" w:eastAsia="zh-CN"/>
        </w:rPr>
        <w:t>同时退休人员不再缴纳医疗保险</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2.卫生健康支出（类）行政事业单位医疗（款）事业单位医疗（项）:支出决算数为19.59万元，比上年决算增加2.85万元，增长17.03%，主要原因是：</w:t>
      </w:r>
      <w:r>
        <w:rPr>
          <w:rFonts w:hint="eastAsia" w:ascii="仿宋_GB2312" w:hAnsi="Times New Roman" w:eastAsia="仿宋_GB2312" w:cs="Times New Roman"/>
          <w:color w:val="auto"/>
          <w:spacing w:val="0"/>
          <w:sz w:val="32"/>
          <w:szCs w:val="32"/>
          <w:highlight w:val="none"/>
          <w:lang w:val="en-US" w:eastAsia="zh-CN"/>
        </w:rPr>
        <w:t>单位</w:t>
      </w:r>
      <w:r>
        <w:rPr>
          <w:rFonts w:hint="eastAsia" w:ascii="仿宋_GB2312" w:eastAsia="仿宋_GB2312" w:cs="Times New Roman"/>
          <w:color w:val="auto"/>
          <w:spacing w:val="0"/>
          <w:sz w:val="32"/>
          <w:szCs w:val="32"/>
          <w:highlight w:val="none"/>
          <w:lang w:val="en-US" w:eastAsia="zh-CN"/>
        </w:rPr>
        <w:t>本年</w:t>
      </w:r>
      <w:r>
        <w:rPr>
          <w:rFonts w:hint="eastAsia" w:ascii="仿宋_GB2312" w:hAnsi="Times New Roman" w:eastAsia="仿宋_GB2312" w:cs="Times New Roman"/>
          <w:color w:val="auto"/>
          <w:spacing w:val="0"/>
          <w:sz w:val="32"/>
          <w:szCs w:val="32"/>
          <w:highlight w:val="none"/>
          <w:lang w:val="en-US" w:eastAsia="zh-CN"/>
        </w:rPr>
        <w:t>事业编</w:t>
      </w:r>
      <w:r>
        <w:rPr>
          <w:rFonts w:hint="eastAsia" w:ascii="仿宋_GB2312" w:eastAsia="仿宋_GB2312" w:cs="Times New Roman"/>
          <w:color w:val="auto"/>
          <w:spacing w:val="0"/>
          <w:sz w:val="32"/>
          <w:szCs w:val="32"/>
          <w:highlight w:val="none"/>
          <w:lang w:val="en-US" w:eastAsia="zh-CN"/>
        </w:rPr>
        <w:t>制有</w:t>
      </w:r>
      <w:r>
        <w:rPr>
          <w:rFonts w:hint="eastAsia" w:ascii="仿宋_GB2312" w:hAnsi="Times New Roman" w:eastAsia="仿宋_GB2312" w:cs="Times New Roman"/>
          <w:color w:val="auto"/>
          <w:spacing w:val="0"/>
          <w:sz w:val="32"/>
          <w:szCs w:val="32"/>
          <w:highlight w:val="none"/>
          <w:lang w:val="en-US" w:eastAsia="zh-CN"/>
        </w:rPr>
        <w:t>人员调入</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3.卫生健康支出（类）行政事业单位医疗（款）公务员医疗补助（项）:支出决算数为20.14万元，比上年决算减少17.48万元，下降46.46%，主要原因是：</w:t>
      </w:r>
      <w:r>
        <w:rPr>
          <w:rFonts w:hint="eastAsia" w:ascii="仿宋_GB2312" w:hAnsi="Times New Roman" w:eastAsia="仿宋_GB2312" w:cs="Times New Roman"/>
          <w:color w:val="auto"/>
          <w:spacing w:val="0"/>
          <w:sz w:val="32"/>
          <w:szCs w:val="32"/>
          <w:highlight w:val="none"/>
          <w:lang w:val="en-US" w:eastAsia="zh-CN"/>
        </w:rPr>
        <w:t>单位</w:t>
      </w:r>
      <w:r>
        <w:rPr>
          <w:rFonts w:hint="eastAsia" w:ascii="仿宋_GB2312" w:eastAsia="仿宋_GB2312" w:cs="Times New Roman"/>
          <w:color w:val="auto"/>
          <w:spacing w:val="0"/>
          <w:sz w:val="32"/>
          <w:szCs w:val="32"/>
          <w:highlight w:val="none"/>
          <w:lang w:val="en-US" w:eastAsia="zh-CN"/>
        </w:rPr>
        <w:t>退休人员</w:t>
      </w:r>
      <w:r>
        <w:rPr>
          <w:rFonts w:hint="eastAsia" w:ascii="仿宋_GB2312" w:hAnsi="Times New Roman" w:eastAsia="仿宋_GB2312" w:cs="Times New Roman"/>
          <w:color w:val="auto"/>
          <w:spacing w:val="0"/>
          <w:sz w:val="32"/>
          <w:szCs w:val="32"/>
          <w:highlight w:val="none"/>
          <w:lang w:val="en-US" w:eastAsia="zh-CN"/>
        </w:rPr>
        <w:t>及年末人员调出，人数减少，费用降低</w:t>
      </w:r>
      <w:r>
        <w:rPr>
          <w:rFonts w:hint="eastAsia" w:ascii="仿宋_GB2312" w:hAnsi="Times New Roman" w:eastAsia="仿宋_GB2312" w:cs="Times New Roman"/>
          <w:color w:val="auto"/>
          <w:spacing w:val="0"/>
          <w:sz w:val="32"/>
          <w:szCs w:val="32"/>
          <w:highlight w:val="none"/>
          <w:lang w:eastAsia="zh-CN"/>
        </w:rPr>
        <w:t>，</w:t>
      </w:r>
      <w:r>
        <w:rPr>
          <w:rFonts w:hint="eastAsia" w:ascii="仿宋_GB2312" w:hAnsi="Times New Roman" w:eastAsia="仿宋_GB2312" w:cs="Times New Roman"/>
          <w:color w:val="auto"/>
          <w:spacing w:val="0"/>
          <w:sz w:val="32"/>
          <w:szCs w:val="32"/>
          <w:highlight w:val="none"/>
          <w:lang w:val="en-US" w:eastAsia="zh-CN"/>
        </w:rPr>
        <w:t>同时退休人员不再缴纳医疗保险</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4.住房保障支出（类）住房改革支出（款）住房公积金（项）:支出决算数为109.01万元，比上年决算减少2.74万元，下降2.45%，主要原因是：</w:t>
      </w:r>
      <w:r>
        <w:rPr>
          <w:rFonts w:hint="eastAsia" w:ascii="仿宋_GB2312" w:hAnsi="Times New Roman" w:eastAsia="仿宋_GB2312" w:cs="Times New Roman"/>
          <w:color w:val="auto"/>
          <w:spacing w:val="0"/>
          <w:sz w:val="32"/>
          <w:szCs w:val="32"/>
          <w:highlight w:val="none"/>
          <w:lang w:val="en-US" w:eastAsia="zh-CN"/>
        </w:rPr>
        <w:t>单位</w:t>
      </w:r>
      <w:r>
        <w:rPr>
          <w:rFonts w:hint="eastAsia" w:ascii="仿宋_GB2312" w:eastAsia="仿宋_GB2312" w:cs="Times New Roman"/>
          <w:color w:val="auto"/>
          <w:spacing w:val="0"/>
          <w:sz w:val="32"/>
          <w:szCs w:val="32"/>
          <w:highlight w:val="none"/>
          <w:lang w:val="en-US" w:eastAsia="zh-CN"/>
        </w:rPr>
        <w:t>退休人员</w:t>
      </w:r>
      <w:r>
        <w:rPr>
          <w:rFonts w:hint="eastAsia" w:ascii="仿宋_GB2312" w:hAnsi="Times New Roman" w:eastAsia="仿宋_GB2312" w:cs="Times New Roman"/>
          <w:color w:val="auto"/>
          <w:spacing w:val="0"/>
          <w:sz w:val="32"/>
          <w:szCs w:val="32"/>
          <w:highlight w:val="none"/>
          <w:lang w:val="en-US" w:eastAsia="zh-CN"/>
        </w:rPr>
        <w:t>及</w:t>
      </w:r>
      <w:r>
        <w:rPr>
          <w:rFonts w:hint="eastAsia" w:ascii="仿宋_GB2312" w:eastAsia="仿宋_GB2312" w:cs="Times New Roman"/>
          <w:color w:val="auto"/>
          <w:spacing w:val="0"/>
          <w:sz w:val="32"/>
          <w:szCs w:val="32"/>
          <w:highlight w:val="none"/>
          <w:lang w:val="en-US" w:eastAsia="zh-CN"/>
        </w:rPr>
        <w:t>年末</w:t>
      </w:r>
      <w:r>
        <w:rPr>
          <w:rFonts w:hint="eastAsia" w:ascii="仿宋_GB2312" w:hAnsi="Times New Roman" w:eastAsia="仿宋_GB2312" w:cs="Times New Roman"/>
          <w:color w:val="auto"/>
          <w:spacing w:val="0"/>
          <w:sz w:val="32"/>
          <w:szCs w:val="32"/>
          <w:highlight w:val="none"/>
          <w:lang w:val="en-US" w:eastAsia="zh-CN"/>
        </w:rPr>
        <w:t>人员调出，人数减少，费用降低</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5.社会保障和就业支出（类）行政事业单位养老支出（款）事业单位离退休（项）:支出决算数为1.11万元，比上年决算增加0.68万元，增长158.14%，主要原因是：</w:t>
      </w:r>
      <w:r>
        <w:rPr>
          <w:rFonts w:hint="eastAsia" w:ascii="仿宋_GB2312" w:hAnsi="仿宋_GB2312" w:eastAsia="仿宋_GB2312" w:cs="仿宋_GB2312"/>
          <w:color w:val="auto"/>
          <w:kern w:val="2"/>
          <w:sz w:val="32"/>
          <w:szCs w:val="32"/>
          <w:highlight w:val="none"/>
          <w:lang w:val="zh-CN" w:eastAsia="zh-CN" w:bidi="ar-SA"/>
        </w:rPr>
        <w:t>单位退休人员增加。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6.社会保障和就业支出（类）行政事业单位养老支出（款）行政单位离退休（项）:支出决算数为32.99万元，比上年决算增加12.51万元，增长61.08%，主要原因是：</w:t>
      </w:r>
      <w:r>
        <w:rPr>
          <w:rFonts w:hint="eastAsia" w:ascii="仿宋_GB2312" w:hAnsi="仿宋_GB2312" w:eastAsia="仿宋_GB2312" w:cs="仿宋_GB2312"/>
          <w:color w:val="auto"/>
          <w:kern w:val="2"/>
          <w:sz w:val="32"/>
          <w:szCs w:val="32"/>
          <w:highlight w:val="none"/>
          <w:lang w:val="zh-CN" w:eastAsia="zh-CN" w:bidi="ar-SA"/>
        </w:rPr>
        <w:t>单位退休人员增加。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7.社会保障和就业支出（类）行政事业单位养老支出（款）机关事业单位职业年金缴费支出（项）:支出决算数为28.83万元，比上年决算增加11.05万元，增长62.15%，主要原因是：</w:t>
      </w:r>
      <w:r>
        <w:rPr>
          <w:rFonts w:hint="eastAsia" w:ascii="仿宋_GB2312" w:hAnsi="仿宋_GB2312" w:eastAsia="仿宋_GB2312" w:cs="仿宋_GB2312"/>
          <w:color w:val="auto"/>
          <w:kern w:val="2"/>
          <w:sz w:val="32"/>
          <w:szCs w:val="32"/>
          <w:highlight w:val="none"/>
          <w:lang w:val="zh-CN" w:eastAsia="zh-CN" w:bidi="ar-SA"/>
        </w:rPr>
        <w:t>单位退休人员增加，补缴职业年金。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8.社会保障和就业支出（类）行政事业单位养老支出（款）机关事业单位基本养老保险缴费支出（项）:支出决算数为137.75万元，比上年决算增加12.78万元，增长10.23%，主要原因是：人员基础工资调整增加对应养老保险基数调整增加</w:t>
      </w:r>
      <w:r>
        <w:rPr>
          <w:rFonts w:hint="eastAsia" w:ascii="仿宋_GB2312" w:hAnsi="仿宋_GB2312" w:eastAsia="仿宋_GB2312" w:cs="仿宋_GB2312"/>
          <w:color w:val="auto"/>
          <w:kern w:val="2"/>
          <w:sz w:val="32"/>
          <w:szCs w:val="32"/>
          <w:highlight w:val="none"/>
          <w:lang w:val="zh-CN" w:eastAsia="zh-CN" w:bidi="ar-SA"/>
        </w:rPr>
        <w:t>，</w:t>
      </w:r>
      <w:r>
        <w:rPr>
          <w:rFonts w:hint="eastAsia" w:ascii="仿宋_GB2312" w:hAnsi="仿宋_GB2312" w:eastAsia="仿宋_GB2312" w:cs="仿宋_GB2312"/>
          <w:color w:val="auto"/>
          <w:kern w:val="2"/>
          <w:sz w:val="32"/>
          <w:szCs w:val="32"/>
          <w:highlight w:val="none"/>
          <w:lang w:val="en-US" w:eastAsia="zh-CN" w:bidi="ar-SA"/>
        </w:rPr>
        <w:t>故养老保险支出增加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9.一般公共服务支出（类）市场监督管理事务（款）其他市场监督管理事务（项）:支出决算数为14.25万元，比上年决算增加12.25万元，增长612.50%，主要原因是：</w:t>
      </w:r>
      <w:r>
        <w:rPr>
          <w:rFonts w:hint="eastAsia" w:ascii="仿宋_GB2312" w:hAnsi="仿宋_GB2312" w:eastAsia="仿宋_GB2312" w:cs="仿宋_GB2312"/>
          <w:color w:val="auto"/>
          <w:kern w:val="2"/>
          <w:sz w:val="32"/>
          <w:szCs w:val="32"/>
          <w:highlight w:val="none"/>
          <w:lang w:val="zh-CN" w:eastAsia="zh-CN" w:bidi="ar-SA"/>
        </w:rPr>
        <w:t>工作队专项经费增加。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10.一般公共服务支出（类）市场监督管理事务（款）行政运行（项）:支出决算数为871.53万元，比上年决算减少400.58万元，下降31.49%，主要原因是：1、2022年决算事业运行合并在行政运行中支出，2023年决算事业运行和行政运行经费分开，单独支出</w:t>
      </w:r>
      <w:r>
        <w:rPr>
          <w:rFonts w:hint="eastAsia" w:ascii="仿宋_GB2312" w:hAnsi="仿宋_GB2312" w:eastAsia="仿宋_GB2312" w:cs="仿宋_GB2312"/>
          <w:color w:val="auto"/>
          <w:kern w:val="2"/>
          <w:sz w:val="32"/>
          <w:szCs w:val="32"/>
          <w:highlight w:val="none"/>
          <w:lang w:val="zh-CN" w:eastAsia="zh-CN" w:bidi="ar-SA"/>
        </w:rPr>
        <w:t>，故</w:t>
      </w:r>
      <w:r>
        <w:rPr>
          <w:rFonts w:hint="eastAsia" w:ascii="仿宋_GB2312" w:hAnsi="仿宋_GB2312" w:eastAsia="仿宋_GB2312" w:cs="仿宋_GB2312"/>
          <w:color w:val="auto"/>
          <w:kern w:val="2"/>
          <w:sz w:val="32"/>
          <w:szCs w:val="32"/>
          <w:highlight w:val="none"/>
          <w:lang w:val="en-US" w:eastAsia="zh-CN" w:bidi="ar-SA"/>
        </w:rPr>
        <w:t>2023年</w:t>
      </w:r>
      <w:r>
        <w:rPr>
          <w:rFonts w:hint="eastAsia" w:ascii="仿宋_GB2312" w:hAnsi="仿宋_GB2312" w:eastAsia="仿宋_GB2312" w:cs="仿宋_GB2312"/>
          <w:color w:val="auto"/>
          <w:kern w:val="2"/>
          <w:sz w:val="32"/>
          <w:szCs w:val="32"/>
          <w:highlight w:val="none"/>
          <w:lang w:val="zh-CN" w:eastAsia="zh-CN" w:bidi="ar-SA"/>
        </w:rPr>
        <w:t>行政运行经费支出减少；</w:t>
      </w:r>
      <w:r>
        <w:rPr>
          <w:rFonts w:hint="eastAsia" w:ascii="仿宋_GB2312" w:eastAsia="仿宋_GB2312" w:cs="Times New Roman"/>
          <w:color w:val="auto"/>
          <w:spacing w:val="0"/>
          <w:sz w:val="32"/>
          <w:szCs w:val="32"/>
          <w:highlight w:val="none"/>
          <w:lang w:val="en-US" w:eastAsia="zh-CN"/>
        </w:rPr>
        <w:t>2、2023年</w:t>
      </w:r>
      <w:r>
        <w:rPr>
          <w:rFonts w:hint="eastAsia" w:ascii="仿宋_GB2312" w:hAnsi="Times New Roman" w:eastAsia="仿宋_GB2312" w:cs="Times New Roman"/>
          <w:color w:val="auto"/>
          <w:spacing w:val="0"/>
          <w:sz w:val="32"/>
          <w:szCs w:val="32"/>
          <w:highlight w:val="none"/>
          <w:lang w:val="en-US" w:eastAsia="zh-CN"/>
        </w:rPr>
        <w:t>单位</w:t>
      </w:r>
      <w:r>
        <w:rPr>
          <w:rFonts w:hint="eastAsia" w:ascii="仿宋_GB2312" w:eastAsia="仿宋_GB2312" w:cs="Times New Roman"/>
          <w:color w:val="auto"/>
          <w:spacing w:val="0"/>
          <w:sz w:val="32"/>
          <w:szCs w:val="32"/>
          <w:highlight w:val="none"/>
          <w:lang w:val="en-US" w:eastAsia="zh-CN"/>
        </w:rPr>
        <w:t>退休人员</w:t>
      </w:r>
      <w:r>
        <w:rPr>
          <w:rFonts w:hint="eastAsia" w:ascii="仿宋_GB2312" w:hAnsi="Times New Roman" w:eastAsia="仿宋_GB2312" w:cs="Times New Roman"/>
          <w:color w:val="auto"/>
          <w:spacing w:val="0"/>
          <w:sz w:val="32"/>
          <w:szCs w:val="32"/>
          <w:highlight w:val="none"/>
          <w:lang w:val="en-US" w:eastAsia="zh-CN"/>
        </w:rPr>
        <w:t>及年末人员调出，人数减少，费用降低</w:t>
      </w:r>
      <w:r>
        <w:rPr>
          <w:rFonts w:hint="eastAsia" w:ascii="仿宋_GB2312" w:hAnsi="Times New Roman" w:eastAsia="仿宋_GB2312" w:cs="Times New Roman"/>
          <w:color w:val="auto"/>
          <w:spacing w:val="0"/>
          <w:sz w:val="32"/>
          <w:szCs w:val="32"/>
          <w:highlight w:val="none"/>
          <w:lang w:eastAsia="zh-CN"/>
        </w:rPr>
        <w:t>，</w:t>
      </w:r>
      <w:r>
        <w:rPr>
          <w:rFonts w:hint="eastAsia" w:ascii="仿宋_GB2312" w:hAnsi="Times New Roman" w:eastAsia="仿宋_GB2312" w:cs="Times New Roman"/>
          <w:color w:val="auto"/>
          <w:spacing w:val="0"/>
          <w:sz w:val="32"/>
          <w:szCs w:val="32"/>
          <w:highlight w:val="none"/>
          <w:lang w:val="en-US" w:eastAsia="zh-CN"/>
        </w:rPr>
        <w:t>同时退休人员不再缴纳医疗保险</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11.一般公共服务支出（类）市场监督管理事务（款）药品事务（项）:支出决算数为1.30万元，比上年决算增加1.30万元，增长100%，主要原因是：本年度新增自治区药品抽检专项补助资金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12.一般公共服务支出（类）市场监督管理事务（款）食品安全监管（项）:支出决算数为31.85万元，比上年决算增加31.85万元，增长100%，主要原因是：</w:t>
      </w:r>
      <w:r>
        <w:rPr>
          <w:rFonts w:hint="eastAsia" w:ascii="仿宋_GB2312" w:hAnsi="仿宋_GB2312" w:eastAsia="仿宋_GB2312" w:cs="仿宋_GB2312"/>
          <w:color w:val="auto"/>
          <w:kern w:val="2"/>
          <w:sz w:val="32"/>
          <w:szCs w:val="32"/>
          <w:highlight w:val="none"/>
          <w:lang w:val="zh-CN" w:eastAsia="zh-CN" w:bidi="ar-SA"/>
        </w:rPr>
        <w:t>支付食品抽检经费。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13.一般公共服务支出（类）市场监督管理事务（款）事业运行（项）:支出决算数为364.79万元，比上年决算增加364.79万元，增长100%，主要原因是：2022年决算事业运行合并在行政运行中支出，2023年决算事业运行和行政运行经费分开，单独支出，</w:t>
      </w:r>
      <w:r>
        <w:rPr>
          <w:rFonts w:hint="eastAsia" w:ascii="仿宋_GB2312" w:hAnsi="仿宋_GB2312" w:eastAsia="仿宋_GB2312" w:cs="仿宋_GB2312"/>
          <w:color w:val="auto"/>
          <w:kern w:val="2"/>
          <w:sz w:val="32"/>
          <w:szCs w:val="32"/>
          <w:highlight w:val="none"/>
          <w:lang w:val="zh-CN" w:eastAsia="zh-CN" w:bidi="ar-SA"/>
        </w:rPr>
        <w:t>故</w:t>
      </w:r>
      <w:r>
        <w:rPr>
          <w:rFonts w:hint="eastAsia" w:ascii="仿宋_GB2312" w:hAnsi="仿宋_GB2312" w:eastAsia="仿宋_GB2312" w:cs="仿宋_GB2312"/>
          <w:color w:val="auto"/>
          <w:kern w:val="2"/>
          <w:sz w:val="32"/>
          <w:szCs w:val="32"/>
          <w:highlight w:val="none"/>
          <w:lang w:val="en-US" w:eastAsia="zh-CN" w:bidi="ar-SA"/>
        </w:rPr>
        <w:t>2023年</w:t>
      </w:r>
      <w:r>
        <w:rPr>
          <w:rFonts w:hint="eastAsia" w:ascii="仿宋_GB2312" w:hAnsi="仿宋_GB2312" w:eastAsia="仿宋_GB2312" w:cs="仿宋_GB2312"/>
          <w:color w:val="auto"/>
          <w:kern w:val="2"/>
          <w:sz w:val="32"/>
          <w:szCs w:val="32"/>
          <w:highlight w:val="none"/>
          <w:lang w:val="zh-CN" w:eastAsia="zh-CN" w:bidi="ar-SA"/>
        </w:rPr>
        <w:t>事业运行经费支出增加。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14.其他支出（类）其他支出（款）其他支出（项）:支出决算数为38.77万元，比上年决算增加5.27万元，增长15.73%，主要原因是：</w:t>
      </w:r>
      <w:r>
        <w:rPr>
          <w:rFonts w:hint="eastAsia" w:ascii="仿宋_GB2312" w:hAnsi="仿宋_GB2312" w:eastAsia="仿宋_GB2312" w:cs="仿宋_GB2312"/>
          <w:color w:val="auto"/>
          <w:kern w:val="2"/>
          <w:sz w:val="32"/>
          <w:szCs w:val="32"/>
          <w:highlight w:val="none"/>
          <w:lang w:val="zh-CN" w:eastAsia="zh-CN" w:bidi="ar-SA"/>
        </w:rPr>
        <w:t>工作队经费增加。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15.一般公共服务支出（类）市场监督管理事务（款）市场主体管理（项）:支出决算数为0.00万元，比上年决算减少1.10万元，下降100%，主要原因是：2023年</w:t>
      </w:r>
      <w:r>
        <w:rPr>
          <w:rFonts w:hint="eastAsia" w:ascii="仿宋_GB2312" w:hAnsi="仿宋_GB2312" w:eastAsia="仿宋_GB2312" w:cs="仿宋_GB2312"/>
          <w:color w:val="auto"/>
          <w:kern w:val="2"/>
          <w:sz w:val="32"/>
          <w:szCs w:val="32"/>
          <w:highlight w:val="none"/>
          <w:lang w:val="zh-CN" w:eastAsia="zh-CN" w:bidi="ar-SA"/>
        </w:rPr>
        <w:t>无</w:t>
      </w:r>
      <w:r>
        <w:rPr>
          <w:rFonts w:hint="eastAsia" w:ascii="仿宋_GB2312" w:hAnsi="仿宋_GB2312" w:eastAsia="仿宋_GB2312" w:cs="仿宋_GB2312"/>
          <w:color w:val="auto"/>
          <w:kern w:val="2"/>
          <w:sz w:val="32"/>
          <w:szCs w:val="32"/>
          <w:highlight w:val="none"/>
          <w:lang w:val="en-US" w:eastAsia="zh-CN" w:bidi="ar-SA"/>
        </w:rPr>
        <w:t>上级食品药品监管补助经费</w:t>
      </w:r>
      <w:r>
        <w:rPr>
          <w:rFonts w:hint="eastAsia" w:ascii="仿宋_GB2312" w:hAnsi="仿宋_GB2312" w:eastAsia="仿宋_GB2312" w:cs="仿宋_GB2312"/>
          <w:color w:val="auto"/>
          <w:kern w:val="2"/>
          <w:sz w:val="32"/>
          <w:szCs w:val="32"/>
          <w:highlight w:val="none"/>
          <w:lang w:val="zh-CN" w:eastAsia="zh-CN" w:bidi="ar-SA"/>
        </w:rPr>
        <w:t>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1,626.18</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1,534.87</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其他工资福利支出、退休费、生活补助、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91.31</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办公费、印刷费、水费、电费、邮电费、取暖费、差旅费、维修（护）费、培训费、劳务费、工会经费、公务用车运行维护费、其他商品和服务支出、办公设备购置。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“三公”经费支出14.30万元，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增加0.12万元，</w:t>
      </w:r>
      <w:r>
        <w:rPr>
          <w:rFonts w:hint="eastAsia" w:ascii="仿宋_GB2312" w:eastAsia="仿宋_GB2312"/>
          <w:color w:val="auto"/>
          <w:spacing w:val="0"/>
          <w:sz w:val="32"/>
          <w:szCs w:val="32"/>
          <w:highlight w:val="none"/>
          <w:lang w:val="en-US" w:eastAsia="zh-CN"/>
        </w:rPr>
        <w:t>增长0.85%,</w:t>
      </w:r>
      <w:r>
        <w:rPr>
          <w:rFonts w:hint="eastAsia" w:ascii="仿宋_GB2312" w:eastAsia="仿宋_GB2312"/>
          <w:color w:val="auto"/>
          <w:sz w:val="32"/>
          <w:szCs w:val="32"/>
          <w:highlight w:val="none"/>
          <w:lang w:val="zh-CN" w:eastAsia="zh-CN"/>
        </w:rPr>
        <w:t>主要原因是：</w:t>
      </w:r>
      <w:r>
        <w:rPr>
          <w:rFonts w:hint="eastAsia" w:ascii="仿宋_GB2312" w:hAnsi="Times New Roman" w:eastAsia="仿宋_GB2312" w:cs="Times New Roman"/>
          <w:color w:val="auto"/>
          <w:sz w:val="32"/>
          <w:szCs w:val="32"/>
          <w:highlight w:val="none"/>
          <w:lang w:val="en-US" w:eastAsia="zh-CN"/>
        </w:rPr>
        <w:t>单位车辆老化维修费用增加，同时油价上涨费用增加。</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2023年</w:t>
      </w:r>
      <w:r>
        <w:rPr>
          <w:rFonts w:hint="eastAsia" w:ascii="仿宋_GB2312" w:eastAsia="仿宋_GB2312"/>
          <w:color w:val="auto"/>
          <w:sz w:val="32"/>
          <w:szCs w:val="32"/>
          <w:highlight w:val="none"/>
          <w:lang w:val="zh-CN" w:eastAsia="zh-CN"/>
        </w:rPr>
        <w:t>无此项支出；公务用车购置及运行维护费支出14.30万元，占100.00%，比上年增加0.81万元，</w:t>
      </w:r>
      <w:r>
        <w:rPr>
          <w:rFonts w:hint="eastAsia" w:ascii="仿宋_GB2312" w:eastAsia="仿宋_GB2312"/>
          <w:color w:val="auto"/>
          <w:spacing w:val="0"/>
          <w:sz w:val="32"/>
          <w:szCs w:val="32"/>
          <w:highlight w:val="none"/>
          <w:lang w:val="en-US" w:eastAsia="zh-CN"/>
        </w:rPr>
        <w:t>增长6.00%,</w:t>
      </w:r>
      <w:r>
        <w:rPr>
          <w:rFonts w:hint="eastAsia" w:ascii="仿宋_GB2312" w:eastAsia="仿宋_GB2312"/>
          <w:color w:val="auto"/>
          <w:sz w:val="32"/>
          <w:szCs w:val="32"/>
          <w:highlight w:val="none"/>
          <w:lang w:val="zh-CN" w:eastAsia="zh-CN"/>
        </w:rPr>
        <w:t>主要原因是：</w:t>
      </w:r>
      <w:r>
        <w:rPr>
          <w:rFonts w:hint="eastAsia" w:ascii="仿宋_GB2312" w:hAnsi="Times New Roman" w:eastAsia="仿宋_GB2312" w:cs="Times New Roman"/>
          <w:color w:val="auto"/>
          <w:sz w:val="32"/>
          <w:szCs w:val="32"/>
          <w:highlight w:val="none"/>
          <w:lang w:val="en-US" w:eastAsia="zh-CN"/>
        </w:rPr>
        <w:t>单位车辆老化维修费用增加，同时油价上涨费用增加。</w:t>
      </w:r>
      <w:r>
        <w:rPr>
          <w:rFonts w:hint="eastAsia" w:ascii="仿宋_GB2312" w:eastAsia="仿宋_GB2312"/>
          <w:color w:val="auto"/>
          <w:sz w:val="32"/>
          <w:szCs w:val="32"/>
          <w:highlight w:val="none"/>
          <w:lang w:val="zh-CN" w:eastAsia="zh-CN"/>
        </w:rPr>
        <w:t>公务接待费支出0.00万元，占0.00%，比上年减少0.69万元，</w:t>
      </w:r>
      <w:r>
        <w:rPr>
          <w:rFonts w:hint="eastAsia" w:ascii="仿宋_GB2312" w:eastAsia="仿宋_GB2312"/>
          <w:color w:val="auto"/>
          <w:spacing w:val="0"/>
          <w:sz w:val="32"/>
          <w:szCs w:val="32"/>
          <w:highlight w:val="none"/>
          <w:lang w:val="en-US" w:eastAsia="zh-CN"/>
        </w:rPr>
        <w:t>下降100.00%,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2023年</w:t>
      </w:r>
      <w:r>
        <w:rPr>
          <w:rFonts w:hint="eastAsia" w:ascii="仿宋_GB2312" w:eastAsia="仿宋_GB2312"/>
          <w:color w:val="auto"/>
          <w:sz w:val="32"/>
          <w:szCs w:val="32"/>
          <w:highlight w:val="none"/>
          <w:lang w:val="zh-CN" w:eastAsia="zh-CN"/>
        </w:rPr>
        <w:t>无公务接待费支出。</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因公出国（境）费支出0.00万元，开支内容包括我单位无因公出国（境）费支出。单位全年安排的因公出国（境）团组0个，因公出国（境）0人次。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14.30万元，其中：公务用车购置费0.00万元，公务用车运行维护费14.30万元。公务用车运行维护费开支内容包括车辆维修费和加油费。公务用车购置数0辆，公务用车保有量16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16辆，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原因是：无差异。</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color w:val="auto"/>
          <w:sz w:val="32"/>
          <w:szCs w:val="32"/>
          <w:highlight w:val="none"/>
          <w:lang w:val="en-US" w:eastAsia="zh-CN"/>
        </w:rPr>
        <w:t>我单位本年度未安排公务接待费用支出。</w:t>
      </w:r>
      <w:bookmarkStart w:id="48" w:name="_GoBack"/>
      <w:bookmarkEnd w:id="48"/>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预算数18.70万元，决算数14.30万元，预决算差异率-23.53%，主要原因是：公务接待减少，严格控制“三公”经费支出。其中：因公出国（境）费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0.00万元，决算数0.00万元，预决算差异率0.00%，主要原因是：无因公出国（境）费支出；公务用车购置费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预算数0.00万元，决算数0.00万元，预决算差异率0.00%，主要原因是：无公务用车购置费支出；公务用车运行费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预算数18.00万元，决算数14.30万元，预决算差异率-20.56%，主要原因是：厉行节约，严控公务用车运行费支出；公务接待费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预算数0.70万元，决算数0.00万元，预决算差异率-100.00%，主要原因是：无公务接待费支出。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bookmarkStart w:id="24" w:name="_Toc26704"/>
      <w:bookmarkStart w:id="25" w:name="_Toc227"/>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沙湾市市场监督管理局（行政单位和参照公务员法管理事业单位）机关运行经费支出91.31万元，</w:t>
      </w:r>
      <w:r>
        <w:rPr>
          <w:rFonts w:hint="eastAsia" w:ascii="仿宋_GB2312" w:hAnsi="仿宋_GB2312" w:eastAsia="仿宋_GB2312" w:cs="仿宋_GB2312"/>
          <w:color w:val="auto"/>
          <w:sz w:val="32"/>
          <w:szCs w:val="32"/>
          <w:highlight w:val="none"/>
          <w:lang w:val="zh-CN" w:eastAsia="zh-CN"/>
        </w:rPr>
        <w:t>比上年增加14.07万元，增长18.22%，主要原因是：监管专项工作增加。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92.14万元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其中：政府采购货物支出38.09万元、政府采购工程支出9.3</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lang w:val="zh-CN" w:eastAsia="zh-CN"/>
        </w:rPr>
        <w:t>万元、政府采购服务支出44.70万元。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授予中小企业合同金额92.14万元，占政府采购支出总额的100.00%，其中：授予小微企业合同金额92.14万元，占政府采购支出总额的100.00%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0"/>
          <w:highlight w:val="none"/>
          <w:lang w:val="zh-CN" w:eastAsia="zh-CN"/>
        </w:rPr>
      </w:pPr>
      <w:bookmarkStart w:id="26" w:name="_Toc8391"/>
      <w:bookmarkStart w:id="27" w:name="_Toc4591"/>
      <w:r>
        <w:rPr>
          <w:rFonts w:hint="eastAsia" w:ascii="仿宋_GB2312" w:hAnsi="仿宋_GB2312" w:eastAsia="仿宋_GB2312" w:cs="仿宋_GB2312"/>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1,646.01</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屋9,506.64平方米，价值963.98万元。车辆16辆，价值306.52万元，其中：副部（省）级及以上领导用车0辆、主要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用车0辆、机要通信用车0辆、应急保障用车0辆、执法执勤用车15辆、特种专业技术用车0辆、离退休干部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用车0辆、其他用车1辆，其他用车主要是：食品快速检验车；单价100万元（含）以上设备（不含车辆）0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ind w:firstLine="640" w:firstLineChars="200"/>
        <w:rPr>
          <w:rFonts w:hint="eastAsia"/>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全年</w:t>
      </w:r>
      <w:r>
        <w:rPr>
          <w:rFonts w:hint="eastAsia" w:ascii="仿宋_GB2312" w:eastAsia="仿宋_GB2312"/>
          <w:color w:val="000000" w:themeColor="text1"/>
          <w:sz w:val="32"/>
          <w:szCs w:val="32"/>
          <w:highlight w:val="none"/>
          <w:lang w:val="en-US" w:eastAsia="zh-CN"/>
          <w14:textFill>
            <w14:solidFill>
              <w14:schemeClr w14:val="tx1"/>
            </w14:solidFill>
          </w14:textFill>
        </w:rPr>
        <w:t>预算总额1712.35</w:t>
      </w:r>
      <w:r>
        <w:rPr>
          <w:rFonts w:hint="eastAsia" w:ascii="仿宋_GB2312" w:eastAsia="仿宋_GB2312"/>
          <w:color w:val="000000" w:themeColor="text1"/>
          <w:sz w:val="32"/>
          <w:szCs w:val="32"/>
          <w:highlight w:val="none"/>
          <w14:textFill>
            <w14:solidFill>
              <w14:schemeClr w14:val="tx1"/>
            </w14:solidFill>
          </w14:textFill>
        </w:rPr>
        <w:t>万元</w:t>
      </w:r>
      <w:r>
        <w:rPr>
          <w:rFonts w:hint="eastAsia" w:ascii="仿宋_GB2312" w:eastAsia="仿宋_GB2312"/>
          <w:color w:val="000000" w:themeColor="text1"/>
          <w:sz w:val="32"/>
          <w:szCs w:val="32"/>
          <w:highlight w:val="none"/>
          <w:lang w:eastAsia="zh-CN"/>
          <w14:textFill>
            <w14:solidFill>
              <w14:schemeClr w14:val="tx1"/>
            </w14:solidFill>
          </w14:textFill>
        </w:rPr>
        <w:t>，</w:t>
      </w:r>
      <w:r>
        <w:rPr>
          <w:rFonts w:hint="eastAsia" w:ascii="仿宋_GB2312" w:eastAsia="仿宋_GB2312"/>
          <w:color w:val="auto"/>
          <w:sz w:val="32"/>
          <w:szCs w:val="32"/>
          <w:highlight w:val="none"/>
          <w:lang w:val="en-US" w:eastAsia="zh-CN"/>
        </w:rPr>
        <w:t>实际执行总额1712.35</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全年预算数86.17</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全年执行数86.17</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。其中涉密项目</w:t>
      </w:r>
      <w:r>
        <w:rPr>
          <w:rFonts w:hint="eastAsia" w:ascii="仿宋_GB2312" w:eastAsia="仿宋_GB2312"/>
          <w:color w:val="auto"/>
          <w:sz w:val="32"/>
          <w:szCs w:val="32"/>
          <w:highlight w:val="none"/>
          <w:lang w:val="en-US" w:eastAsia="zh-CN"/>
        </w:rPr>
        <w:t>2个，全年预算数53.02万元，全年执行数53.02万元。</w:t>
      </w:r>
      <w:r>
        <w:rPr>
          <w:rFonts w:hint="eastAsia" w:ascii="仿宋_GB2312" w:eastAsia="仿宋_GB2312"/>
          <w:color w:val="auto"/>
          <w:sz w:val="32"/>
          <w:szCs w:val="32"/>
          <w:highlight w:val="none"/>
          <w:lang w:eastAsia="zh-CN"/>
        </w:rPr>
        <w:t>预算绩效管理取得的成效：一是</w:t>
      </w:r>
      <w:r>
        <w:rPr>
          <w:rFonts w:hint="eastAsia" w:ascii="仿宋_GB2312" w:hAnsi="Times New Roman" w:eastAsia="仿宋_GB2312" w:cs="Times New Roman"/>
          <w:color w:val="auto"/>
          <w:sz w:val="32"/>
          <w:szCs w:val="32"/>
          <w:highlight w:val="none"/>
          <w:lang w:val="en-US" w:eastAsia="zh-CN"/>
        </w:rPr>
        <w:t>坚持问题导向，加强执行监</w:t>
      </w:r>
      <w:r>
        <w:rPr>
          <w:rFonts w:hint="eastAsia" w:ascii="仿宋_GB2312" w:eastAsia="仿宋_GB2312" w:cs="Times New Roman"/>
          <w:color w:val="auto"/>
          <w:sz w:val="32"/>
          <w:szCs w:val="32"/>
          <w:highlight w:val="none"/>
          <w:lang w:val="en-US" w:eastAsia="zh-CN"/>
        </w:rPr>
        <w:t>管</w:t>
      </w:r>
      <w:r>
        <w:rPr>
          <w:rFonts w:hint="eastAsia" w:ascii="仿宋_GB2312" w:hAnsi="Times New Roman" w:eastAsia="仿宋_GB2312" w:cs="Times New Roman"/>
          <w:color w:val="auto"/>
          <w:sz w:val="32"/>
          <w:szCs w:val="32"/>
          <w:highlight w:val="none"/>
          <w:lang w:val="en-US" w:eastAsia="zh-CN"/>
        </w:rPr>
        <w:t>，提高资金效益</w:t>
      </w:r>
      <w:r>
        <w:rPr>
          <w:rFonts w:hint="eastAsia" w:ascii="仿宋_GB2312" w:eastAsia="仿宋_GB2312"/>
          <w:color w:val="auto"/>
          <w:sz w:val="32"/>
          <w:szCs w:val="32"/>
          <w:highlight w:val="none"/>
          <w:lang w:eastAsia="zh-CN"/>
        </w:rPr>
        <w:t>；二是</w:t>
      </w:r>
      <w:r>
        <w:rPr>
          <w:rFonts w:hint="eastAsia" w:ascii="仿宋_GB2312" w:hAnsi="Times New Roman" w:eastAsia="仿宋_GB2312" w:cs="Times New Roman"/>
          <w:color w:val="auto"/>
          <w:sz w:val="32"/>
          <w:szCs w:val="32"/>
          <w:highlight w:val="none"/>
          <w:lang w:val="en-US" w:eastAsia="zh-CN"/>
        </w:rPr>
        <w:t>加强绩效目标的刚性约束，及时对项目实施进度与资金支付进度进行全程跟踪问效，发现问题及时解决</w:t>
      </w:r>
      <w:r>
        <w:rPr>
          <w:rFonts w:hint="eastAsia" w:ascii="仿宋_GB2312" w:eastAsia="仿宋_GB2312"/>
          <w:color w:val="auto"/>
          <w:sz w:val="32"/>
          <w:szCs w:val="32"/>
          <w:highlight w:val="none"/>
          <w:lang w:eastAsia="zh-CN"/>
        </w:rPr>
        <w:t>。发现的问题及原因：</w:t>
      </w:r>
      <w:r>
        <w:rPr>
          <w:rFonts w:hint="eastAsia" w:ascii="仿宋_GB2312" w:hAnsi="Times New Roman" w:eastAsia="仿宋_GB2312" w:cs="Times New Roman"/>
          <w:color w:val="auto"/>
          <w:sz w:val="32"/>
          <w:szCs w:val="32"/>
          <w:highlight w:val="none"/>
          <w:lang w:eastAsia="zh-CN"/>
        </w:rPr>
        <w:t>一是绩效预算认识不够充分，绩效理念有待进一步强化；二是项目支出绩效评价存在局限，客观性有待加强</w:t>
      </w:r>
      <w:r>
        <w:rPr>
          <w:rFonts w:hint="eastAsia" w:ascii="仿宋_GB2312" w:eastAsia="仿宋_GB2312"/>
          <w:color w:val="auto"/>
          <w:sz w:val="32"/>
          <w:szCs w:val="32"/>
          <w:highlight w:val="none"/>
          <w:lang w:eastAsia="zh-CN"/>
        </w:rPr>
        <w:t>。下一步改进措施：</w:t>
      </w:r>
      <w:r>
        <w:rPr>
          <w:rFonts w:hint="eastAsia" w:ascii="仿宋_GB2312" w:hAnsi="Times New Roman" w:eastAsia="仿宋_GB2312" w:cs="Times New Roman"/>
          <w:color w:val="auto"/>
          <w:sz w:val="32"/>
          <w:szCs w:val="32"/>
          <w:highlight w:val="none"/>
          <w:lang w:eastAsia="zh-CN"/>
        </w:rPr>
        <w:t>一是加强业务培训，提升专业能力；二是高度重视，加强领导，精心组织</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hAnsi="仿宋_GB2312" w:eastAsia="仿宋_GB2312" w:cs="仿宋_GB2312"/>
          <w:color w:val="auto"/>
          <w:kern w:val="0"/>
          <w:sz w:val="32"/>
          <w:szCs w:val="32"/>
          <w:highlight w:val="none"/>
          <w:lang w:val="en-US" w:eastAsia="zh-CN"/>
        </w:rPr>
      </w:pPr>
      <w:bookmarkStart w:id="30" w:name="_Toc24143"/>
      <w:bookmarkStart w:id="31" w:name="_Toc3250"/>
      <w:r>
        <w:rPr>
          <w:rFonts w:hint="eastAsia" w:ascii="仿宋_GB2312" w:eastAsia="仿宋_GB2312"/>
          <w:color w:val="auto"/>
          <w:sz w:val="32"/>
          <w:szCs w:val="32"/>
          <w:highlight w:val="none"/>
          <w:lang w:eastAsia="zh-CN"/>
        </w:rPr>
        <w:t>本单位涉密项目</w:t>
      </w:r>
      <w:r>
        <w:rPr>
          <w:rFonts w:hint="eastAsia" w:ascii="仿宋_GB2312" w:eastAsia="仿宋_GB2312"/>
          <w:color w:val="auto"/>
          <w:sz w:val="32"/>
          <w:szCs w:val="32"/>
          <w:highlight w:val="none"/>
          <w:lang w:val="en-US" w:eastAsia="zh-CN"/>
        </w:rPr>
        <w:t>2个，全年预算数53.02万元，全年执行数53.02万元。不予以公开绩效自评表及自评报告</w:t>
      </w:r>
      <w:r>
        <w:rPr>
          <w:rFonts w:hint="eastAsia" w:ascii="仿宋_GB2312" w:hAnsi="仿宋_GB2312" w:eastAsia="仿宋_GB2312" w:cs="仿宋_GB2312"/>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A4026BE"/>
    <w:multiLevelType w:val="singleLevel"/>
    <w:tmpl w:val="EA4026BE"/>
    <w:lvl w:ilvl="0" w:tentative="0">
      <w:start w:val="2"/>
      <w:numFmt w:val="chineseCounting"/>
      <w:suff w:val="nothing"/>
      <w:lvlText w:val="%1、"/>
      <w:lvlJc w:val="left"/>
      <w:rPr>
        <w:rFonts w:hint="eastAsia"/>
      </w:rPr>
    </w:lvl>
  </w:abstractNum>
  <w:abstractNum w:abstractNumId="1">
    <w:nsid w:val="103F031D"/>
    <w:multiLevelType w:val="singleLevel"/>
    <w:tmpl w:val="103F031D"/>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3Nzg3NmU3NGUyZTA1ZDZlNDM0ZjAzMTZhMzZiMmIifQ=="/>
    <w:docVar w:name="KSO_WPS_MARK_KEY" w:val="41ee2a61-2d54-4f93-83be-afdb9a40d732"/>
  </w:docVars>
  <w:rsids>
    <w:rsidRoot w:val="00000000"/>
    <w:rsid w:val="00213C59"/>
    <w:rsid w:val="003210CE"/>
    <w:rsid w:val="00396327"/>
    <w:rsid w:val="004E62A6"/>
    <w:rsid w:val="00B70D59"/>
    <w:rsid w:val="00CA721E"/>
    <w:rsid w:val="00F52A8D"/>
    <w:rsid w:val="014F3A23"/>
    <w:rsid w:val="019404F8"/>
    <w:rsid w:val="01C30B6B"/>
    <w:rsid w:val="01ED22F2"/>
    <w:rsid w:val="020D66A5"/>
    <w:rsid w:val="02BD3108"/>
    <w:rsid w:val="02F73D26"/>
    <w:rsid w:val="02FF4F71"/>
    <w:rsid w:val="034D4FEF"/>
    <w:rsid w:val="035D1785"/>
    <w:rsid w:val="03751D1C"/>
    <w:rsid w:val="038955D1"/>
    <w:rsid w:val="039F47CE"/>
    <w:rsid w:val="03BD5310"/>
    <w:rsid w:val="03E05CE8"/>
    <w:rsid w:val="03F973EE"/>
    <w:rsid w:val="043E5B56"/>
    <w:rsid w:val="04536DDE"/>
    <w:rsid w:val="04BE62BC"/>
    <w:rsid w:val="04C04386"/>
    <w:rsid w:val="04D1736D"/>
    <w:rsid w:val="04D96608"/>
    <w:rsid w:val="04F210E4"/>
    <w:rsid w:val="04FA68C4"/>
    <w:rsid w:val="05372AAB"/>
    <w:rsid w:val="053F5AE6"/>
    <w:rsid w:val="057C0B0F"/>
    <w:rsid w:val="05EF4B48"/>
    <w:rsid w:val="05F76ECA"/>
    <w:rsid w:val="06183A24"/>
    <w:rsid w:val="06792773"/>
    <w:rsid w:val="06FD75CA"/>
    <w:rsid w:val="07093795"/>
    <w:rsid w:val="07804730"/>
    <w:rsid w:val="07883A25"/>
    <w:rsid w:val="079052BE"/>
    <w:rsid w:val="0791037B"/>
    <w:rsid w:val="07CE43D9"/>
    <w:rsid w:val="08145C21"/>
    <w:rsid w:val="08422688"/>
    <w:rsid w:val="085854ED"/>
    <w:rsid w:val="08633532"/>
    <w:rsid w:val="0879188F"/>
    <w:rsid w:val="08A0354D"/>
    <w:rsid w:val="08CD4C49"/>
    <w:rsid w:val="09002564"/>
    <w:rsid w:val="09114954"/>
    <w:rsid w:val="092C45A2"/>
    <w:rsid w:val="095A5B83"/>
    <w:rsid w:val="096466E3"/>
    <w:rsid w:val="0968304D"/>
    <w:rsid w:val="09AF3D17"/>
    <w:rsid w:val="0A2B2B7F"/>
    <w:rsid w:val="0A7809B7"/>
    <w:rsid w:val="0A7B4867"/>
    <w:rsid w:val="0A8037C0"/>
    <w:rsid w:val="0A840954"/>
    <w:rsid w:val="0A882747"/>
    <w:rsid w:val="0A9928ED"/>
    <w:rsid w:val="0B61769D"/>
    <w:rsid w:val="0B8C3ECC"/>
    <w:rsid w:val="0B931F0A"/>
    <w:rsid w:val="0B9C639D"/>
    <w:rsid w:val="0BB052B2"/>
    <w:rsid w:val="0BD33FFC"/>
    <w:rsid w:val="0BE97AC1"/>
    <w:rsid w:val="0C1C4780"/>
    <w:rsid w:val="0C331B73"/>
    <w:rsid w:val="0C3613A3"/>
    <w:rsid w:val="0C5E519C"/>
    <w:rsid w:val="0C7227A7"/>
    <w:rsid w:val="0CA52EE8"/>
    <w:rsid w:val="0CBD6988"/>
    <w:rsid w:val="0CD208AC"/>
    <w:rsid w:val="0CF737BD"/>
    <w:rsid w:val="0D172DAA"/>
    <w:rsid w:val="0D4903E8"/>
    <w:rsid w:val="0D781FB6"/>
    <w:rsid w:val="0D7A4A46"/>
    <w:rsid w:val="0E640559"/>
    <w:rsid w:val="0E816F6D"/>
    <w:rsid w:val="0F1113DA"/>
    <w:rsid w:val="0F5F3A24"/>
    <w:rsid w:val="0F78534A"/>
    <w:rsid w:val="0F89358A"/>
    <w:rsid w:val="0F8C6D51"/>
    <w:rsid w:val="101E7AD1"/>
    <w:rsid w:val="105B0B5E"/>
    <w:rsid w:val="10BE1F8F"/>
    <w:rsid w:val="11132738"/>
    <w:rsid w:val="112E58D0"/>
    <w:rsid w:val="11731CAC"/>
    <w:rsid w:val="119500A0"/>
    <w:rsid w:val="11C0733B"/>
    <w:rsid w:val="11C6073C"/>
    <w:rsid w:val="11D50D17"/>
    <w:rsid w:val="11D7104F"/>
    <w:rsid w:val="120E0809"/>
    <w:rsid w:val="120E5319"/>
    <w:rsid w:val="123732DF"/>
    <w:rsid w:val="12684456"/>
    <w:rsid w:val="127F665A"/>
    <w:rsid w:val="128124DA"/>
    <w:rsid w:val="12A61F26"/>
    <w:rsid w:val="12F7068C"/>
    <w:rsid w:val="12F956C2"/>
    <w:rsid w:val="131865E4"/>
    <w:rsid w:val="135A0691"/>
    <w:rsid w:val="14207DC0"/>
    <w:rsid w:val="148F76BE"/>
    <w:rsid w:val="14B932DA"/>
    <w:rsid w:val="150A66AF"/>
    <w:rsid w:val="15130FB7"/>
    <w:rsid w:val="152403F3"/>
    <w:rsid w:val="154C1139"/>
    <w:rsid w:val="158C5B77"/>
    <w:rsid w:val="160D1149"/>
    <w:rsid w:val="163563C0"/>
    <w:rsid w:val="164315EF"/>
    <w:rsid w:val="16557DFE"/>
    <w:rsid w:val="166B7EFE"/>
    <w:rsid w:val="167268FB"/>
    <w:rsid w:val="16770D0A"/>
    <w:rsid w:val="169A0039"/>
    <w:rsid w:val="16D50C50"/>
    <w:rsid w:val="16E120E1"/>
    <w:rsid w:val="1702698F"/>
    <w:rsid w:val="17385A05"/>
    <w:rsid w:val="173B3901"/>
    <w:rsid w:val="176747F9"/>
    <w:rsid w:val="17954A6E"/>
    <w:rsid w:val="17BE2C86"/>
    <w:rsid w:val="180059E9"/>
    <w:rsid w:val="184510FD"/>
    <w:rsid w:val="18971168"/>
    <w:rsid w:val="190648B0"/>
    <w:rsid w:val="19071D6C"/>
    <w:rsid w:val="198B4CC9"/>
    <w:rsid w:val="198E2988"/>
    <w:rsid w:val="19D26CD4"/>
    <w:rsid w:val="19E60D19"/>
    <w:rsid w:val="1A3E3450"/>
    <w:rsid w:val="1AB35815"/>
    <w:rsid w:val="1AD807E5"/>
    <w:rsid w:val="1B39345B"/>
    <w:rsid w:val="1B404563"/>
    <w:rsid w:val="1B853304"/>
    <w:rsid w:val="1BFB2A1F"/>
    <w:rsid w:val="1C015D4A"/>
    <w:rsid w:val="1C290ED5"/>
    <w:rsid w:val="1C317E4F"/>
    <w:rsid w:val="1C472464"/>
    <w:rsid w:val="1D191C8E"/>
    <w:rsid w:val="1D22799A"/>
    <w:rsid w:val="1D5C1A72"/>
    <w:rsid w:val="1DAF458D"/>
    <w:rsid w:val="1DBA3989"/>
    <w:rsid w:val="1E086ACE"/>
    <w:rsid w:val="1E461C42"/>
    <w:rsid w:val="1E62130A"/>
    <w:rsid w:val="1E97358B"/>
    <w:rsid w:val="1E9D55F4"/>
    <w:rsid w:val="1EAA4A5F"/>
    <w:rsid w:val="1EE869A7"/>
    <w:rsid w:val="1EF7668C"/>
    <w:rsid w:val="1F16136E"/>
    <w:rsid w:val="1F3F37CF"/>
    <w:rsid w:val="1FA15E62"/>
    <w:rsid w:val="1FED69B6"/>
    <w:rsid w:val="204613AC"/>
    <w:rsid w:val="205265BE"/>
    <w:rsid w:val="2064678E"/>
    <w:rsid w:val="20924900"/>
    <w:rsid w:val="20DC1AB9"/>
    <w:rsid w:val="20DD6197"/>
    <w:rsid w:val="20EA5F30"/>
    <w:rsid w:val="212631E0"/>
    <w:rsid w:val="2138666F"/>
    <w:rsid w:val="21742080"/>
    <w:rsid w:val="21A53757"/>
    <w:rsid w:val="21F879E1"/>
    <w:rsid w:val="221236C6"/>
    <w:rsid w:val="22B846F4"/>
    <w:rsid w:val="22D7662C"/>
    <w:rsid w:val="23326B7F"/>
    <w:rsid w:val="234E3B33"/>
    <w:rsid w:val="2380045B"/>
    <w:rsid w:val="23BC04D2"/>
    <w:rsid w:val="23EF1892"/>
    <w:rsid w:val="24726B0D"/>
    <w:rsid w:val="2483647E"/>
    <w:rsid w:val="24A32D55"/>
    <w:rsid w:val="24CE6D9A"/>
    <w:rsid w:val="25292727"/>
    <w:rsid w:val="252E5CA9"/>
    <w:rsid w:val="254C51CA"/>
    <w:rsid w:val="256F7692"/>
    <w:rsid w:val="25BA2154"/>
    <w:rsid w:val="25BD24AF"/>
    <w:rsid w:val="25C8773F"/>
    <w:rsid w:val="26235823"/>
    <w:rsid w:val="263D6C15"/>
    <w:rsid w:val="26483D92"/>
    <w:rsid w:val="264A7253"/>
    <w:rsid w:val="26F0170C"/>
    <w:rsid w:val="26FE3B9A"/>
    <w:rsid w:val="27201D62"/>
    <w:rsid w:val="27286E73"/>
    <w:rsid w:val="27C06093"/>
    <w:rsid w:val="27CF2642"/>
    <w:rsid w:val="27E777F5"/>
    <w:rsid w:val="27EA1D4C"/>
    <w:rsid w:val="27EA2E41"/>
    <w:rsid w:val="282459E2"/>
    <w:rsid w:val="283A7FE5"/>
    <w:rsid w:val="285F51FF"/>
    <w:rsid w:val="28A7385D"/>
    <w:rsid w:val="28C9718A"/>
    <w:rsid w:val="28DA4193"/>
    <w:rsid w:val="28DF2665"/>
    <w:rsid w:val="29072599"/>
    <w:rsid w:val="291029F3"/>
    <w:rsid w:val="29CB58F0"/>
    <w:rsid w:val="2A053397"/>
    <w:rsid w:val="2A145E96"/>
    <w:rsid w:val="2A2131BB"/>
    <w:rsid w:val="2A8A0DF1"/>
    <w:rsid w:val="2AC928F8"/>
    <w:rsid w:val="2AF5378F"/>
    <w:rsid w:val="2BB94DBF"/>
    <w:rsid w:val="2BF37410"/>
    <w:rsid w:val="2C6F314E"/>
    <w:rsid w:val="2CC206BE"/>
    <w:rsid w:val="2CF90E4F"/>
    <w:rsid w:val="2D0F5D46"/>
    <w:rsid w:val="2D1136DF"/>
    <w:rsid w:val="2D20606D"/>
    <w:rsid w:val="2D344D9F"/>
    <w:rsid w:val="2D6729FE"/>
    <w:rsid w:val="2DB87198"/>
    <w:rsid w:val="2DB93C54"/>
    <w:rsid w:val="2DC50A05"/>
    <w:rsid w:val="2E03180B"/>
    <w:rsid w:val="2E3D144C"/>
    <w:rsid w:val="2E891204"/>
    <w:rsid w:val="2ECD23A8"/>
    <w:rsid w:val="2F3402AB"/>
    <w:rsid w:val="2F3F0A28"/>
    <w:rsid w:val="2F586950"/>
    <w:rsid w:val="2F7E2BAA"/>
    <w:rsid w:val="2FAA33DD"/>
    <w:rsid w:val="2FBF7029"/>
    <w:rsid w:val="2FD0187F"/>
    <w:rsid w:val="2FD27414"/>
    <w:rsid w:val="2FFE4BB0"/>
    <w:rsid w:val="300E7B60"/>
    <w:rsid w:val="300F6E18"/>
    <w:rsid w:val="30862F5F"/>
    <w:rsid w:val="308A4D3B"/>
    <w:rsid w:val="30A4775A"/>
    <w:rsid w:val="30C02104"/>
    <w:rsid w:val="30EB062C"/>
    <w:rsid w:val="314029C9"/>
    <w:rsid w:val="319D5B81"/>
    <w:rsid w:val="31C63837"/>
    <w:rsid w:val="31C82E39"/>
    <w:rsid w:val="32457F92"/>
    <w:rsid w:val="32601BAD"/>
    <w:rsid w:val="329F6389"/>
    <w:rsid w:val="32A8148D"/>
    <w:rsid w:val="3389023A"/>
    <w:rsid w:val="33CB74FA"/>
    <w:rsid w:val="34015E11"/>
    <w:rsid w:val="343642F2"/>
    <w:rsid w:val="343F3010"/>
    <w:rsid w:val="345D0A00"/>
    <w:rsid w:val="34713BFD"/>
    <w:rsid w:val="348F5D8B"/>
    <w:rsid w:val="34C13589"/>
    <w:rsid w:val="34C827F3"/>
    <w:rsid w:val="35016FEF"/>
    <w:rsid w:val="353369E3"/>
    <w:rsid w:val="35663AEF"/>
    <w:rsid w:val="35B21E0B"/>
    <w:rsid w:val="35E00D72"/>
    <w:rsid w:val="36160F04"/>
    <w:rsid w:val="36381379"/>
    <w:rsid w:val="36965B9D"/>
    <w:rsid w:val="36AA596F"/>
    <w:rsid w:val="36C549FD"/>
    <w:rsid w:val="37563B38"/>
    <w:rsid w:val="37A755DD"/>
    <w:rsid w:val="37F33BFE"/>
    <w:rsid w:val="37F94FA0"/>
    <w:rsid w:val="380D3381"/>
    <w:rsid w:val="38115B1F"/>
    <w:rsid w:val="38265DDE"/>
    <w:rsid w:val="385E3AC3"/>
    <w:rsid w:val="387D6B9E"/>
    <w:rsid w:val="38B75FF0"/>
    <w:rsid w:val="38C0185C"/>
    <w:rsid w:val="38D45016"/>
    <w:rsid w:val="38D90432"/>
    <w:rsid w:val="38FB6CA1"/>
    <w:rsid w:val="38FD78C8"/>
    <w:rsid w:val="3914510A"/>
    <w:rsid w:val="3926770B"/>
    <w:rsid w:val="392F322E"/>
    <w:rsid w:val="3982065B"/>
    <w:rsid w:val="398D3668"/>
    <w:rsid w:val="39C3131B"/>
    <w:rsid w:val="39DA0497"/>
    <w:rsid w:val="3A893816"/>
    <w:rsid w:val="3A893B6D"/>
    <w:rsid w:val="3AD1763A"/>
    <w:rsid w:val="3B196883"/>
    <w:rsid w:val="3B2144D2"/>
    <w:rsid w:val="3B50719A"/>
    <w:rsid w:val="3B6716E3"/>
    <w:rsid w:val="3B6C6B2D"/>
    <w:rsid w:val="3B817C6A"/>
    <w:rsid w:val="3C242659"/>
    <w:rsid w:val="3C96719C"/>
    <w:rsid w:val="3CA72BE8"/>
    <w:rsid w:val="3CD24DD0"/>
    <w:rsid w:val="3CDC1E1E"/>
    <w:rsid w:val="3CF37F8C"/>
    <w:rsid w:val="3D137554"/>
    <w:rsid w:val="3D5275AC"/>
    <w:rsid w:val="3D590FF0"/>
    <w:rsid w:val="3D6917F2"/>
    <w:rsid w:val="3DA20D8A"/>
    <w:rsid w:val="3DCC2473"/>
    <w:rsid w:val="3DEB0883"/>
    <w:rsid w:val="3E2527BF"/>
    <w:rsid w:val="3E4C2417"/>
    <w:rsid w:val="3E70484C"/>
    <w:rsid w:val="3E731662"/>
    <w:rsid w:val="3E7E161F"/>
    <w:rsid w:val="3E8168DD"/>
    <w:rsid w:val="3E8A0E07"/>
    <w:rsid w:val="3EA7725F"/>
    <w:rsid w:val="3EB03713"/>
    <w:rsid w:val="3EBF1A11"/>
    <w:rsid w:val="3EC52607"/>
    <w:rsid w:val="3EEC6CEF"/>
    <w:rsid w:val="3F183429"/>
    <w:rsid w:val="3FB77A1D"/>
    <w:rsid w:val="3FDC3674"/>
    <w:rsid w:val="3FED7F8A"/>
    <w:rsid w:val="40094AEF"/>
    <w:rsid w:val="405470BD"/>
    <w:rsid w:val="40794A29"/>
    <w:rsid w:val="40834692"/>
    <w:rsid w:val="40BC080A"/>
    <w:rsid w:val="41431AD5"/>
    <w:rsid w:val="414B3C0F"/>
    <w:rsid w:val="416E5186"/>
    <w:rsid w:val="417C1CE7"/>
    <w:rsid w:val="41900018"/>
    <w:rsid w:val="41944406"/>
    <w:rsid w:val="41B95E5E"/>
    <w:rsid w:val="41CE128F"/>
    <w:rsid w:val="41DA6F12"/>
    <w:rsid w:val="420073FB"/>
    <w:rsid w:val="42171FB1"/>
    <w:rsid w:val="422A230C"/>
    <w:rsid w:val="42BB74BB"/>
    <w:rsid w:val="42C10D7B"/>
    <w:rsid w:val="434E6957"/>
    <w:rsid w:val="43BA0E31"/>
    <w:rsid w:val="43C15147"/>
    <w:rsid w:val="43E14DD2"/>
    <w:rsid w:val="43F800E9"/>
    <w:rsid w:val="44352062"/>
    <w:rsid w:val="443A7E4B"/>
    <w:rsid w:val="444A7D08"/>
    <w:rsid w:val="44C47FE8"/>
    <w:rsid w:val="452F5B3A"/>
    <w:rsid w:val="454E7FD2"/>
    <w:rsid w:val="46061BDC"/>
    <w:rsid w:val="461404F8"/>
    <w:rsid w:val="46413018"/>
    <w:rsid w:val="464B7E04"/>
    <w:rsid w:val="468041AA"/>
    <w:rsid w:val="468123C6"/>
    <w:rsid w:val="46901EEE"/>
    <w:rsid w:val="469C74D2"/>
    <w:rsid w:val="472A359B"/>
    <w:rsid w:val="4732142D"/>
    <w:rsid w:val="47445515"/>
    <w:rsid w:val="474B4782"/>
    <w:rsid w:val="476D01E4"/>
    <w:rsid w:val="47866CD9"/>
    <w:rsid w:val="47D90D14"/>
    <w:rsid w:val="47DE1152"/>
    <w:rsid w:val="48387FB0"/>
    <w:rsid w:val="483A6114"/>
    <w:rsid w:val="488727DB"/>
    <w:rsid w:val="48B82268"/>
    <w:rsid w:val="48C354B3"/>
    <w:rsid w:val="48E901FF"/>
    <w:rsid w:val="493D58B5"/>
    <w:rsid w:val="494A7A04"/>
    <w:rsid w:val="49605EF7"/>
    <w:rsid w:val="498D5351"/>
    <w:rsid w:val="4A0A26D2"/>
    <w:rsid w:val="4A2019A5"/>
    <w:rsid w:val="4A241A0B"/>
    <w:rsid w:val="4A2B437E"/>
    <w:rsid w:val="4A5C2BD7"/>
    <w:rsid w:val="4A6A3D81"/>
    <w:rsid w:val="4A7B2875"/>
    <w:rsid w:val="4A934476"/>
    <w:rsid w:val="4AAA220A"/>
    <w:rsid w:val="4AE12E67"/>
    <w:rsid w:val="4B4C0111"/>
    <w:rsid w:val="4B8553A9"/>
    <w:rsid w:val="4BDB3730"/>
    <w:rsid w:val="4C200F7A"/>
    <w:rsid w:val="4CEE3180"/>
    <w:rsid w:val="4D0F4AF6"/>
    <w:rsid w:val="4D580A67"/>
    <w:rsid w:val="4DF94F37"/>
    <w:rsid w:val="4E0A1DD5"/>
    <w:rsid w:val="4E1431A5"/>
    <w:rsid w:val="4E3160E5"/>
    <w:rsid w:val="4E4D37AF"/>
    <w:rsid w:val="4E8C6496"/>
    <w:rsid w:val="4EFD18DE"/>
    <w:rsid w:val="4F144236"/>
    <w:rsid w:val="4F663C87"/>
    <w:rsid w:val="4F6A4FED"/>
    <w:rsid w:val="4F7E29A8"/>
    <w:rsid w:val="4F9E1FFC"/>
    <w:rsid w:val="500A6115"/>
    <w:rsid w:val="501B24C4"/>
    <w:rsid w:val="50447CC2"/>
    <w:rsid w:val="50874A7C"/>
    <w:rsid w:val="50895EE7"/>
    <w:rsid w:val="50921B9D"/>
    <w:rsid w:val="509A43A3"/>
    <w:rsid w:val="50C0456F"/>
    <w:rsid w:val="50D16158"/>
    <w:rsid w:val="50DB5F45"/>
    <w:rsid w:val="51025EB1"/>
    <w:rsid w:val="51141503"/>
    <w:rsid w:val="513C450E"/>
    <w:rsid w:val="51554FF8"/>
    <w:rsid w:val="518D0ED5"/>
    <w:rsid w:val="522461FF"/>
    <w:rsid w:val="52332CA1"/>
    <w:rsid w:val="525C687F"/>
    <w:rsid w:val="52A3740A"/>
    <w:rsid w:val="52EB622A"/>
    <w:rsid w:val="52F647F7"/>
    <w:rsid w:val="52F92565"/>
    <w:rsid w:val="53777AB1"/>
    <w:rsid w:val="53AE735E"/>
    <w:rsid w:val="53D03877"/>
    <w:rsid w:val="541C7618"/>
    <w:rsid w:val="542F73CA"/>
    <w:rsid w:val="5430786D"/>
    <w:rsid w:val="545A1D2A"/>
    <w:rsid w:val="545F3832"/>
    <w:rsid w:val="54C811C0"/>
    <w:rsid w:val="550521C6"/>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75CEC"/>
    <w:rsid w:val="58CD2491"/>
    <w:rsid w:val="58CD61BD"/>
    <w:rsid w:val="58E73D55"/>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7A3882"/>
    <w:rsid w:val="5CAD5927"/>
    <w:rsid w:val="5CBB0CE2"/>
    <w:rsid w:val="5CC17177"/>
    <w:rsid w:val="5CF306BC"/>
    <w:rsid w:val="5D3F3D64"/>
    <w:rsid w:val="5D833043"/>
    <w:rsid w:val="5DD92690"/>
    <w:rsid w:val="5DDB1CFD"/>
    <w:rsid w:val="5DF31116"/>
    <w:rsid w:val="5DF62BB3"/>
    <w:rsid w:val="5E6E01FE"/>
    <w:rsid w:val="5E7E6D93"/>
    <w:rsid w:val="5E82459B"/>
    <w:rsid w:val="5ED44800"/>
    <w:rsid w:val="5F0F0F86"/>
    <w:rsid w:val="5F257E9F"/>
    <w:rsid w:val="5F350BDE"/>
    <w:rsid w:val="5F61632C"/>
    <w:rsid w:val="5FA17648"/>
    <w:rsid w:val="5FE705CB"/>
    <w:rsid w:val="6007714E"/>
    <w:rsid w:val="603555AC"/>
    <w:rsid w:val="603D5080"/>
    <w:rsid w:val="606842D0"/>
    <w:rsid w:val="60D0261B"/>
    <w:rsid w:val="615D4FC8"/>
    <w:rsid w:val="618E3791"/>
    <w:rsid w:val="61947DCA"/>
    <w:rsid w:val="61A46A97"/>
    <w:rsid w:val="61D1382F"/>
    <w:rsid w:val="61F114A2"/>
    <w:rsid w:val="622B0ABA"/>
    <w:rsid w:val="62512BB4"/>
    <w:rsid w:val="625D7D1A"/>
    <w:rsid w:val="62660469"/>
    <w:rsid w:val="62DD7D21"/>
    <w:rsid w:val="637D586B"/>
    <w:rsid w:val="639D217C"/>
    <w:rsid w:val="63A5560B"/>
    <w:rsid w:val="63E9091F"/>
    <w:rsid w:val="640B6199"/>
    <w:rsid w:val="64322AF9"/>
    <w:rsid w:val="64D6010D"/>
    <w:rsid w:val="64D82665"/>
    <w:rsid w:val="64E47C96"/>
    <w:rsid w:val="651E5741"/>
    <w:rsid w:val="65213054"/>
    <w:rsid w:val="655D7702"/>
    <w:rsid w:val="658A4877"/>
    <w:rsid w:val="65A00902"/>
    <w:rsid w:val="65AC6EDD"/>
    <w:rsid w:val="65D97752"/>
    <w:rsid w:val="66085536"/>
    <w:rsid w:val="66105BF7"/>
    <w:rsid w:val="66150023"/>
    <w:rsid w:val="6628010D"/>
    <w:rsid w:val="665B0BEF"/>
    <w:rsid w:val="669B4528"/>
    <w:rsid w:val="66CC12D7"/>
    <w:rsid w:val="67134CEF"/>
    <w:rsid w:val="671F1ABD"/>
    <w:rsid w:val="67521A59"/>
    <w:rsid w:val="67C304AB"/>
    <w:rsid w:val="683F0658"/>
    <w:rsid w:val="68924FC4"/>
    <w:rsid w:val="689C6793"/>
    <w:rsid w:val="68C41A19"/>
    <w:rsid w:val="68CF7C44"/>
    <w:rsid w:val="68DB0208"/>
    <w:rsid w:val="68FB170C"/>
    <w:rsid w:val="691B3D98"/>
    <w:rsid w:val="693748F0"/>
    <w:rsid w:val="696C0310"/>
    <w:rsid w:val="696E253C"/>
    <w:rsid w:val="69846A0E"/>
    <w:rsid w:val="69AA1366"/>
    <w:rsid w:val="69AD798C"/>
    <w:rsid w:val="69D005C0"/>
    <w:rsid w:val="69D80B96"/>
    <w:rsid w:val="69F47AD7"/>
    <w:rsid w:val="6A2C2206"/>
    <w:rsid w:val="6A2C39D4"/>
    <w:rsid w:val="6AE46F90"/>
    <w:rsid w:val="6AF15233"/>
    <w:rsid w:val="6B68175F"/>
    <w:rsid w:val="6BB96113"/>
    <w:rsid w:val="6BD27946"/>
    <w:rsid w:val="6BDA5191"/>
    <w:rsid w:val="6BFD799F"/>
    <w:rsid w:val="6C4A2E5A"/>
    <w:rsid w:val="6C8138D0"/>
    <w:rsid w:val="6CEF0725"/>
    <w:rsid w:val="6D2B360E"/>
    <w:rsid w:val="6D341986"/>
    <w:rsid w:val="6D4B2604"/>
    <w:rsid w:val="6D77358F"/>
    <w:rsid w:val="6D8030E4"/>
    <w:rsid w:val="6DB67389"/>
    <w:rsid w:val="6E0E35C4"/>
    <w:rsid w:val="6E0F7A08"/>
    <w:rsid w:val="6E3947F5"/>
    <w:rsid w:val="6E5A1A79"/>
    <w:rsid w:val="6E6733A0"/>
    <w:rsid w:val="6E6E3938"/>
    <w:rsid w:val="6E9C74ED"/>
    <w:rsid w:val="6ED16FC5"/>
    <w:rsid w:val="6EF72976"/>
    <w:rsid w:val="6F795A80"/>
    <w:rsid w:val="6F7C1D2E"/>
    <w:rsid w:val="6F8E0407"/>
    <w:rsid w:val="6FD00910"/>
    <w:rsid w:val="6FDD069F"/>
    <w:rsid w:val="70037EB1"/>
    <w:rsid w:val="702B4D16"/>
    <w:rsid w:val="70AA6621"/>
    <w:rsid w:val="7111480F"/>
    <w:rsid w:val="71261F49"/>
    <w:rsid w:val="712E6956"/>
    <w:rsid w:val="71473612"/>
    <w:rsid w:val="71504F32"/>
    <w:rsid w:val="7152309F"/>
    <w:rsid w:val="718F7F65"/>
    <w:rsid w:val="71DA6992"/>
    <w:rsid w:val="727B234E"/>
    <w:rsid w:val="728A58B0"/>
    <w:rsid w:val="72AA2074"/>
    <w:rsid w:val="72D068C7"/>
    <w:rsid w:val="72E42ED8"/>
    <w:rsid w:val="72FC34C3"/>
    <w:rsid w:val="735F4CB9"/>
    <w:rsid w:val="73674C62"/>
    <w:rsid w:val="73845865"/>
    <w:rsid w:val="739B6D9E"/>
    <w:rsid w:val="73BC1D76"/>
    <w:rsid w:val="73FB6630"/>
    <w:rsid w:val="74702426"/>
    <w:rsid w:val="748D790E"/>
    <w:rsid w:val="749820CC"/>
    <w:rsid w:val="74CE04EC"/>
    <w:rsid w:val="74E76DCD"/>
    <w:rsid w:val="751D7C0A"/>
    <w:rsid w:val="75722D56"/>
    <w:rsid w:val="75DB5477"/>
    <w:rsid w:val="75FC6AC3"/>
    <w:rsid w:val="75FE07D4"/>
    <w:rsid w:val="7616619B"/>
    <w:rsid w:val="76660D7C"/>
    <w:rsid w:val="766C5968"/>
    <w:rsid w:val="768757DC"/>
    <w:rsid w:val="769C31A6"/>
    <w:rsid w:val="76BE0C8F"/>
    <w:rsid w:val="76CD53B2"/>
    <w:rsid w:val="76E6594C"/>
    <w:rsid w:val="770719AC"/>
    <w:rsid w:val="77284729"/>
    <w:rsid w:val="776526CC"/>
    <w:rsid w:val="77A262E1"/>
    <w:rsid w:val="77B13C33"/>
    <w:rsid w:val="77DC095A"/>
    <w:rsid w:val="77ED6F44"/>
    <w:rsid w:val="77F45548"/>
    <w:rsid w:val="77FC440B"/>
    <w:rsid w:val="784E7CA6"/>
    <w:rsid w:val="78574801"/>
    <w:rsid w:val="7873527F"/>
    <w:rsid w:val="78971EE0"/>
    <w:rsid w:val="78D31D33"/>
    <w:rsid w:val="790A6425"/>
    <w:rsid w:val="790E2D96"/>
    <w:rsid w:val="79183BFD"/>
    <w:rsid w:val="791B54B2"/>
    <w:rsid w:val="793C0F89"/>
    <w:rsid w:val="795A0A34"/>
    <w:rsid w:val="797339C3"/>
    <w:rsid w:val="79D57D57"/>
    <w:rsid w:val="79F00650"/>
    <w:rsid w:val="7A6242BF"/>
    <w:rsid w:val="7A794513"/>
    <w:rsid w:val="7A8A5323"/>
    <w:rsid w:val="7A9B3811"/>
    <w:rsid w:val="7AB467DA"/>
    <w:rsid w:val="7AB9318D"/>
    <w:rsid w:val="7AE952D2"/>
    <w:rsid w:val="7B9F26AF"/>
    <w:rsid w:val="7BB607FE"/>
    <w:rsid w:val="7BF32592"/>
    <w:rsid w:val="7C400F4D"/>
    <w:rsid w:val="7C7248A0"/>
    <w:rsid w:val="7C891A94"/>
    <w:rsid w:val="7C976D69"/>
    <w:rsid w:val="7CD752DA"/>
    <w:rsid w:val="7CDD7132"/>
    <w:rsid w:val="7CDE40AB"/>
    <w:rsid w:val="7CF057E2"/>
    <w:rsid w:val="7D1548B5"/>
    <w:rsid w:val="7D1A6033"/>
    <w:rsid w:val="7D3B05B7"/>
    <w:rsid w:val="7D411444"/>
    <w:rsid w:val="7D7D68A2"/>
    <w:rsid w:val="7DF84014"/>
    <w:rsid w:val="7E207949"/>
    <w:rsid w:val="7E384B47"/>
    <w:rsid w:val="7E5C0A47"/>
    <w:rsid w:val="7E670C75"/>
    <w:rsid w:val="7E7C5CB2"/>
    <w:rsid w:val="7EE24272"/>
    <w:rsid w:val="7EEA6053"/>
    <w:rsid w:val="7F487C04"/>
    <w:rsid w:val="7F611CBA"/>
    <w:rsid w:val="7FB45F21"/>
    <w:rsid w:val="7FBD4B5A"/>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after="260" w:line="416" w:lineRule="auto"/>
      <w:outlineLvl w:val="2"/>
    </w:pPr>
    <w:rPr>
      <w:b/>
      <w:bCs/>
      <w:sz w:val="32"/>
      <w:szCs w:val="32"/>
    </w:rPr>
  </w:style>
  <w:style w:type="character" w:default="1" w:styleId="11">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6337</Words>
  <Characters>7277</Characters>
  <Lines>0</Lines>
  <Paragraphs>0</Paragraphs>
  <TotalTime>1</TotalTime>
  <ScaleCrop>false</ScaleCrop>
  <LinksUpToDate>false</LinksUpToDate>
  <CharactersWithSpaces>7290</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2025-04-10T10:46:30Z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y fmtid="{D5CDD505-2E9C-101B-9397-08002B2CF9AE}" pid="4" name="KSOTemplateDocerSaveRecord">
    <vt:lpwstr>eyJoZGlkIjoiZDU4MmQ2ZWMyMDZlYzhmM2M0MmMwNGNmYmFiY2Q3YTQiLCJ1c2VySWQiOiI1Mzk1NTEzNjcifQ==</vt:lpwstr>
  </property>
</Properties>
</file>