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沙湾市小拐农业开发区管理委员会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贯彻落实国家有关法规政策，加强对本区域的土地开发管理工作，协助上级有关部门对区域内的土地、林区、水域的纠纷进行调查处理。2、协助林业部门开展区域内植树造林、林业统计和森林资源档案管理，掌握区域内森林资源消长变化情况，普及林业科学技术，总结和推广林业生产先进经验，开展林业技术培训和咨询服务。3、做好农业新技术的宣传、推广、普及和技术服务、协助有关部门规范区域内农作物种子、农药、肥料市场、保护农民利益。4、推广普及高新节水技术，协助有关部门保护和管理区域内的水资源，对区域内违反水利行政法规的行为进行监督并协助上级主管部门进行调查处理。5、积极引进、示范、推广先进适用的农业机械及农机新技术，协助有关部门开展区域内农机生产教育、指导和监督、管理工作。6、协助有关部门做好产业发展规划、道路规划及其他基础设施建设工作。7、完成市委、市政府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沙湾市小拐农业开发区管理委员会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eastAsia="zh-CN"/>
        </w:rPr>
        <w:t>该单位无</w:t>
      </w:r>
      <w:r>
        <w:rPr>
          <w:rFonts w:hint="eastAsia" w:ascii="仿宋_GB2312" w:hAnsi="黑体" w:eastAsia="仿宋_GB2312" w:cs="宋体"/>
          <w:bCs/>
          <w:color w:val="auto"/>
          <w:kern w:val="0"/>
          <w:sz w:val="32"/>
          <w:szCs w:val="32"/>
          <w:highlight w:val="none"/>
        </w:rPr>
        <w:t>下属预算单位，下设</w:t>
      </w:r>
      <w:r>
        <w:rPr>
          <w:rFonts w:hint="eastAsia" w:ascii="仿宋_GB2312" w:eastAsia="仿宋_GB2312"/>
          <w:color w:val="auto"/>
          <w:sz w:val="32"/>
          <w:szCs w:val="32"/>
          <w:highlight w:val="none"/>
          <w:lang w:val="en-US" w:eastAsia="zh-CN"/>
        </w:rPr>
        <w:t>1个</w:t>
      </w:r>
      <w:r>
        <w:rPr>
          <w:rFonts w:hint="eastAsia" w:ascii="仿宋_GB2312" w:hAnsi="黑体" w:eastAsia="仿宋_GB2312" w:cs="宋体"/>
          <w:bCs/>
          <w:color w:val="auto"/>
          <w:kern w:val="0"/>
          <w:sz w:val="32"/>
          <w:szCs w:val="32"/>
          <w:highlight w:val="none"/>
        </w:rPr>
        <w:t>处室，分别是：</w:t>
      </w:r>
      <w:r>
        <w:rPr>
          <w:rFonts w:hint="eastAsia" w:ascii="仿宋_GB2312" w:hAnsi="宋体" w:eastAsia="仿宋_GB2312" w:cs="宋体"/>
          <w:color w:val="auto"/>
          <w:kern w:val="0"/>
          <w:sz w:val="32"/>
          <w:szCs w:val="32"/>
          <w:highlight w:val="none"/>
          <w:lang w:val="en-US" w:eastAsia="zh-CN"/>
        </w:rPr>
        <w:t>业务办公室。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138.26万元，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138.26万元，使用非财政拨款结余0.00万元，年初结转和结余0.00万元。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138.26万元，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138.26万元，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增加17.07万元</w:t>
      </w:r>
      <w:r>
        <w:rPr>
          <w:rFonts w:hint="eastAsia" w:ascii="仿宋_GB2312" w:eastAsia="仿宋_GB2312"/>
          <w:color w:val="auto"/>
          <w:spacing w:val="0"/>
          <w:sz w:val="32"/>
          <w:szCs w:val="32"/>
          <w:highlight w:val="none"/>
          <w:lang w:val="en-US" w:eastAsia="zh-CN"/>
        </w:rPr>
        <w:t>，增长14.09%，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工资调整，社保基础增加，补发基础绩效奖增资，补发考核绩效奖</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本年收入138.26万元，其中：财政拨款收入</w:t>
      </w:r>
      <w:r>
        <w:rPr>
          <w:rFonts w:hint="eastAsia" w:ascii="仿宋_GB2312" w:eastAsia="仿宋_GB2312"/>
          <w:color w:val="auto"/>
          <w:spacing w:val="0"/>
          <w:sz w:val="32"/>
          <w:szCs w:val="32"/>
          <w:highlight w:val="none"/>
          <w:lang w:val="zh-CN" w:eastAsia="zh-CN"/>
        </w:rPr>
        <w:t>137.71</w:t>
      </w:r>
      <w:r>
        <w:rPr>
          <w:rFonts w:hint="eastAsia" w:ascii="仿宋_GB2312" w:eastAsia="仿宋_GB2312"/>
          <w:color w:val="auto"/>
          <w:spacing w:val="0"/>
          <w:sz w:val="32"/>
          <w:szCs w:val="32"/>
          <w:highlight w:val="none"/>
          <w:lang w:val="en-US" w:eastAsia="zh-CN"/>
        </w:rPr>
        <w:t>万元，占</w:t>
      </w:r>
      <w:r>
        <w:rPr>
          <w:rFonts w:hint="eastAsia" w:ascii="仿宋_GB2312" w:eastAsia="仿宋_GB2312"/>
          <w:color w:val="auto"/>
          <w:spacing w:val="0"/>
          <w:sz w:val="32"/>
          <w:szCs w:val="32"/>
          <w:highlight w:val="none"/>
          <w:lang w:val="zh-CN" w:eastAsia="zh-CN"/>
        </w:rPr>
        <w:t>99.60%</w:t>
      </w:r>
      <w:r>
        <w:rPr>
          <w:rFonts w:hint="eastAsia" w:ascii="仿宋_GB2312" w:eastAsia="仿宋_GB2312"/>
          <w:color w:val="auto"/>
          <w:spacing w:val="0"/>
          <w:sz w:val="32"/>
          <w:szCs w:val="32"/>
          <w:highlight w:val="none"/>
          <w:lang w:val="en-US" w:eastAsia="zh-CN"/>
        </w:rPr>
        <w:t>；上级补助收入</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val="en-US" w:eastAsia="zh-CN"/>
        </w:rPr>
        <w:t>万元，占</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val="en-US" w:eastAsia="zh-CN"/>
        </w:rPr>
        <w:t>；事业收入</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val="en-US" w:eastAsia="zh-CN"/>
        </w:rPr>
        <w:t>万元，占</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val="en-US" w:eastAsia="zh-CN"/>
        </w:rPr>
        <w:t>；经营收入</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val="en-US" w:eastAsia="zh-CN"/>
        </w:rPr>
        <w:t>万元，占</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val="en-US" w:eastAsia="zh-CN"/>
        </w:rPr>
        <w:t>；附属单位上缴收入</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val="en-US" w:eastAsia="zh-CN"/>
        </w:rPr>
        <w:t>万元，占</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val="en-US" w:eastAsia="zh-CN"/>
        </w:rPr>
        <w:t>；其他收入</w:t>
      </w:r>
      <w:r>
        <w:rPr>
          <w:rFonts w:hint="eastAsia" w:ascii="仿宋_GB2312" w:eastAsia="仿宋_GB2312"/>
          <w:color w:val="auto"/>
          <w:spacing w:val="0"/>
          <w:sz w:val="32"/>
          <w:szCs w:val="32"/>
          <w:highlight w:val="none"/>
          <w:lang w:val="zh-CN" w:eastAsia="zh-CN"/>
        </w:rPr>
        <w:t>0.55</w:t>
      </w:r>
      <w:r>
        <w:rPr>
          <w:rFonts w:hint="eastAsia" w:ascii="仿宋_GB2312" w:eastAsia="仿宋_GB2312"/>
          <w:color w:val="auto"/>
          <w:spacing w:val="0"/>
          <w:sz w:val="32"/>
          <w:szCs w:val="32"/>
          <w:highlight w:val="none"/>
          <w:lang w:val="en-US" w:eastAsia="zh-CN"/>
        </w:rPr>
        <w:t>万元，占</w:t>
      </w:r>
      <w:r>
        <w:rPr>
          <w:rFonts w:hint="eastAsia" w:ascii="仿宋_GB2312" w:eastAsia="仿宋_GB2312"/>
          <w:color w:val="auto"/>
          <w:spacing w:val="0"/>
          <w:sz w:val="32"/>
          <w:szCs w:val="32"/>
          <w:highlight w:val="none"/>
          <w:lang w:val="zh-CN" w:eastAsia="zh-CN"/>
        </w:rPr>
        <w:t>0.40%</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本年支出138.26万元，其中：基本支出138.26万元，占100.00%；项目支出0.00万元，占0.00%；上缴上级支出0.00万元，占0.00%；经营支出0.00万元，占0.00%；对附属单位补助支出0.00万元，占0.00%。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137.71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137.71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137.71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137.71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增加16.52万元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增长13.63%,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工资调整，社保基础增加，补发基础绩效奖增资，补发考核绩效奖</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118.27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137.71</w:t>
      </w:r>
      <w:r>
        <w:rPr>
          <w:rFonts w:hint="eastAsia" w:ascii="仿宋_GB2312" w:eastAsia="仿宋_GB2312"/>
          <w:color w:val="auto"/>
          <w:spacing w:val="0"/>
          <w:sz w:val="32"/>
          <w:szCs w:val="32"/>
          <w:highlight w:val="none"/>
          <w:lang w:eastAsia="zh-CN"/>
        </w:rPr>
        <w:t>万元，预决算差异率16.44%，主要原因是：</w:t>
      </w:r>
      <w:r>
        <w:rPr>
          <w:rFonts w:hint="eastAsia" w:ascii="仿宋_GB2312" w:eastAsia="仿宋_GB2312"/>
          <w:color w:val="auto"/>
          <w:spacing w:val="0"/>
          <w:sz w:val="32"/>
          <w:szCs w:val="32"/>
          <w:highlight w:val="none"/>
          <w:lang w:val="en-US" w:eastAsia="zh-CN"/>
        </w:rPr>
        <w:t>工资调整，社保基础增加，补发基础绩效奖增资，补发考核绩效奖</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2023年度一般公共预算财政拨款支出137.71万元，占本年支出合计的</w:t>
      </w:r>
      <w:r>
        <w:rPr>
          <w:rFonts w:hint="eastAsia" w:ascii="仿宋_GB2312" w:eastAsia="仿宋_GB2312"/>
          <w:color w:val="auto"/>
          <w:spacing w:val="0"/>
          <w:sz w:val="32"/>
          <w:szCs w:val="32"/>
          <w:highlight w:val="none"/>
          <w:lang w:val="zh-CN" w:eastAsia="zh-CN"/>
        </w:rPr>
        <w:t>99.60%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增加16.52万元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增长13.63%,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工资调整，社保基础增加，补发基础绩效奖增资，补发考核绩效奖</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118.27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137.71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16.44%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工资调整，社保基础增加，补发基础绩效奖增资，补发考核绩效奖</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10.75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7.81%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.农林水支出（类）113.84万元，占</w:t>
      </w:r>
      <w:r>
        <w:rPr>
          <w:rFonts w:hint="eastAsia" w:ascii="仿宋_GB2312" w:eastAsia="仿宋_GB2312" w:cs="Times New Roman"/>
          <w:color w:val="auto"/>
          <w:spacing w:val="0"/>
          <w:kern w:val="2"/>
          <w:sz w:val="32"/>
          <w:szCs w:val="32"/>
          <w:highlight w:val="none"/>
          <w:lang w:val="zh-CN" w:eastAsia="zh-CN" w:bidi="ar-SA"/>
        </w:rPr>
        <w:t>82.67%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6.22%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1.卫生健康支出（类）行政事业单位医疗（款）事业单位医疗（项）:支出决算数为4.55万元，比上年决算增加0.42万元，增长10.17%，主要原因是：</w:t>
      </w:r>
      <w:r>
        <w:rPr>
          <w:rFonts w:hint="eastAsia" w:ascii="仿宋_GB2312" w:hAnsi="仿宋_GB2312" w:eastAsia="仿宋_GB2312" w:cs="仿宋_GB2312"/>
          <w:color w:val="auto"/>
          <w:kern w:val="2"/>
          <w:sz w:val="32"/>
          <w:szCs w:val="32"/>
          <w:highlight w:val="none"/>
          <w:lang w:val="zh-CN" w:eastAsia="zh-CN" w:bidi="ar-SA"/>
        </w:rPr>
        <w:t>工资调整，</w:t>
      </w:r>
      <w:r>
        <w:rPr>
          <w:rFonts w:hint="eastAsia" w:ascii="仿宋_GB2312" w:hAnsi="仿宋_GB2312" w:eastAsia="仿宋_GB2312" w:cs="仿宋_GB2312"/>
          <w:color w:val="auto"/>
          <w:kern w:val="2"/>
          <w:sz w:val="32"/>
          <w:szCs w:val="32"/>
          <w:highlight w:val="none"/>
          <w:lang w:val="en-US" w:eastAsia="zh-CN" w:bidi="ar-SA"/>
        </w:rPr>
        <w:t>单位基本医疗</w:t>
      </w:r>
      <w:r>
        <w:rPr>
          <w:rFonts w:hint="eastAsia" w:ascii="仿宋_GB2312" w:hAnsi="仿宋_GB2312" w:eastAsia="仿宋_GB2312" w:cs="仿宋_GB2312"/>
          <w:color w:val="auto"/>
          <w:kern w:val="2"/>
          <w:sz w:val="32"/>
          <w:szCs w:val="32"/>
          <w:highlight w:val="none"/>
          <w:lang w:val="zh-CN" w:eastAsia="zh-CN" w:bidi="ar-SA"/>
        </w:rPr>
        <w:t>基数增加。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2.农林水支出（类）农业农村（款）事业运行（项）:支出决算数为113.84万元，比上年决算增加17.69万元，增长18.40%，主要原因是：</w:t>
      </w:r>
      <w:r>
        <w:rPr>
          <w:rFonts w:hint="eastAsia" w:ascii="仿宋_GB2312" w:eastAsia="仿宋_GB2312"/>
          <w:color w:val="auto"/>
          <w:spacing w:val="0"/>
          <w:sz w:val="32"/>
          <w:szCs w:val="32"/>
          <w:highlight w:val="none"/>
          <w:lang w:val="en-US" w:eastAsia="zh-CN"/>
        </w:rPr>
        <w:t>工资调整，社</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保基数增</w:t>
      </w:r>
      <w:r>
        <w:rPr>
          <w:rFonts w:hint="eastAsia" w:ascii="仿宋_GB2312" w:eastAsia="仿宋_GB2312"/>
          <w:color w:val="auto"/>
          <w:spacing w:val="0"/>
          <w:sz w:val="32"/>
          <w:szCs w:val="32"/>
          <w:highlight w:val="none"/>
          <w:lang w:val="en-US" w:eastAsia="zh-CN"/>
        </w:rPr>
        <w:t>加，补发基础绩效奖增资，补发考核绩效奖</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3.住房保障支出（类）住房改革支出（款）住房公积金（项）:支出决算数为8.57万元，比上年决算增加1.02万元，增长13.51%，主要原因是：工资调整，单位住房公积金基数增加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4.社会保障和就业支出（类）行政事业单位养老支出（款）机关事业单位基本养老保险缴费支出（项）:支出决算数为10.75万元，比上年决算增加2.39万元，增长28.59%，主要原因是：工资调整，单位养老保险基数增加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5.卫生健康支出（类）公共卫生（款）突发公共卫生事件应急处理（项）:支出决算数为0.00万元，比上年决算减少5.00万元，下降100%，主要原因是：2023年减少突发公共卫生事件应急处理项目支出导致决算下降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137.71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117.70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基本工资、津贴补贴、奖金、伙食补助费、绩效工资、机关事业单位基本养老保险缴费、职工基本医疗保险缴费、其他社会保障缴费、住房公积金。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20.0</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办公费、电费、邮电费、取暖费、劳务费、工会经费、公务用车运行维护费、其他交通费用。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减少0.10万元，</w:t>
      </w:r>
      <w:r>
        <w:rPr>
          <w:rFonts w:hint="eastAsia" w:ascii="仿宋_GB2312" w:eastAsia="仿宋_GB2312"/>
          <w:color w:val="auto"/>
          <w:spacing w:val="0"/>
          <w:sz w:val="32"/>
          <w:szCs w:val="32"/>
          <w:highlight w:val="none"/>
          <w:lang w:val="en-US" w:eastAsia="zh-CN"/>
        </w:rPr>
        <w:t>下降9.09%,</w:t>
      </w:r>
      <w:r>
        <w:rPr>
          <w:rFonts w:hint="eastAsia" w:ascii="仿宋_GB2312" w:eastAsia="仿宋_GB2312"/>
          <w:color w:val="auto"/>
          <w:sz w:val="32"/>
          <w:szCs w:val="32"/>
          <w:highlight w:val="none"/>
          <w:lang w:val="zh-CN" w:eastAsia="zh-CN"/>
        </w:rPr>
        <w:t>主要原因是：我单位严格按照要求压缩</w:t>
      </w:r>
      <w:bookmarkStart w:id="48" w:name="_GoBack"/>
      <w:bookmarkEnd w:id="48"/>
      <w:r>
        <w:rPr>
          <w:rFonts w:hint="eastAsia" w:ascii="仿宋_GB2312" w:eastAsia="仿宋_GB2312"/>
          <w:color w:val="auto"/>
          <w:sz w:val="32"/>
          <w:szCs w:val="32"/>
          <w:highlight w:val="none"/>
          <w:lang w:val="zh-CN" w:eastAsia="zh-CN"/>
        </w:rPr>
        <w:t>“三公”经费，日常加强公车管理，严控公车支出。其中：因公出国（境）费支出0.00万元，占0.00%，比上年增加0.00万元，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主要原因是：我该单位无因公出国（境）费支出；公务用车购置及运行维护费支出1.00万元，占100.00%，比上年减少0.10万元，</w:t>
      </w:r>
      <w:r>
        <w:rPr>
          <w:rFonts w:hint="eastAsia" w:ascii="仿宋_GB2312" w:eastAsia="仿宋_GB2312"/>
          <w:color w:val="auto"/>
          <w:spacing w:val="0"/>
          <w:sz w:val="32"/>
          <w:szCs w:val="32"/>
          <w:highlight w:val="none"/>
          <w:lang w:val="en-US" w:eastAsia="zh-CN"/>
        </w:rPr>
        <w:t>下降9.09%,</w:t>
      </w:r>
      <w:r>
        <w:rPr>
          <w:rFonts w:hint="eastAsia" w:ascii="仿宋_GB2312" w:eastAsia="仿宋_GB2312"/>
          <w:color w:val="auto"/>
          <w:sz w:val="32"/>
          <w:szCs w:val="32"/>
          <w:highlight w:val="none"/>
          <w:lang w:val="zh-CN" w:eastAsia="zh-CN"/>
        </w:rPr>
        <w:t>主要原因是：我单位严格按照要求压缩“三公”经费，日常加强公车管理，严控公车支出；公务接待费支出0.00万元，占0.00%，比上年增加0.00万元，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主要原因是：我该单位无公务接待费支出。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我该单位无因公出国（境）费支出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公务用车购置及运行维护费1.00万元，其中：公务用车购置费0.00万元，公务用车运行维护费1.00万元。公务用车运行维护费开支内容包括车辆维修、车辆保险、</w:t>
      </w:r>
      <w:r>
        <w:rPr>
          <w:rFonts w:hint="eastAsia" w:ascii="仿宋_GB2312" w:eastAsia="仿宋_GB2312"/>
          <w:color w:val="auto"/>
          <w:sz w:val="32"/>
          <w:szCs w:val="32"/>
          <w:highlight w:val="none"/>
          <w:lang w:val="en-US" w:eastAsia="zh-CN"/>
        </w:rPr>
        <w:t>车辆过路费</w:t>
      </w:r>
      <w:r>
        <w:rPr>
          <w:rFonts w:hint="eastAsia" w:ascii="仿宋_GB2312" w:eastAsia="仿宋_GB2312"/>
          <w:color w:val="auto"/>
          <w:sz w:val="32"/>
          <w:szCs w:val="32"/>
          <w:highlight w:val="none"/>
          <w:lang w:val="zh-CN" w:eastAsia="zh-CN"/>
        </w:rPr>
        <w:t>及车辆燃油费。公务用车购置数0辆，公务用车保有量1辆。国有资产占用情况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我该单位无公务接待费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预算数1.00万元，决算数1.00万元，预决算差异率0.00%，主要原因是：财政拨款“三公”经费支出预算数和决算数无变化，预决算无差异。其中：因公出国（境）费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预算数1.00万元，决算数1.00万元，预决算差异率0.00%，主要原因是：公务用车运行费预算数和决算数无变化，预决算无差异；公务接待费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沙湾市小拐农业开发区管理委员会（事业单位）公用经费支出20.01万元，</w:t>
      </w:r>
      <w:r>
        <w:rPr>
          <w:rFonts w:hint="eastAsia" w:ascii="仿宋_GB2312" w:hAnsi="仿宋_GB2312" w:eastAsia="仿宋_GB2312" w:cs="仿宋_GB2312"/>
          <w:color w:val="auto"/>
          <w:sz w:val="32"/>
          <w:szCs w:val="32"/>
          <w:highlight w:val="none"/>
          <w:lang w:val="zh-CN" w:eastAsia="zh-CN"/>
        </w:rPr>
        <w:t>比上年增加5.3</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eastAsia="zh-CN"/>
        </w:rPr>
        <w:t>万元，增长36.4</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单位年初新增测绘费，因而年底费用有所增加</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7.99万元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其中：政府采购货物支出5.99万元、政府采购工程支出0.00万元、政府采购服务支出2.00万元。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授予中小企业合同金额7.62万元，占政府采购支出总额的95.37%，其中：授予小微企业合同金额7.62万元，占政府采购支出总额的95.37%</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color w:val="auto"/>
          <w:sz w:val="32"/>
          <w:szCs w:val="30"/>
          <w:highlight w:val="none"/>
          <w:lang w:val="zh-CN" w:eastAsia="zh-CN"/>
        </w:rPr>
      </w:pPr>
      <w:bookmarkStart w:id="26" w:name="_Toc4591"/>
      <w:bookmarkStart w:id="27" w:name="_Toc8391"/>
      <w:r>
        <w:rPr>
          <w:rFonts w:hint="eastAsia" w:ascii="黑体" w:hAnsi="黑体" w:eastAsia="黑体" w:cs="黑体"/>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261.24</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屋934.38平方米，价值155.49万元。车辆1辆，价值19.00万元，其中：副部（省）级及以上领导用车0辆、主要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用车0辆、其他用车1辆，其他用车主要是：服务单位办公用车；单价100万元（含）以上设备（不含车辆）0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lang w:val="zh-CN" w:eastAsia="zh-CN"/>
        </w:rPr>
        <w:t>根据预算绩效管理要求，我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val="zh-CN" w:eastAsia="zh-CN"/>
        </w:rPr>
        <w:t>2023年度预算绩效管理整体</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lang w:val="zh-CN" w:eastAsia="zh-CN"/>
        </w:rPr>
        <w:t>绩效自评表</w:t>
      </w:r>
      <w:r>
        <w:rPr>
          <w:rFonts w:hint="eastAsia" w:ascii="仿宋_GB2312" w:hAnsi="仿宋_GB2312" w:eastAsia="仿宋_GB2312" w:cs="仿宋_GB2312"/>
          <w:color w:val="auto"/>
          <w:sz w:val="32"/>
          <w:szCs w:val="32"/>
          <w:highlight w:val="none"/>
          <w:lang w:val="en-US" w:eastAsia="zh-CN"/>
        </w:rPr>
        <w:t>1个，全年预算总额138.26</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实际执行总额138.26</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预算绩效评价项目</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个，</w:t>
      </w:r>
      <w:r>
        <w:rPr>
          <w:rFonts w:hint="eastAsia" w:ascii="仿宋_GB2312" w:hAnsi="仿宋_GB2312" w:eastAsia="仿宋_GB2312" w:cs="仿宋_GB2312"/>
          <w:color w:val="auto"/>
          <w:sz w:val="32"/>
          <w:szCs w:val="32"/>
          <w:highlight w:val="none"/>
          <w:lang w:val="en-US" w:eastAsia="zh-CN"/>
        </w:rPr>
        <w:t>全年预算数0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全年执行数0</w:t>
      </w:r>
      <w:r>
        <w:rPr>
          <w:rFonts w:hint="eastAsia" w:ascii="仿宋_GB2312" w:hAnsi="仿宋_GB2312" w:eastAsia="仿宋_GB2312" w:cs="仿宋_GB2312"/>
          <w:color w:val="auto"/>
          <w:sz w:val="32"/>
          <w:szCs w:val="32"/>
          <w:highlight w:val="none"/>
          <w:lang w:val="zh-CN" w:eastAsia="zh-CN"/>
        </w:rPr>
        <w:t>万元。</w:t>
      </w:r>
      <w:r>
        <w:rPr>
          <w:rFonts w:hint="eastAsia" w:ascii="仿宋_GB2312" w:eastAsia="仿宋_GB2312"/>
          <w:color w:val="auto"/>
          <w:sz w:val="32"/>
          <w:szCs w:val="32"/>
          <w:highlight w:val="none"/>
          <w:lang w:eastAsia="zh-CN"/>
        </w:rPr>
        <w:t>预算绩效管理取得的成效：一是绩效项目的实施，确保项目正常的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化管理来保障资金使用的合规合法性，并据此分析各类资金支出产生的效益，使本单位的绩效监督工作上一个新的台阶。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本该单位无其他需说明事项。</w:t>
      </w:r>
    </w:p>
    <w:p>
      <w:pPr>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WRmZWIzNDBhZGIzOWVjNDlmZGRkNDZiYjFiODcifQ=="/>
    <w:docVar w:name="KSO_WPS_MARK_KEY" w:val="41ee2a61-2d54-4f93-83be-afdb9a40d732"/>
  </w:docVars>
  <w:rsids>
    <w:rsidRoot w:val="00000000"/>
    <w:rsid w:val="00213C59"/>
    <w:rsid w:val="003210CE"/>
    <w:rsid w:val="005C0163"/>
    <w:rsid w:val="00B70D59"/>
    <w:rsid w:val="00F52A8D"/>
    <w:rsid w:val="014A36F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7026C"/>
    <w:rsid w:val="06183A24"/>
    <w:rsid w:val="06700D9A"/>
    <w:rsid w:val="06792773"/>
    <w:rsid w:val="06FD75CA"/>
    <w:rsid w:val="07093795"/>
    <w:rsid w:val="07804730"/>
    <w:rsid w:val="079052BE"/>
    <w:rsid w:val="08145C21"/>
    <w:rsid w:val="08422688"/>
    <w:rsid w:val="085854ED"/>
    <w:rsid w:val="0879188F"/>
    <w:rsid w:val="08A0354D"/>
    <w:rsid w:val="08CD4C49"/>
    <w:rsid w:val="09114954"/>
    <w:rsid w:val="09286B73"/>
    <w:rsid w:val="095A5B83"/>
    <w:rsid w:val="096466E3"/>
    <w:rsid w:val="09660708"/>
    <w:rsid w:val="0968304D"/>
    <w:rsid w:val="09AF3D17"/>
    <w:rsid w:val="0A6D1DC1"/>
    <w:rsid w:val="0A7809B7"/>
    <w:rsid w:val="0A7B4867"/>
    <w:rsid w:val="0A7C17A5"/>
    <w:rsid w:val="0A840954"/>
    <w:rsid w:val="0A9928ED"/>
    <w:rsid w:val="0B1360BC"/>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5F7929"/>
    <w:rsid w:val="0E640559"/>
    <w:rsid w:val="0EF224D8"/>
    <w:rsid w:val="0F1113DA"/>
    <w:rsid w:val="0F78534A"/>
    <w:rsid w:val="0F89358A"/>
    <w:rsid w:val="0F8C6D51"/>
    <w:rsid w:val="10317316"/>
    <w:rsid w:val="105B0B5E"/>
    <w:rsid w:val="10647221"/>
    <w:rsid w:val="10760695"/>
    <w:rsid w:val="10E242F1"/>
    <w:rsid w:val="112E58D0"/>
    <w:rsid w:val="11731CAC"/>
    <w:rsid w:val="119500A0"/>
    <w:rsid w:val="11C0733B"/>
    <w:rsid w:val="11C33276"/>
    <w:rsid w:val="11D50D17"/>
    <w:rsid w:val="11F2703F"/>
    <w:rsid w:val="120E0809"/>
    <w:rsid w:val="127F665A"/>
    <w:rsid w:val="12935CB6"/>
    <w:rsid w:val="12F7068C"/>
    <w:rsid w:val="14207DC0"/>
    <w:rsid w:val="14B932DA"/>
    <w:rsid w:val="150A66AF"/>
    <w:rsid w:val="154C1139"/>
    <w:rsid w:val="158C5B77"/>
    <w:rsid w:val="160D1149"/>
    <w:rsid w:val="163563C0"/>
    <w:rsid w:val="164315EF"/>
    <w:rsid w:val="16557DFE"/>
    <w:rsid w:val="167268FB"/>
    <w:rsid w:val="16770D0A"/>
    <w:rsid w:val="167E5801"/>
    <w:rsid w:val="169A0039"/>
    <w:rsid w:val="16D50C50"/>
    <w:rsid w:val="16E120E1"/>
    <w:rsid w:val="17385A05"/>
    <w:rsid w:val="173B3901"/>
    <w:rsid w:val="176747F9"/>
    <w:rsid w:val="17954A6E"/>
    <w:rsid w:val="17BE2C86"/>
    <w:rsid w:val="17F170F7"/>
    <w:rsid w:val="180059E9"/>
    <w:rsid w:val="184510FD"/>
    <w:rsid w:val="190648B0"/>
    <w:rsid w:val="19071D6C"/>
    <w:rsid w:val="19D26CD4"/>
    <w:rsid w:val="19E60D19"/>
    <w:rsid w:val="1A2D0F1B"/>
    <w:rsid w:val="1A3E3450"/>
    <w:rsid w:val="1AD807E5"/>
    <w:rsid w:val="1B39345B"/>
    <w:rsid w:val="1BF77AD3"/>
    <w:rsid w:val="1BFB2A1F"/>
    <w:rsid w:val="1C015D4A"/>
    <w:rsid w:val="1C290ED5"/>
    <w:rsid w:val="1C317E4F"/>
    <w:rsid w:val="1C472464"/>
    <w:rsid w:val="1D22799A"/>
    <w:rsid w:val="1D3F526F"/>
    <w:rsid w:val="1D595D9D"/>
    <w:rsid w:val="1D5C1A72"/>
    <w:rsid w:val="1DAF458D"/>
    <w:rsid w:val="1E086ACE"/>
    <w:rsid w:val="1E62130A"/>
    <w:rsid w:val="1E97358B"/>
    <w:rsid w:val="1EAA4A5F"/>
    <w:rsid w:val="1EE869A7"/>
    <w:rsid w:val="1F3F37CF"/>
    <w:rsid w:val="1FA15E62"/>
    <w:rsid w:val="1FED69B6"/>
    <w:rsid w:val="20053945"/>
    <w:rsid w:val="2064678E"/>
    <w:rsid w:val="20DC1AB9"/>
    <w:rsid w:val="20DD6197"/>
    <w:rsid w:val="212631E0"/>
    <w:rsid w:val="2138666F"/>
    <w:rsid w:val="21742080"/>
    <w:rsid w:val="21A53757"/>
    <w:rsid w:val="21F879E1"/>
    <w:rsid w:val="221236C6"/>
    <w:rsid w:val="22AB602F"/>
    <w:rsid w:val="22D7662C"/>
    <w:rsid w:val="22DB3BE1"/>
    <w:rsid w:val="23326B7F"/>
    <w:rsid w:val="2380045B"/>
    <w:rsid w:val="23BC04D2"/>
    <w:rsid w:val="23EF1892"/>
    <w:rsid w:val="243132A4"/>
    <w:rsid w:val="2483647E"/>
    <w:rsid w:val="24A32D55"/>
    <w:rsid w:val="24CE6D9A"/>
    <w:rsid w:val="25292727"/>
    <w:rsid w:val="252E5CA9"/>
    <w:rsid w:val="25576589"/>
    <w:rsid w:val="256F7692"/>
    <w:rsid w:val="25BA2154"/>
    <w:rsid w:val="25C8773F"/>
    <w:rsid w:val="26084331"/>
    <w:rsid w:val="26235823"/>
    <w:rsid w:val="264A7253"/>
    <w:rsid w:val="266F64C8"/>
    <w:rsid w:val="26F0170C"/>
    <w:rsid w:val="26FE3B9A"/>
    <w:rsid w:val="27201D62"/>
    <w:rsid w:val="27286E73"/>
    <w:rsid w:val="272D7859"/>
    <w:rsid w:val="278E0E9E"/>
    <w:rsid w:val="27CF2642"/>
    <w:rsid w:val="27E777F5"/>
    <w:rsid w:val="27EA1D4C"/>
    <w:rsid w:val="27EA2E41"/>
    <w:rsid w:val="27FE5306"/>
    <w:rsid w:val="282459E2"/>
    <w:rsid w:val="283A7FE5"/>
    <w:rsid w:val="285F51FF"/>
    <w:rsid w:val="28DA4193"/>
    <w:rsid w:val="28DF2665"/>
    <w:rsid w:val="29072599"/>
    <w:rsid w:val="291029F3"/>
    <w:rsid w:val="29CB58F0"/>
    <w:rsid w:val="2A053397"/>
    <w:rsid w:val="2A145E96"/>
    <w:rsid w:val="2A2131BB"/>
    <w:rsid w:val="2AEE35EB"/>
    <w:rsid w:val="2AF5378F"/>
    <w:rsid w:val="2BB94DBF"/>
    <w:rsid w:val="2BF37410"/>
    <w:rsid w:val="2C232438"/>
    <w:rsid w:val="2C6F314E"/>
    <w:rsid w:val="2CC206BE"/>
    <w:rsid w:val="2D1136DF"/>
    <w:rsid w:val="2D20606D"/>
    <w:rsid w:val="2D6729FE"/>
    <w:rsid w:val="2D861426"/>
    <w:rsid w:val="2DB87198"/>
    <w:rsid w:val="2DB93C54"/>
    <w:rsid w:val="2E3D144C"/>
    <w:rsid w:val="2E891204"/>
    <w:rsid w:val="2EF42443"/>
    <w:rsid w:val="2F3F0A28"/>
    <w:rsid w:val="2F7C6276"/>
    <w:rsid w:val="2FA32053"/>
    <w:rsid w:val="2FBF7029"/>
    <w:rsid w:val="2FD0187F"/>
    <w:rsid w:val="2FD27414"/>
    <w:rsid w:val="2FFE4BB0"/>
    <w:rsid w:val="300E7B60"/>
    <w:rsid w:val="300F6E18"/>
    <w:rsid w:val="30862F5F"/>
    <w:rsid w:val="30A4775A"/>
    <w:rsid w:val="314029C9"/>
    <w:rsid w:val="31A40DDB"/>
    <w:rsid w:val="31C63837"/>
    <w:rsid w:val="31C82E39"/>
    <w:rsid w:val="32601BAD"/>
    <w:rsid w:val="329F6389"/>
    <w:rsid w:val="332C44CC"/>
    <w:rsid w:val="3389023A"/>
    <w:rsid w:val="33CB74FA"/>
    <w:rsid w:val="343642F2"/>
    <w:rsid w:val="343F3010"/>
    <w:rsid w:val="345D0A00"/>
    <w:rsid w:val="34713BFD"/>
    <w:rsid w:val="34802FC9"/>
    <w:rsid w:val="34C13589"/>
    <w:rsid w:val="353369E3"/>
    <w:rsid w:val="356B004D"/>
    <w:rsid w:val="35B21E0B"/>
    <w:rsid w:val="35E00D72"/>
    <w:rsid w:val="36965B9D"/>
    <w:rsid w:val="36C549FD"/>
    <w:rsid w:val="37A755DD"/>
    <w:rsid w:val="37E52EDA"/>
    <w:rsid w:val="37F33BFE"/>
    <w:rsid w:val="37F94FA0"/>
    <w:rsid w:val="380D3381"/>
    <w:rsid w:val="38115B1F"/>
    <w:rsid w:val="385E3AC3"/>
    <w:rsid w:val="387D6B9E"/>
    <w:rsid w:val="38B75FF0"/>
    <w:rsid w:val="38D45016"/>
    <w:rsid w:val="38D90432"/>
    <w:rsid w:val="3914510A"/>
    <w:rsid w:val="3926770B"/>
    <w:rsid w:val="3982065B"/>
    <w:rsid w:val="398D3668"/>
    <w:rsid w:val="39A877C1"/>
    <w:rsid w:val="39DA0497"/>
    <w:rsid w:val="39F07E2F"/>
    <w:rsid w:val="3A893816"/>
    <w:rsid w:val="3A893B6D"/>
    <w:rsid w:val="3AD1763A"/>
    <w:rsid w:val="3B196883"/>
    <w:rsid w:val="3B6716E3"/>
    <w:rsid w:val="3B6C6B2D"/>
    <w:rsid w:val="3C242659"/>
    <w:rsid w:val="3C6842DA"/>
    <w:rsid w:val="3C96719C"/>
    <w:rsid w:val="3CA72BE8"/>
    <w:rsid w:val="3CDC1E1E"/>
    <w:rsid w:val="3CF07489"/>
    <w:rsid w:val="3CF37F8C"/>
    <w:rsid w:val="3D137554"/>
    <w:rsid w:val="3D5275AC"/>
    <w:rsid w:val="3DCC2473"/>
    <w:rsid w:val="3DEB0883"/>
    <w:rsid w:val="3E184C47"/>
    <w:rsid w:val="3E2527BF"/>
    <w:rsid w:val="3E70484C"/>
    <w:rsid w:val="3E731662"/>
    <w:rsid w:val="3E8168DD"/>
    <w:rsid w:val="3EA7725F"/>
    <w:rsid w:val="3EB03713"/>
    <w:rsid w:val="3EBF1A11"/>
    <w:rsid w:val="3EC52607"/>
    <w:rsid w:val="3EEC6CEF"/>
    <w:rsid w:val="3F183429"/>
    <w:rsid w:val="3FAC4074"/>
    <w:rsid w:val="3FB77A1D"/>
    <w:rsid w:val="3FD3229A"/>
    <w:rsid w:val="3FDC3674"/>
    <w:rsid w:val="3FED7F8A"/>
    <w:rsid w:val="40094AEF"/>
    <w:rsid w:val="405470BD"/>
    <w:rsid w:val="40572ACC"/>
    <w:rsid w:val="40794A29"/>
    <w:rsid w:val="40834692"/>
    <w:rsid w:val="41193266"/>
    <w:rsid w:val="41431AD5"/>
    <w:rsid w:val="414B3C0F"/>
    <w:rsid w:val="417C1CE7"/>
    <w:rsid w:val="41900018"/>
    <w:rsid w:val="41944406"/>
    <w:rsid w:val="41CE128F"/>
    <w:rsid w:val="41CE74A8"/>
    <w:rsid w:val="41DA6F12"/>
    <w:rsid w:val="42171FB1"/>
    <w:rsid w:val="42AC44B3"/>
    <w:rsid w:val="42C10D7B"/>
    <w:rsid w:val="434E6957"/>
    <w:rsid w:val="43BA0E31"/>
    <w:rsid w:val="43C15147"/>
    <w:rsid w:val="43DF5852"/>
    <w:rsid w:val="43E14DD2"/>
    <w:rsid w:val="43F800E9"/>
    <w:rsid w:val="443A7E4B"/>
    <w:rsid w:val="444A7D08"/>
    <w:rsid w:val="44F42D5C"/>
    <w:rsid w:val="452F5B3A"/>
    <w:rsid w:val="454E7FD2"/>
    <w:rsid w:val="46061BDC"/>
    <w:rsid w:val="461404F8"/>
    <w:rsid w:val="46413018"/>
    <w:rsid w:val="4645676F"/>
    <w:rsid w:val="464B7E04"/>
    <w:rsid w:val="468041AA"/>
    <w:rsid w:val="468123C6"/>
    <w:rsid w:val="46901EEE"/>
    <w:rsid w:val="469C74D2"/>
    <w:rsid w:val="47445515"/>
    <w:rsid w:val="474B4782"/>
    <w:rsid w:val="47D90D14"/>
    <w:rsid w:val="47DE1152"/>
    <w:rsid w:val="48387FB0"/>
    <w:rsid w:val="483A6114"/>
    <w:rsid w:val="483D4CAE"/>
    <w:rsid w:val="488727DB"/>
    <w:rsid w:val="48B82268"/>
    <w:rsid w:val="48C354B3"/>
    <w:rsid w:val="493D58B5"/>
    <w:rsid w:val="494A7A04"/>
    <w:rsid w:val="49605EF7"/>
    <w:rsid w:val="4A0A26D2"/>
    <w:rsid w:val="4A2019A5"/>
    <w:rsid w:val="4A241A0B"/>
    <w:rsid w:val="4A5C2BD7"/>
    <w:rsid w:val="4A7B2875"/>
    <w:rsid w:val="4A934476"/>
    <w:rsid w:val="4AAA220A"/>
    <w:rsid w:val="4AE12E67"/>
    <w:rsid w:val="4B0E58C2"/>
    <w:rsid w:val="4B4C0111"/>
    <w:rsid w:val="4B8553A9"/>
    <w:rsid w:val="4BDB3730"/>
    <w:rsid w:val="4BFA6380"/>
    <w:rsid w:val="4C200F7A"/>
    <w:rsid w:val="4CEE3180"/>
    <w:rsid w:val="4D0F4AF6"/>
    <w:rsid w:val="4DF94F37"/>
    <w:rsid w:val="4E0A1DD5"/>
    <w:rsid w:val="4E3160E5"/>
    <w:rsid w:val="4E4D37AF"/>
    <w:rsid w:val="4E8C6496"/>
    <w:rsid w:val="4EFD18DE"/>
    <w:rsid w:val="4F144236"/>
    <w:rsid w:val="4F663C87"/>
    <w:rsid w:val="4F7E29A8"/>
    <w:rsid w:val="4F9E1FFC"/>
    <w:rsid w:val="500C4C0A"/>
    <w:rsid w:val="50447CC2"/>
    <w:rsid w:val="50550696"/>
    <w:rsid w:val="50874A7C"/>
    <w:rsid w:val="50895EE7"/>
    <w:rsid w:val="50921B9D"/>
    <w:rsid w:val="50D16158"/>
    <w:rsid w:val="50DB5F45"/>
    <w:rsid w:val="51025EB1"/>
    <w:rsid w:val="51141503"/>
    <w:rsid w:val="513C450E"/>
    <w:rsid w:val="51682F88"/>
    <w:rsid w:val="51763221"/>
    <w:rsid w:val="518D0ED5"/>
    <w:rsid w:val="51A11943"/>
    <w:rsid w:val="525C687F"/>
    <w:rsid w:val="52A3740A"/>
    <w:rsid w:val="52F647F7"/>
    <w:rsid w:val="52F92565"/>
    <w:rsid w:val="5361480F"/>
    <w:rsid w:val="53AE735E"/>
    <w:rsid w:val="53D03877"/>
    <w:rsid w:val="53E226D8"/>
    <w:rsid w:val="542F73CA"/>
    <w:rsid w:val="5430786D"/>
    <w:rsid w:val="54427F54"/>
    <w:rsid w:val="545A1D2A"/>
    <w:rsid w:val="54926934"/>
    <w:rsid w:val="54C811C0"/>
    <w:rsid w:val="551B154F"/>
    <w:rsid w:val="556A442D"/>
    <w:rsid w:val="55DA564E"/>
    <w:rsid w:val="55E816A3"/>
    <w:rsid w:val="5604127D"/>
    <w:rsid w:val="56044E6C"/>
    <w:rsid w:val="56053717"/>
    <w:rsid w:val="56166703"/>
    <w:rsid w:val="56510474"/>
    <w:rsid w:val="56861525"/>
    <w:rsid w:val="56A93273"/>
    <w:rsid w:val="56BD550C"/>
    <w:rsid w:val="56E07045"/>
    <w:rsid w:val="56FF28AF"/>
    <w:rsid w:val="573E5FA9"/>
    <w:rsid w:val="57540E7D"/>
    <w:rsid w:val="577B4878"/>
    <w:rsid w:val="57926973"/>
    <w:rsid w:val="57D1482F"/>
    <w:rsid w:val="57DF4472"/>
    <w:rsid w:val="58175352"/>
    <w:rsid w:val="581F2200"/>
    <w:rsid w:val="583059FA"/>
    <w:rsid w:val="584A0929"/>
    <w:rsid w:val="58554E4A"/>
    <w:rsid w:val="5867106B"/>
    <w:rsid w:val="58CD2491"/>
    <w:rsid w:val="591B41B2"/>
    <w:rsid w:val="59254A26"/>
    <w:rsid w:val="59326325"/>
    <w:rsid w:val="595529D7"/>
    <w:rsid w:val="595C505B"/>
    <w:rsid w:val="595E55C3"/>
    <w:rsid w:val="596E7E20"/>
    <w:rsid w:val="5A5D23AA"/>
    <w:rsid w:val="5A60780B"/>
    <w:rsid w:val="5A8243C7"/>
    <w:rsid w:val="5AB34579"/>
    <w:rsid w:val="5AB40E78"/>
    <w:rsid w:val="5AF80B40"/>
    <w:rsid w:val="5AFC6609"/>
    <w:rsid w:val="5B113480"/>
    <w:rsid w:val="5BD456CE"/>
    <w:rsid w:val="5C0D1F49"/>
    <w:rsid w:val="5CBB0CE2"/>
    <w:rsid w:val="5CC17177"/>
    <w:rsid w:val="5CF306BC"/>
    <w:rsid w:val="5D3F3D64"/>
    <w:rsid w:val="5D664F32"/>
    <w:rsid w:val="5D833043"/>
    <w:rsid w:val="5DD92690"/>
    <w:rsid w:val="5DDB1CFD"/>
    <w:rsid w:val="5E7E6D93"/>
    <w:rsid w:val="5E82459B"/>
    <w:rsid w:val="5EB60631"/>
    <w:rsid w:val="5ED44800"/>
    <w:rsid w:val="5F350BDE"/>
    <w:rsid w:val="5F61632C"/>
    <w:rsid w:val="5FA17648"/>
    <w:rsid w:val="5FE705CB"/>
    <w:rsid w:val="6007714E"/>
    <w:rsid w:val="603D5080"/>
    <w:rsid w:val="606842D0"/>
    <w:rsid w:val="609C1147"/>
    <w:rsid w:val="60D0261B"/>
    <w:rsid w:val="61125481"/>
    <w:rsid w:val="6136564F"/>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260E0"/>
    <w:rsid w:val="66150023"/>
    <w:rsid w:val="6628010D"/>
    <w:rsid w:val="669B4528"/>
    <w:rsid w:val="66CC12D7"/>
    <w:rsid w:val="67134CEF"/>
    <w:rsid w:val="671F1ABD"/>
    <w:rsid w:val="67521A59"/>
    <w:rsid w:val="67C304AB"/>
    <w:rsid w:val="67FC0C9A"/>
    <w:rsid w:val="683F0658"/>
    <w:rsid w:val="689C6793"/>
    <w:rsid w:val="68DB0208"/>
    <w:rsid w:val="68FB170C"/>
    <w:rsid w:val="691B3D98"/>
    <w:rsid w:val="692A4B7B"/>
    <w:rsid w:val="693748F0"/>
    <w:rsid w:val="69846A0E"/>
    <w:rsid w:val="69AA1366"/>
    <w:rsid w:val="69AD798C"/>
    <w:rsid w:val="69D005C0"/>
    <w:rsid w:val="69D80B96"/>
    <w:rsid w:val="69F47AD7"/>
    <w:rsid w:val="6A2C39D4"/>
    <w:rsid w:val="6B197764"/>
    <w:rsid w:val="6B68175F"/>
    <w:rsid w:val="6B8F3F78"/>
    <w:rsid w:val="6BFD799F"/>
    <w:rsid w:val="6C4A2E5A"/>
    <w:rsid w:val="6C8138D0"/>
    <w:rsid w:val="6CAF5DB8"/>
    <w:rsid w:val="6CEF0725"/>
    <w:rsid w:val="6D313F30"/>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33372"/>
    <w:rsid w:val="702B4D16"/>
    <w:rsid w:val="70AA6621"/>
    <w:rsid w:val="7111480F"/>
    <w:rsid w:val="71261F49"/>
    <w:rsid w:val="712E6956"/>
    <w:rsid w:val="71473612"/>
    <w:rsid w:val="71504F32"/>
    <w:rsid w:val="7152309F"/>
    <w:rsid w:val="718F7F65"/>
    <w:rsid w:val="71DA6992"/>
    <w:rsid w:val="723C52A5"/>
    <w:rsid w:val="727B234E"/>
    <w:rsid w:val="728A58B0"/>
    <w:rsid w:val="72D068C7"/>
    <w:rsid w:val="72E42ED8"/>
    <w:rsid w:val="72FC34C3"/>
    <w:rsid w:val="735F4CB9"/>
    <w:rsid w:val="73674C62"/>
    <w:rsid w:val="73845865"/>
    <w:rsid w:val="739B6D9E"/>
    <w:rsid w:val="73BC1D76"/>
    <w:rsid w:val="73EB2DE9"/>
    <w:rsid w:val="73FB6630"/>
    <w:rsid w:val="748D790E"/>
    <w:rsid w:val="749820CC"/>
    <w:rsid w:val="74CE04EC"/>
    <w:rsid w:val="74E76DCD"/>
    <w:rsid w:val="7519079A"/>
    <w:rsid w:val="751D7C0A"/>
    <w:rsid w:val="75722D56"/>
    <w:rsid w:val="758A410A"/>
    <w:rsid w:val="75DB5477"/>
    <w:rsid w:val="75FC6AC3"/>
    <w:rsid w:val="7616619B"/>
    <w:rsid w:val="763D5390"/>
    <w:rsid w:val="76660D7C"/>
    <w:rsid w:val="766C5968"/>
    <w:rsid w:val="76BE0C8F"/>
    <w:rsid w:val="76CD53B2"/>
    <w:rsid w:val="76E6594C"/>
    <w:rsid w:val="770719AC"/>
    <w:rsid w:val="776526CC"/>
    <w:rsid w:val="77A262E1"/>
    <w:rsid w:val="77B13C33"/>
    <w:rsid w:val="77DC095A"/>
    <w:rsid w:val="77ED6F44"/>
    <w:rsid w:val="77F45548"/>
    <w:rsid w:val="77FC440B"/>
    <w:rsid w:val="780841BD"/>
    <w:rsid w:val="784E7CA6"/>
    <w:rsid w:val="78574801"/>
    <w:rsid w:val="7873527F"/>
    <w:rsid w:val="790A6425"/>
    <w:rsid w:val="790E2D96"/>
    <w:rsid w:val="791B54B2"/>
    <w:rsid w:val="792E071B"/>
    <w:rsid w:val="793C0F89"/>
    <w:rsid w:val="795A0A34"/>
    <w:rsid w:val="797339C3"/>
    <w:rsid w:val="79D57D57"/>
    <w:rsid w:val="79F00650"/>
    <w:rsid w:val="7A6242BF"/>
    <w:rsid w:val="7A794513"/>
    <w:rsid w:val="7A9B3811"/>
    <w:rsid w:val="7AB467DA"/>
    <w:rsid w:val="7AB9318D"/>
    <w:rsid w:val="7AE952D2"/>
    <w:rsid w:val="7AF31F07"/>
    <w:rsid w:val="7B5A4B7F"/>
    <w:rsid w:val="7B5D189F"/>
    <w:rsid w:val="7B9F26AF"/>
    <w:rsid w:val="7BB607FE"/>
    <w:rsid w:val="7C7248A0"/>
    <w:rsid w:val="7C976D69"/>
    <w:rsid w:val="7CB40168"/>
    <w:rsid w:val="7CD752DA"/>
    <w:rsid w:val="7CDE40AB"/>
    <w:rsid w:val="7CF057E2"/>
    <w:rsid w:val="7CF2434A"/>
    <w:rsid w:val="7D0F4297"/>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5215</Words>
  <Characters>5783</Characters>
  <Lines>0</Lines>
  <Paragraphs>0</Paragraphs>
  <TotalTime>287</TotalTime>
  <ScaleCrop>false</ScaleCrop>
  <LinksUpToDate>false</LinksUpToDate>
  <CharactersWithSpaces>5794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2024-09-18T04:21:00Z</cp:lastPrinted>
  <dcterms:modified xsi:type="dcterms:W3CDTF">2025-02-24T04:05:13Z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