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沙湾市审计局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sz w:val="32"/>
          <w:szCs w:val="32"/>
          <w:highlight w:val="none"/>
        </w:rPr>
        <w:t>（1）主管市审计工作。负责对全市财政收支和法律法规规定属于审计监督范围的财务收支的真实、合法和效益进行审计监督，对公共资金，国有资产、国有资源和领导干部履行经济责任情况实行审计全覆盖，对领导干部实行自然资源离任审计，对有关重大政策措施</w:t>
      </w:r>
      <w:r>
        <w:rPr>
          <w:rFonts w:hint="eastAsia" w:ascii="仿宋_GB2312" w:eastAsia="仿宋_GB2312"/>
          <w:sz w:val="32"/>
          <w:szCs w:val="32"/>
          <w:highlight w:val="none"/>
          <w:lang w:eastAsia="zh-CN"/>
        </w:rPr>
        <w:t>贯彻落实</w:t>
      </w:r>
      <w:r>
        <w:rPr>
          <w:rFonts w:hint="eastAsia" w:ascii="仿宋_GB2312" w:eastAsia="仿宋_GB2312"/>
          <w:sz w:val="32"/>
          <w:szCs w:val="32"/>
          <w:highlight w:val="none"/>
        </w:rPr>
        <w:t>情况进行跟踪审计。对审计、专项审计调查和核查社会审计机构相关审计报告的结果承担责任，并负有监督被审计单位整改的责任。（2）贯彻执行审计法律法规规章，审计准则和指南并监督执行。制定并组织实施专业领域审计工作规划。对直接审计、调查和核查的事项依法进行审计评价，作出审计决定或提出审计建议。（3）向市委审计委员会提出年度市预算执行和其他财政支出情况审计报告。向政府提出年度市审计预算执行和其他财政收支情况的审计结果报告。受政府委托向市人大常委会提出市本级预算执行和其他财政收支情况的审计工作报告、审计查出问题整改情况报告。向</w:t>
      </w:r>
      <w:r>
        <w:rPr>
          <w:rFonts w:hint="eastAsia" w:ascii="仿宋_GB2312" w:eastAsia="仿宋_GB2312"/>
          <w:sz w:val="32"/>
          <w:szCs w:val="32"/>
          <w:highlight w:val="none"/>
          <w:lang w:eastAsia="zh-CN"/>
        </w:rPr>
        <w:t>市委、市政府</w:t>
      </w:r>
      <w:r>
        <w:rPr>
          <w:rFonts w:hint="eastAsia" w:ascii="仿宋_GB2312" w:eastAsia="仿宋_GB2312"/>
          <w:sz w:val="32"/>
          <w:szCs w:val="32"/>
          <w:highlight w:val="none"/>
        </w:rPr>
        <w:t>报告对其他事项的审计和专项检查审计调查情况及结果。依法向社会公布审计结果。向市有关部门通报审计情况和审计结果。（4）直接审计下列事项，出具审计报告，在法定职权范围内作出审计决定，包括：有关重大政策贯彻落实情况；市本级预算执行情况和其他财政收支；市本级各部门（含部门所属事业单位）预算的执行情况、预算草案和其他财政收支、市本级财政转移支付资金；乡镇人民政府决算草案和其他财政收支；使用市财政资金的事业单位和社会团体的财务收支；市投资和以投资为主的建设项目的预算执行情况和决算；市重大公共工程项目的资金管理使用和建设运营情况；自然资源管理、污染防治和生态保护与修复情况；市国有企业和金融机构、政府规定的市国有资本控股或占主导地位的企业和金融机构境外资产、负债和损益；有关社会保障基金，社会捐赠资金以及其他基金、资金的财务收支；国际组织和外国政府援助、贷款项目；法律法规规定的其他事项。（5）按规定对属于本级审计机关审计监督对象的党政主要领导干部及其他单位、国有企业以及国有控股企业的主要负责人实施经济责任审计和自然资源离任审计。（6）依法检查审计决定执行情况，督促整改审计查出的问题，协助配合有关部门查处相关重大案件。（</w:t>
      </w:r>
      <w:r>
        <w:rPr>
          <w:rFonts w:hint="eastAsia" w:ascii="仿宋_GB2312" w:eastAsia="仿宋_GB2312"/>
          <w:sz w:val="32"/>
          <w:szCs w:val="32"/>
          <w:highlight w:val="none"/>
          <w:lang w:val="en-US" w:eastAsia="zh-CN"/>
        </w:rPr>
        <w:t>7</w:t>
      </w:r>
      <w:r>
        <w:rPr>
          <w:rFonts w:hint="eastAsia" w:ascii="仿宋_GB2312" w:eastAsia="仿宋_GB2312"/>
          <w:sz w:val="32"/>
          <w:szCs w:val="32"/>
          <w:highlight w:val="none"/>
        </w:rPr>
        <w:t>）职能转变。进一步完善市审计管理体制，加强审计工作统筹，优化审计资源配置，充实加强一线审计力量，构建集中统一，全面覆盖，权威高效的审计监督体系。优化审计工作机制，坚持科技强审，完善业务流程，改进工作方式，加强与相关部门的沟通协调，充分调动内部审计和社会审计力量，增强监督合力。</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沙湾市审计局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31</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13</w:t>
      </w:r>
      <w:r>
        <w:rPr>
          <w:rFonts w:hint="eastAsia" w:ascii="仿宋_GB2312" w:eastAsia="仿宋_GB2312"/>
          <w:color w:val="auto"/>
          <w:sz w:val="32"/>
          <w:szCs w:val="32"/>
          <w:highlight w:val="none"/>
        </w:rPr>
        <w:t>人。</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sz w:val="32"/>
          <w:szCs w:val="32"/>
          <w:highlight w:val="none"/>
          <w:lang w:eastAsia="zh-CN"/>
        </w:rPr>
        <w:t>单位无下属预算单位，</w:t>
      </w:r>
      <w:r>
        <w:rPr>
          <w:rFonts w:hint="eastAsia" w:ascii="仿宋_GB2312" w:hAnsi="黑体" w:eastAsia="仿宋_GB2312" w:cs="宋体"/>
          <w:bCs/>
          <w:color w:val="auto"/>
          <w:kern w:val="0"/>
          <w:sz w:val="32"/>
          <w:szCs w:val="32"/>
          <w:highlight w:val="none"/>
        </w:rPr>
        <w:t>下设</w:t>
      </w:r>
      <w:r>
        <w:rPr>
          <w:rFonts w:hint="eastAsia" w:ascii="仿宋_GB2312" w:eastAsia="仿宋_GB2312"/>
          <w:color w:val="auto"/>
          <w:sz w:val="32"/>
          <w:szCs w:val="32"/>
          <w:highlight w:val="none"/>
          <w:lang w:val="en-US" w:eastAsia="zh-CN"/>
        </w:rPr>
        <w:t>5</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kern w:val="0"/>
          <w:sz w:val="32"/>
          <w:szCs w:val="32"/>
          <w:highlight w:val="none"/>
        </w:rPr>
        <w:t>固定资产投资审计所、经济责任审计服务中心、法制审理室、财政综合室、办公室</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收入总计</w:t>
      </w:r>
      <w:r>
        <w:rPr>
          <w:rFonts w:hint="eastAsia" w:ascii="仿宋_GB2312" w:hAnsi="仿宋_GB2312" w:eastAsia="仿宋_GB2312" w:cs="仿宋_GB2312"/>
          <w:color w:val="auto"/>
          <w:sz w:val="32"/>
          <w:szCs w:val="32"/>
          <w:highlight w:val="none"/>
          <w:lang w:val="zh-CN" w:eastAsia="zh-CN"/>
        </w:rPr>
        <w:t>320.83万元，</w:t>
      </w:r>
      <w:r>
        <w:rPr>
          <w:rFonts w:hint="eastAsia" w:ascii="仿宋_GB2312" w:hAnsi="仿宋_GB2312" w:eastAsia="仿宋_GB2312" w:cs="仿宋_GB2312"/>
          <w:color w:val="auto"/>
          <w:sz w:val="32"/>
          <w:szCs w:val="32"/>
          <w:highlight w:val="none"/>
          <w:lang w:val="en-US" w:eastAsia="zh-CN"/>
        </w:rPr>
        <w:t>其中：本年收入合计</w:t>
      </w:r>
      <w:r>
        <w:rPr>
          <w:rFonts w:hint="eastAsia" w:ascii="仿宋_GB2312" w:hAnsi="仿宋_GB2312" w:eastAsia="仿宋_GB2312" w:cs="仿宋_GB2312"/>
          <w:color w:val="auto"/>
          <w:sz w:val="32"/>
          <w:szCs w:val="32"/>
          <w:highlight w:val="none"/>
          <w:lang w:val="zh-CN" w:eastAsia="zh-CN"/>
        </w:rPr>
        <w:t>320.83万元，使用非财政拨款结余0.00万元，年初结转和结余0.00万元。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度</w:t>
      </w:r>
      <w:r>
        <w:rPr>
          <w:rFonts w:hint="eastAsia" w:ascii="仿宋_GB2312" w:hAnsi="仿宋_GB2312" w:eastAsia="仿宋_GB2312" w:cs="仿宋_GB2312"/>
          <w:color w:val="auto"/>
          <w:sz w:val="32"/>
          <w:szCs w:val="32"/>
          <w:highlight w:val="none"/>
          <w:lang w:val="zh-CN" w:eastAsia="zh-CN"/>
        </w:rPr>
        <w:t>支出</w:t>
      </w:r>
      <w:r>
        <w:rPr>
          <w:rFonts w:hint="eastAsia" w:ascii="仿宋_GB2312" w:hAnsi="仿宋_GB2312" w:eastAsia="仿宋_GB2312" w:cs="仿宋_GB2312"/>
          <w:color w:val="auto"/>
          <w:sz w:val="32"/>
          <w:szCs w:val="32"/>
          <w:highlight w:val="none"/>
          <w:lang w:val="en-US" w:eastAsia="zh-CN"/>
        </w:rPr>
        <w:t>总计</w:t>
      </w:r>
      <w:r>
        <w:rPr>
          <w:rFonts w:hint="eastAsia" w:ascii="仿宋_GB2312" w:hAnsi="仿宋_GB2312" w:eastAsia="仿宋_GB2312" w:cs="仿宋_GB2312"/>
          <w:color w:val="auto"/>
          <w:sz w:val="32"/>
          <w:szCs w:val="32"/>
          <w:highlight w:val="none"/>
          <w:lang w:val="zh-CN" w:eastAsia="zh-CN"/>
        </w:rPr>
        <w:t>320.83万元，</w:t>
      </w:r>
      <w:r>
        <w:rPr>
          <w:rFonts w:hint="eastAsia" w:ascii="仿宋_GB2312" w:hAnsi="仿宋_GB2312" w:eastAsia="仿宋_GB2312" w:cs="仿宋_GB2312"/>
          <w:color w:val="auto"/>
          <w:sz w:val="32"/>
          <w:szCs w:val="32"/>
          <w:highlight w:val="none"/>
          <w:lang w:val="en-US" w:eastAsia="zh-CN"/>
        </w:rPr>
        <w:t>其中：本年支出合计</w:t>
      </w:r>
      <w:r>
        <w:rPr>
          <w:rFonts w:hint="eastAsia" w:ascii="仿宋_GB2312" w:hAnsi="仿宋_GB2312" w:eastAsia="仿宋_GB2312" w:cs="仿宋_GB2312"/>
          <w:color w:val="auto"/>
          <w:sz w:val="32"/>
          <w:szCs w:val="32"/>
          <w:highlight w:val="none"/>
          <w:lang w:val="zh-CN" w:eastAsia="zh-CN"/>
        </w:rPr>
        <w:t>320.83万元，</w:t>
      </w:r>
      <w:r>
        <w:rPr>
          <w:rFonts w:hint="eastAsia" w:ascii="仿宋_GB2312" w:hAnsi="仿宋_GB2312" w:eastAsia="仿宋_GB2312" w:cs="仿宋_GB2312"/>
          <w:color w:val="auto"/>
          <w:sz w:val="32"/>
          <w:szCs w:val="32"/>
          <w:highlight w:val="none"/>
          <w:lang w:val="en-US" w:eastAsia="zh-CN"/>
        </w:rPr>
        <w:t>结余分配</w:t>
      </w:r>
      <w:r>
        <w:rPr>
          <w:rFonts w:hint="eastAsia" w:ascii="仿宋_GB2312" w:hAnsi="仿宋_GB2312" w:eastAsia="仿宋_GB2312" w:cs="仿宋_GB2312"/>
          <w:color w:val="auto"/>
          <w:sz w:val="32"/>
          <w:szCs w:val="32"/>
          <w:highlight w:val="none"/>
          <w:lang w:val="zh-CN"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收入支出总体与上年相比</w:t>
      </w:r>
      <w:r>
        <w:rPr>
          <w:rFonts w:hint="eastAsia" w:ascii="仿宋_GB2312" w:hAnsi="仿宋_GB2312" w:eastAsia="仿宋_GB2312" w:cs="仿宋_GB2312"/>
          <w:color w:val="auto"/>
          <w:sz w:val="32"/>
          <w:szCs w:val="32"/>
          <w:highlight w:val="none"/>
          <w:lang w:val="zh-CN" w:eastAsia="zh-CN"/>
        </w:rPr>
        <w:t>，减少9.22万元，下降2.79%，主要原因是：</w:t>
      </w:r>
      <w:r>
        <w:rPr>
          <w:rFonts w:hint="eastAsia" w:ascii="仿宋_GB2312" w:hAnsi="仿宋_GB2312" w:eastAsia="仿宋_GB2312" w:cs="仿宋_GB2312"/>
          <w:color w:val="auto"/>
          <w:sz w:val="32"/>
          <w:szCs w:val="32"/>
          <w:highlight w:val="none"/>
          <w:lang w:val="en-US" w:eastAsia="zh-CN"/>
        </w:rPr>
        <w:t>本年度在职人员减少</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收入320.83万元，其中：财政拨款收入320.83万元，占100.00%；上级补助收入0.00万元，占0.00%；事业收入0.00万元，占0.00%；经营收入0.00万元，占0.00%；附属单位上缴收入0.00万元，占0.00%；其他收入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本年支出320.83万元，其中：基本支出318.68万元，占99.33%；项目支出2.15万元，占0.67%；上缴上级支出0.00万元，占0.00%；经营支出0.00万元，占0.00%；对附属单位补助支出0.00万元，占0.00%。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320.83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320.83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320.83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320.83</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减少9.22万元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下降2.79%,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1人退休，2人调走</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320.33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320.83</w:t>
      </w:r>
      <w:r>
        <w:rPr>
          <w:rFonts w:hint="eastAsia" w:ascii="仿宋_GB2312" w:eastAsia="仿宋_GB2312"/>
          <w:color w:val="auto"/>
          <w:spacing w:val="0"/>
          <w:sz w:val="32"/>
          <w:szCs w:val="32"/>
          <w:highlight w:val="none"/>
          <w:lang w:eastAsia="zh-CN"/>
        </w:rPr>
        <w:t>万元，预决算差异率0.16%，主要原因是：</w:t>
      </w:r>
      <w:r>
        <w:rPr>
          <w:rFonts w:hint="eastAsia" w:ascii="仿宋_GB2312" w:eastAsia="仿宋_GB2312"/>
          <w:color w:val="auto"/>
          <w:spacing w:val="0"/>
          <w:sz w:val="32"/>
          <w:szCs w:val="32"/>
          <w:highlight w:val="none"/>
          <w:lang w:val="en-US" w:eastAsia="zh-CN"/>
        </w:rPr>
        <w:t>补发2022年度绩效工资。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2023年度一般公共预算财政拨款支出320.83万元，占本年支出合计的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减少9.22万元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下降2.79%,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1人退休，2人调走。</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320.33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320.83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0.16%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补发2022年度绩效工资。</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240.85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75.07%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42.26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13.17%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14.38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4.48%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21.19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6.60%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2.15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0.67%</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1.卫生健康支出（类）行政事业单位医疗（款）行政单位医疗（项）:支出决算数为4.90万元，比上年决算减少6.85万元，下降58.30%，主要原因是：医保政策变化，行政退休人员退休后，不再需要缴纳基本医疗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2.卫生健康支出（类）行政事业单位医疗（款）事业单位医疗（项）:支出决算数为7.00万元，比上年决算增加0.58万元，增长9.03%，主要原因是：单位本年调入事业编制1人，事业医疗缴费增加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3.卫生健康支出（类）行政事业单位医疗（款）公务员医疗补助（项）:支出决算数为2.47万元，比上年决算减少2.65万元，下降51.76%，主要原因是：医保政策变化，行政退休人员退休后，不再需要缴纳公务员医疗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一般公共服务支出（类）审计事务（款）行政运行（项）:支出决算数为104.55万元，比上年决算减少143.87万元，下降57.91%，主要原因是：2022年决算事业运行合并在行政运行支出中，2023年事业运行和行政运行经费分开核算，单独列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5.住房保障支出（类）住房改革支出（款）住房公积金（项）:支出决算数为21.19万元，比上年决算减少0.88万元，下降3.99%，主要原因是：</w:t>
      </w:r>
      <w:r>
        <w:rPr>
          <w:rFonts w:hint="eastAsia" w:ascii="仿宋_GB2312" w:hAnsi="仿宋_GB2312" w:eastAsia="仿宋_GB2312" w:cs="仿宋_GB2312"/>
          <w:color w:val="auto"/>
          <w:kern w:val="2"/>
          <w:sz w:val="32"/>
          <w:szCs w:val="32"/>
          <w:highlight w:val="none"/>
          <w:lang w:val="zh-CN" w:eastAsia="zh-CN" w:bidi="ar-SA"/>
        </w:rPr>
        <w:t>单位本年</w:t>
      </w:r>
      <w:r>
        <w:rPr>
          <w:rFonts w:hint="eastAsia" w:ascii="仿宋_GB2312" w:hAnsi="仿宋_GB2312" w:eastAsia="仿宋_GB2312" w:cs="仿宋_GB2312"/>
          <w:color w:val="auto"/>
          <w:kern w:val="2"/>
          <w:sz w:val="32"/>
          <w:szCs w:val="32"/>
          <w:highlight w:val="none"/>
          <w:lang w:val="en-US" w:eastAsia="zh-CN" w:bidi="ar-SA"/>
        </w:rPr>
        <w:t>1人退休，公积金缴费减少。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事业单位离退休（项）:支出决算数为0.50万元，比上年决算增加0.32万元，增长177.78%，主要原因是：2023年支付2022年退休人员生活补贴，2023年退休人员生活补贴提高</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7.社会保障和就业支出（类）行政事业单位养老支出（款）行政单位离退休（项）:支出决算数为6.59万元，比上年决算增加2.59万元，增长64.75%，主要原因是：增加1名退休人员，补发上年度退休人员增资。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8.社会保障和就业支出（类）行政事业单位养老支出（款）机关事业单位职业年金缴费支出（项）:支出决算数为7.43万元，比上年决算增加7.43万元，增长100%，主要原因是：本年1人在职转退休，缴纳职业年金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FF0000"/>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9.其他支出（类）其他支出（款）其他支出（项）:支出决算数为2.15万元，比上年决算减少5.50万元，下降71.90%，主要原因是：</w:t>
      </w:r>
      <w:r>
        <w:rPr>
          <w:rFonts w:hint="eastAsia" w:ascii="仿宋_GB2312" w:hAnsi="仿宋_GB2312" w:eastAsia="仿宋_GB2312" w:cs="仿宋_GB2312"/>
          <w:color w:val="auto"/>
          <w:kern w:val="2"/>
          <w:sz w:val="32"/>
          <w:szCs w:val="32"/>
          <w:highlight w:val="none"/>
          <w:lang w:val="zh-CN" w:eastAsia="zh-CN" w:bidi="ar-SA"/>
        </w:rPr>
        <w:t>本年“为民办实事”工作经费没有使用完，结转至下一年。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10.一般公共服务支出（类）审计事务（款）事业运行（项）:支出决算数为136.30万元，比上年决算增加136.30万元，增长100%，主要原因是：2022年决算事业运行合并在行政运行支出中，2023年事业运行和行政运行经费分开核算，单独列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社会保障和就业支出（类）行政事业单位养老支出（款）机关事业单位基本养老保险缴费支出（项）:支出决算数为27.74万元，比上年决算增加3.30万元，增长13.50%，主要原因是：人员基础工资调整增加对应养老保险基数调整增加，故养老保险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318.68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308.86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基本工资、津贴补贴、奖金、绩效工资、机关事业单位基本养老保险缴费、职业年金缴费、职工基本医疗保险缴费、公务员医疗补助缴费、其他社会保障缴费、住房公积金、退休费、生活补助。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9.82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办公费、印刷费、手续费、电费、邮电费、取暖费、差旅费、公务接待费、工会经费、公务用车运行维护费</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“三公”经费支出1.49万元，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减少0.21万元，</w:t>
      </w:r>
      <w:r>
        <w:rPr>
          <w:rFonts w:hint="eastAsia" w:ascii="仿宋_GB2312" w:eastAsia="仿宋_GB2312"/>
          <w:color w:val="auto"/>
          <w:spacing w:val="0"/>
          <w:sz w:val="32"/>
          <w:szCs w:val="32"/>
          <w:highlight w:val="none"/>
          <w:lang w:val="en-US" w:eastAsia="zh-CN"/>
        </w:rPr>
        <w:t>下降12.35%，</w:t>
      </w:r>
      <w:r>
        <w:rPr>
          <w:rFonts w:hint="eastAsia" w:ascii="仿宋_GB2312" w:eastAsia="仿宋_GB2312"/>
          <w:color w:val="auto"/>
          <w:sz w:val="32"/>
          <w:szCs w:val="32"/>
          <w:highlight w:val="none"/>
          <w:lang w:val="zh-CN" w:eastAsia="zh-CN"/>
        </w:rPr>
        <w:t>主要原因是：去年公务车上交机关事务局，</w:t>
      </w:r>
      <w:r>
        <w:rPr>
          <w:rFonts w:hint="eastAsia" w:ascii="仿宋_GB2312" w:eastAsia="仿宋_GB2312"/>
          <w:color w:val="auto"/>
          <w:sz w:val="32"/>
          <w:szCs w:val="32"/>
          <w:highlight w:val="none"/>
          <w:lang w:val="en-US" w:eastAsia="zh-CN"/>
        </w:rPr>
        <w:t>车辆维修费用减少</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w:t>
      </w:r>
      <w:r>
        <w:rPr>
          <w:rFonts w:hint="eastAsia" w:ascii="仿宋_GB2312" w:eastAsia="仿宋_GB2312"/>
          <w:color w:val="auto"/>
          <w:sz w:val="32"/>
          <w:szCs w:val="32"/>
          <w:highlight w:val="none"/>
          <w:lang w:val="zh-CN" w:eastAsia="zh-CN"/>
        </w:rPr>
        <w:t>无因公出国（境）费支出；公务用车购置及运行维护费支出1.23万元，占82.55%，比上年减少0.47万元，</w:t>
      </w:r>
      <w:r>
        <w:rPr>
          <w:rFonts w:hint="eastAsia" w:ascii="仿宋_GB2312" w:eastAsia="仿宋_GB2312"/>
          <w:color w:val="auto"/>
          <w:spacing w:val="0"/>
          <w:sz w:val="32"/>
          <w:szCs w:val="32"/>
          <w:highlight w:val="none"/>
          <w:lang w:val="en-US" w:eastAsia="zh-CN"/>
        </w:rPr>
        <w:t>下降27.65%,</w:t>
      </w:r>
      <w:r>
        <w:rPr>
          <w:rFonts w:hint="eastAsia" w:ascii="仿宋_GB2312" w:eastAsia="仿宋_GB2312"/>
          <w:color w:val="auto"/>
          <w:sz w:val="32"/>
          <w:szCs w:val="32"/>
          <w:highlight w:val="none"/>
          <w:lang w:val="zh-CN" w:eastAsia="zh-CN"/>
        </w:rPr>
        <w:t>主要原因是：去年公车上交机关事务局，</w:t>
      </w:r>
      <w:r>
        <w:rPr>
          <w:rFonts w:hint="eastAsia" w:ascii="仿宋_GB2312" w:eastAsia="仿宋_GB2312"/>
          <w:color w:val="auto"/>
          <w:sz w:val="32"/>
          <w:szCs w:val="32"/>
          <w:highlight w:val="none"/>
          <w:lang w:val="en-US" w:eastAsia="zh-CN"/>
        </w:rPr>
        <w:t>车辆维修费用减少</w:t>
      </w:r>
      <w:r>
        <w:rPr>
          <w:rFonts w:hint="eastAsia" w:ascii="仿宋_GB2312" w:eastAsia="仿宋_GB2312"/>
          <w:color w:val="auto"/>
          <w:sz w:val="32"/>
          <w:szCs w:val="32"/>
          <w:highlight w:val="none"/>
          <w:lang w:val="zh-CN" w:eastAsia="zh-CN"/>
        </w:rPr>
        <w:t>；公务接待费支出0.26万元，占17.45%，比上年增加0.26万元，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本年接待上级单位检查就餐</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1.23万元，其中：公务用车购置费0.00万元，公务用车运行维护费1.23万元。公务用车运行维护费开支内容包括车辆维修、车辆保险和加油费用。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原因是：去年</w:t>
      </w:r>
      <w:r>
        <w:rPr>
          <w:rFonts w:hint="eastAsia" w:ascii="仿宋_GB2312" w:eastAsia="仿宋_GB2312"/>
          <w:color w:val="auto"/>
          <w:sz w:val="32"/>
          <w:szCs w:val="32"/>
          <w:highlight w:val="none"/>
          <w:lang w:val="en-US" w:eastAsia="zh-CN"/>
        </w:rPr>
        <w:t>2辆</w:t>
      </w:r>
      <w:r>
        <w:rPr>
          <w:rFonts w:hint="eastAsia" w:ascii="仿宋_GB2312" w:eastAsia="仿宋_GB2312"/>
          <w:color w:val="auto"/>
          <w:sz w:val="32"/>
          <w:szCs w:val="32"/>
          <w:highlight w:val="none"/>
          <w:lang w:val="zh-CN" w:eastAsia="zh-CN"/>
        </w:rPr>
        <w:t>公车上交机关事务局，本年</w:t>
      </w:r>
      <w:r>
        <w:rPr>
          <w:rFonts w:hint="eastAsia" w:ascii="仿宋_GB2312" w:eastAsia="仿宋_GB2312"/>
          <w:color w:val="auto"/>
          <w:sz w:val="32"/>
          <w:szCs w:val="32"/>
          <w:highlight w:val="none"/>
          <w:lang w:val="en-US" w:eastAsia="zh-CN"/>
        </w:rPr>
        <w:t>11月才申请要回1辆</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公务接待费0.26万元，开支内容包括餐费。单位全年安排的国内公务接待4批次，50人次。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预算数1.49万元，决算数1.49万元，预决算差异率0.00%，主要原因是：财政拨款“三公”经费支出预算数和决算数无变化，预决算无差异。其中：因公出国（境）费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预算数1.23万元，决算数1.23万元，预决算差异率0.00%，主要原因是：公务用车运行费预算数和决算数无变化，预决算无差异；公务接待费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预算数0.26万元，决算数0.26万元，预决算差异率0.00%，主要原因是：</w:t>
      </w:r>
      <w:r>
        <w:rPr>
          <w:rFonts w:hint="eastAsia" w:ascii="仿宋_GB2312" w:eastAsia="仿宋_GB2312"/>
          <w:color w:val="auto"/>
          <w:sz w:val="32"/>
          <w:szCs w:val="32"/>
          <w:highlight w:val="none"/>
          <w:lang w:val="en-US" w:eastAsia="zh-CN"/>
        </w:rPr>
        <w:t>公务接待</w:t>
      </w:r>
      <w:r>
        <w:rPr>
          <w:rFonts w:hint="eastAsia" w:ascii="仿宋_GB2312" w:eastAsia="仿宋_GB2312"/>
          <w:color w:val="auto"/>
          <w:sz w:val="32"/>
          <w:szCs w:val="32"/>
          <w:highlight w:val="none"/>
          <w:lang w:val="zh-CN" w:eastAsia="zh-CN"/>
        </w:rPr>
        <w:t>费预算数和决算数无变化，预决算无差异。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沙湾市审计局（行政单位和参照公务员法管理事业单位）机关运行经费支出9.82万元，</w:t>
      </w:r>
      <w:r>
        <w:rPr>
          <w:rFonts w:hint="eastAsia" w:ascii="仿宋_GB2312" w:hAnsi="仿宋_GB2312" w:eastAsia="仿宋_GB2312" w:cs="仿宋_GB2312"/>
          <w:color w:val="auto"/>
          <w:sz w:val="32"/>
          <w:szCs w:val="32"/>
          <w:highlight w:val="none"/>
          <w:lang w:val="zh-CN" w:eastAsia="zh-CN"/>
        </w:rPr>
        <w:t>比上年减少2.61万元，下降21.00%，主要原因是：</w:t>
      </w:r>
      <w:r>
        <w:rPr>
          <w:rFonts w:hint="eastAsia" w:ascii="仿宋_GB2312" w:hAnsi="仿宋_GB2312" w:eastAsia="仿宋_GB2312" w:cs="仿宋_GB2312"/>
          <w:color w:val="auto"/>
          <w:sz w:val="32"/>
          <w:szCs w:val="32"/>
          <w:highlight w:val="none"/>
          <w:lang w:val="en-US" w:eastAsia="zh-CN"/>
        </w:rPr>
        <w:t>2人调走</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5.32万元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其中：政府采购货物支出3.94万元、政府采购工程支出0.00万元、政府采购服务支出1.39万元。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授予中小企业合同金额5.32万元，占政府采购支出总额的100.00%，其中：授予小微企业合同金额5.32万元，占政府采购支出总额的100.00%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Times New Roman" w:eastAsia="仿宋_GB2312" w:cs="Times New Roman"/>
          <w:color w:val="auto"/>
          <w:kern w:val="2"/>
          <w:sz w:val="32"/>
          <w:szCs w:val="32"/>
          <w:highlight w:val="none"/>
          <w:lang w:val="en-US" w:eastAsia="zh-CN" w:bidi="ar-SA"/>
        </w:rPr>
        <w:t>截至2023</w:t>
      </w:r>
      <w:r>
        <w:rPr>
          <w:rFonts w:hint="eastAsia" w:ascii="仿宋_GB2312" w:hAnsi="Times New Roman" w:eastAsia="仿宋_GB2312" w:cs="Times New Roman"/>
          <w:color w:val="auto"/>
          <w:kern w:val="2"/>
          <w:sz w:val="32"/>
          <w:szCs w:val="32"/>
          <w:highlight w:val="none"/>
          <w:lang w:val="zh-CN" w:eastAsia="zh-CN" w:bidi="ar-SA"/>
        </w:rPr>
        <w:t>年</w:t>
      </w:r>
      <w:r>
        <w:rPr>
          <w:rFonts w:hint="eastAsia" w:ascii="仿宋_GB2312" w:hAnsi="Times New Roman" w:eastAsia="仿宋_GB2312" w:cs="Times New Roman"/>
          <w:color w:val="auto"/>
          <w:kern w:val="2"/>
          <w:sz w:val="32"/>
          <w:szCs w:val="32"/>
          <w:highlight w:val="none"/>
          <w:lang w:val="en-US" w:eastAsia="zh-CN" w:bidi="ar-SA"/>
        </w:rPr>
        <w:t>12月31日</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仿宋_GB2312" w:hAnsi="Times New Roman" w:eastAsia="仿宋_GB2312" w:cs="Times New Roman"/>
          <w:color w:val="auto"/>
          <w:kern w:val="2"/>
          <w:sz w:val="32"/>
          <w:szCs w:val="32"/>
          <w:highlight w:val="none"/>
          <w:lang w:val="en-US" w:eastAsia="zh-CN" w:bidi="ar-SA"/>
        </w:rPr>
        <w:t>固定资产原值</w:t>
      </w:r>
      <w:r>
        <w:rPr>
          <w:rFonts w:hint="eastAsia" w:ascii="仿宋_GB2312" w:hAnsi="Times New Roman" w:eastAsia="仿宋_GB2312" w:cs="Times New Roman"/>
          <w:color w:val="auto"/>
          <w:kern w:val="2"/>
          <w:sz w:val="32"/>
          <w:szCs w:val="32"/>
          <w:highlight w:val="none"/>
          <w:lang w:val="zh-CN" w:eastAsia="zh-CN" w:bidi="ar-SA"/>
        </w:rPr>
        <w:t>95.44</w:t>
      </w:r>
      <w:r>
        <w:rPr>
          <w:rFonts w:hint="eastAsia" w:ascii="仿宋_GB2312" w:hAnsi="Times New Roman" w:eastAsia="仿宋_GB2312" w:cs="Times New Roman"/>
          <w:color w:val="auto"/>
          <w:kern w:val="2"/>
          <w:sz w:val="32"/>
          <w:szCs w:val="32"/>
          <w:highlight w:val="none"/>
          <w:lang w:val="en-US" w:eastAsia="zh-CN" w:bidi="ar-SA"/>
        </w:rPr>
        <w:t>万元，房</w:t>
      </w:r>
      <w:r>
        <w:rPr>
          <w:rFonts w:hint="eastAsia" w:ascii="仿宋_GB2312" w:hAnsi="Times New Roman" w:eastAsia="仿宋_GB2312" w:cs="Times New Roman"/>
          <w:color w:val="auto"/>
          <w:kern w:val="2"/>
          <w:sz w:val="32"/>
          <w:szCs w:val="32"/>
          <w:highlight w:val="none"/>
          <w:lang w:val="zh-CN" w:eastAsia="zh-CN" w:bidi="ar-SA"/>
        </w:rPr>
        <w:t>屋0.00平方米，价值0.00万元。车辆2辆，价值35.26万元，其中：副部（省）级及以上领导用车0辆、主要</w:t>
      </w:r>
      <w:r>
        <w:rPr>
          <w:rFonts w:hint="eastAsia" w:ascii="仿宋_GB2312" w:hAnsi="Times New Roman" w:eastAsia="仿宋_GB2312" w:cs="Times New Roman"/>
          <w:color w:val="auto"/>
          <w:kern w:val="2"/>
          <w:sz w:val="32"/>
          <w:szCs w:val="32"/>
          <w:highlight w:val="none"/>
          <w:lang w:val="en-US" w:eastAsia="zh-CN" w:bidi="ar-SA"/>
        </w:rPr>
        <w:t>负责人</w:t>
      </w:r>
      <w:r>
        <w:rPr>
          <w:rFonts w:hint="eastAsia" w:ascii="仿宋_GB2312" w:hAnsi="Times New Roman" w:eastAsia="仿宋_GB2312" w:cs="Times New Roman"/>
          <w:color w:val="auto"/>
          <w:kern w:val="2"/>
          <w:sz w:val="32"/>
          <w:szCs w:val="32"/>
          <w:highlight w:val="none"/>
          <w:lang w:val="zh-CN" w:eastAsia="zh-CN" w:bidi="ar-SA"/>
        </w:rPr>
        <w:t>用车0辆、机要通信用车0辆、应急保障用车0辆、执法执勤用车0辆、特种专业技术用车0辆、离退休干部</w:t>
      </w:r>
      <w:r>
        <w:rPr>
          <w:rFonts w:hint="eastAsia" w:ascii="仿宋_GB2312" w:hAnsi="Times New Roman" w:eastAsia="仿宋_GB2312" w:cs="Times New Roman"/>
          <w:color w:val="auto"/>
          <w:kern w:val="2"/>
          <w:sz w:val="32"/>
          <w:szCs w:val="32"/>
          <w:highlight w:val="none"/>
          <w:lang w:val="en-US" w:eastAsia="zh-CN" w:bidi="ar-SA"/>
        </w:rPr>
        <w:t>服务</w:t>
      </w:r>
      <w:r>
        <w:rPr>
          <w:rFonts w:hint="eastAsia" w:ascii="仿宋_GB2312" w:hAnsi="Times New Roman" w:eastAsia="仿宋_GB2312" w:cs="Times New Roman"/>
          <w:color w:val="auto"/>
          <w:kern w:val="2"/>
          <w:sz w:val="32"/>
          <w:szCs w:val="32"/>
          <w:highlight w:val="none"/>
          <w:lang w:val="zh-CN" w:eastAsia="zh-CN" w:bidi="ar-SA"/>
        </w:rPr>
        <w:t>用车0辆、其他用车2辆，其他用车主要是：服务机关办公用车；单价100万元（含）以上设备（不含车辆）0</w:t>
      </w:r>
      <w:r>
        <w:rPr>
          <w:rFonts w:hint="eastAsia" w:ascii="仿宋_GB2312" w:hAnsi="Times New Roman" w:eastAsia="仿宋_GB2312" w:cs="Times New Roman"/>
          <w:color w:val="auto"/>
          <w:kern w:val="2"/>
          <w:sz w:val="32"/>
          <w:szCs w:val="32"/>
          <w:highlight w:val="none"/>
          <w:lang w:val="en-US" w:eastAsia="zh-CN" w:bidi="ar-SA"/>
        </w:rPr>
        <w:t>台（</w:t>
      </w:r>
      <w:r>
        <w:rPr>
          <w:rFonts w:hint="eastAsia" w:ascii="仿宋_GB2312" w:hAnsi="Times New Roman" w:eastAsia="仿宋_GB2312" w:cs="Times New Roman"/>
          <w:color w:val="auto"/>
          <w:kern w:val="2"/>
          <w:sz w:val="32"/>
          <w:szCs w:val="32"/>
          <w:highlight w:val="none"/>
          <w:lang w:val="zh-CN" w:eastAsia="zh-CN" w:bidi="ar-SA"/>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hint="default"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zh-CN" w:eastAsia="zh-CN" w:bidi="ar-SA"/>
        </w:rPr>
        <w:t>根据预算绩效管理要求，我</w:t>
      </w:r>
      <w:r>
        <w:rPr>
          <w:rFonts w:hint="eastAsia" w:ascii="仿宋_GB2312" w:hAnsi="Times New Roman" w:eastAsia="仿宋_GB2312" w:cs="Times New Roman"/>
          <w:color w:val="auto"/>
          <w:kern w:val="2"/>
          <w:sz w:val="32"/>
          <w:szCs w:val="32"/>
          <w:highlight w:val="none"/>
          <w:lang w:val="en-US" w:eastAsia="zh-CN" w:bidi="ar-SA"/>
        </w:rPr>
        <w:t>单位</w:t>
      </w:r>
      <w:r>
        <w:rPr>
          <w:rFonts w:hint="eastAsia" w:ascii="仿宋_GB2312" w:hAnsi="Times New Roman" w:eastAsia="仿宋_GB2312" w:cs="Times New Roman"/>
          <w:color w:val="auto"/>
          <w:kern w:val="2"/>
          <w:sz w:val="32"/>
          <w:szCs w:val="32"/>
          <w:highlight w:val="none"/>
          <w:lang w:val="zh-CN" w:eastAsia="zh-CN" w:bidi="ar-SA"/>
        </w:rPr>
        <w:t>2023年度预算绩效管理整体</w:t>
      </w:r>
      <w:r>
        <w:rPr>
          <w:rFonts w:hint="eastAsia" w:ascii="仿宋_GB2312" w:hAnsi="Times New Roman" w:eastAsia="仿宋_GB2312" w:cs="Times New Roman"/>
          <w:color w:val="auto"/>
          <w:kern w:val="2"/>
          <w:sz w:val="32"/>
          <w:szCs w:val="32"/>
          <w:highlight w:val="none"/>
          <w:lang w:val="en-US" w:eastAsia="zh-CN" w:bidi="ar-SA"/>
        </w:rPr>
        <w:t>支出</w:t>
      </w:r>
      <w:r>
        <w:rPr>
          <w:rFonts w:hint="eastAsia" w:ascii="仿宋_GB2312" w:hAnsi="Times New Roman" w:eastAsia="仿宋_GB2312" w:cs="Times New Roman"/>
          <w:color w:val="auto"/>
          <w:kern w:val="2"/>
          <w:sz w:val="32"/>
          <w:szCs w:val="32"/>
          <w:highlight w:val="none"/>
          <w:lang w:val="zh-CN" w:eastAsia="zh-CN" w:bidi="ar-SA"/>
        </w:rPr>
        <w:t>绩效自评表</w:t>
      </w:r>
      <w:r>
        <w:rPr>
          <w:rFonts w:hint="eastAsia" w:ascii="仿宋_GB2312" w:hAnsi="Times New Roman" w:eastAsia="仿宋_GB2312" w:cs="Times New Roman"/>
          <w:color w:val="auto"/>
          <w:kern w:val="2"/>
          <w:sz w:val="32"/>
          <w:szCs w:val="32"/>
          <w:highlight w:val="none"/>
          <w:lang w:val="en-US" w:eastAsia="zh-CN" w:bidi="ar-SA"/>
        </w:rPr>
        <w:t>1个，全年预算总额</w:t>
      </w:r>
      <w:r>
        <w:rPr>
          <w:rFonts w:hint="eastAsia" w:ascii="仿宋_GB2312" w:hAnsi="Times New Roman" w:eastAsia="仿宋_GB2312" w:cs="Times New Roman"/>
          <w:color w:val="auto"/>
          <w:kern w:val="2"/>
          <w:sz w:val="32"/>
          <w:szCs w:val="32"/>
          <w:highlight w:val="none"/>
          <w:lang w:val="zh-CN" w:eastAsia="zh-CN" w:bidi="ar-SA"/>
        </w:rPr>
        <w:t>3</w:t>
      </w:r>
      <w:r>
        <w:rPr>
          <w:rFonts w:hint="eastAsia" w:ascii="仿宋_GB2312" w:eastAsia="仿宋_GB2312" w:cs="Times New Roman"/>
          <w:color w:val="auto"/>
          <w:kern w:val="2"/>
          <w:sz w:val="32"/>
          <w:szCs w:val="32"/>
          <w:highlight w:val="none"/>
          <w:lang w:val="en-US" w:eastAsia="zh-CN" w:bidi="ar-SA"/>
        </w:rPr>
        <w:t>25.33</w:t>
      </w:r>
      <w:r>
        <w:rPr>
          <w:rFonts w:hint="eastAsia" w:ascii="仿宋_GB2312" w:hAnsi="Times New Roman" w:eastAsia="仿宋_GB2312" w:cs="Times New Roman"/>
          <w:color w:val="auto"/>
          <w:kern w:val="2"/>
          <w:sz w:val="32"/>
          <w:szCs w:val="32"/>
          <w:highlight w:val="none"/>
          <w:lang w:val="zh-CN" w:eastAsia="zh-CN" w:bidi="ar-SA"/>
        </w:rPr>
        <w:t>万元，</w:t>
      </w:r>
      <w:r>
        <w:rPr>
          <w:rFonts w:hint="eastAsia" w:ascii="仿宋_GB2312" w:hAnsi="Times New Roman" w:eastAsia="仿宋_GB2312" w:cs="Times New Roman"/>
          <w:color w:val="auto"/>
          <w:kern w:val="2"/>
          <w:sz w:val="32"/>
          <w:szCs w:val="32"/>
          <w:highlight w:val="none"/>
          <w:lang w:val="en-US" w:eastAsia="zh-CN" w:bidi="ar-SA"/>
        </w:rPr>
        <w:t>实际执行总额</w:t>
      </w:r>
      <w:r>
        <w:rPr>
          <w:rFonts w:hint="eastAsia" w:ascii="仿宋_GB2312" w:hAnsi="Times New Roman" w:eastAsia="仿宋_GB2312" w:cs="Times New Roman"/>
          <w:color w:val="auto"/>
          <w:kern w:val="2"/>
          <w:sz w:val="32"/>
          <w:szCs w:val="32"/>
          <w:highlight w:val="none"/>
          <w:lang w:val="zh-CN" w:eastAsia="zh-CN" w:bidi="ar-SA"/>
        </w:rPr>
        <w:t>320.83万元</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仿宋_GB2312" w:hAnsi="Times New Roman" w:eastAsia="仿宋_GB2312" w:cs="Times New Roman"/>
          <w:color w:val="auto"/>
          <w:kern w:val="2"/>
          <w:sz w:val="32"/>
          <w:szCs w:val="32"/>
          <w:highlight w:val="none"/>
          <w:lang w:val="zh-CN" w:eastAsia="zh-CN" w:bidi="ar-SA"/>
        </w:rPr>
        <w:t>预算绩效评价项目</w:t>
      </w:r>
      <w:r>
        <w:rPr>
          <w:rFonts w:hint="eastAsia" w:ascii="仿宋_GB2312" w:hAnsi="Times New Roman" w:eastAsia="仿宋_GB2312" w:cs="Times New Roman"/>
          <w:color w:val="auto"/>
          <w:kern w:val="2"/>
          <w:sz w:val="32"/>
          <w:szCs w:val="32"/>
          <w:highlight w:val="none"/>
          <w:lang w:val="en-US" w:eastAsia="zh-CN" w:bidi="ar-SA"/>
        </w:rPr>
        <w:t>0</w:t>
      </w:r>
      <w:r>
        <w:rPr>
          <w:rFonts w:hint="eastAsia" w:ascii="仿宋_GB2312" w:hAnsi="Times New Roman" w:eastAsia="仿宋_GB2312" w:cs="Times New Roman"/>
          <w:color w:val="auto"/>
          <w:kern w:val="2"/>
          <w:sz w:val="32"/>
          <w:szCs w:val="32"/>
          <w:highlight w:val="none"/>
          <w:lang w:val="zh-CN" w:eastAsia="zh-CN" w:bidi="ar-SA"/>
        </w:rPr>
        <w:t>个，</w:t>
      </w:r>
      <w:r>
        <w:rPr>
          <w:rFonts w:hint="eastAsia" w:ascii="仿宋_GB2312" w:hAnsi="Times New Roman" w:eastAsia="仿宋_GB2312" w:cs="Times New Roman"/>
          <w:color w:val="auto"/>
          <w:kern w:val="2"/>
          <w:sz w:val="32"/>
          <w:szCs w:val="32"/>
          <w:highlight w:val="none"/>
          <w:lang w:val="en-US" w:eastAsia="zh-CN" w:bidi="ar-SA"/>
        </w:rPr>
        <w:t>全年预算数0</w:t>
      </w:r>
      <w:r>
        <w:rPr>
          <w:rFonts w:hint="eastAsia" w:ascii="仿宋_GB2312" w:hAnsi="Times New Roman" w:eastAsia="仿宋_GB2312" w:cs="Times New Roman"/>
          <w:color w:val="auto"/>
          <w:kern w:val="2"/>
          <w:sz w:val="32"/>
          <w:szCs w:val="32"/>
          <w:highlight w:val="none"/>
          <w:lang w:val="zh-CN" w:eastAsia="zh-CN" w:bidi="ar-SA"/>
        </w:rPr>
        <w:t>万元，</w:t>
      </w:r>
      <w:r>
        <w:rPr>
          <w:rFonts w:hint="eastAsia" w:ascii="仿宋_GB2312" w:hAnsi="Times New Roman" w:eastAsia="仿宋_GB2312" w:cs="Times New Roman"/>
          <w:color w:val="auto"/>
          <w:kern w:val="2"/>
          <w:sz w:val="32"/>
          <w:szCs w:val="32"/>
          <w:highlight w:val="none"/>
          <w:lang w:val="en-US" w:eastAsia="zh-CN" w:bidi="ar-SA"/>
        </w:rPr>
        <w:t>全年执行数0</w:t>
      </w:r>
      <w:r>
        <w:rPr>
          <w:rFonts w:hint="eastAsia" w:ascii="仿宋_GB2312" w:hAnsi="Times New Roman" w:eastAsia="仿宋_GB2312" w:cs="Times New Roman"/>
          <w:color w:val="auto"/>
          <w:kern w:val="2"/>
          <w:sz w:val="32"/>
          <w:szCs w:val="32"/>
          <w:highlight w:val="none"/>
          <w:lang w:val="zh-CN" w:eastAsia="zh-CN" w:bidi="ar-SA"/>
        </w:rPr>
        <w:t>万元。预算绩效管理取得的成效：</w:t>
      </w:r>
      <w:r>
        <w:rPr>
          <w:rFonts w:hint="eastAsia" w:ascii="仿宋_GB2312" w:eastAsia="仿宋_GB2312" w:cs="Times New Roman"/>
          <w:color w:val="auto"/>
          <w:kern w:val="2"/>
          <w:sz w:val="32"/>
          <w:szCs w:val="32"/>
          <w:highlight w:val="none"/>
          <w:lang w:val="en-US" w:eastAsia="zh-CN" w:bidi="ar-SA"/>
        </w:rPr>
        <w:t>我单位无绩效自评项目</w:t>
      </w:r>
      <w:r>
        <w:rPr>
          <w:rFonts w:hint="eastAsia" w:ascii="仿宋_GB2312" w:hAnsi="Times New Roman" w:eastAsia="仿宋_GB2312" w:cs="Times New Roman"/>
          <w:color w:val="auto"/>
          <w:kern w:val="2"/>
          <w:sz w:val="32"/>
          <w:szCs w:val="32"/>
          <w:highlight w:val="none"/>
          <w:lang w:val="zh-CN" w:eastAsia="zh-CN" w:bidi="ar-SA"/>
        </w:rPr>
        <w:t>。发现的问题及原因：</w:t>
      </w:r>
      <w:r>
        <w:rPr>
          <w:rFonts w:hint="eastAsia" w:ascii="仿宋_GB2312" w:eastAsia="仿宋_GB2312" w:cs="Times New Roman"/>
          <w:color w:val="auto"/>
          <w:kern w:val="2"/>
          <w:sz w:val="32"/>
          <w:szCs w:val="32"/>
          <w:highlight w:val="none"/>
          <w:lang w:val="en-US" w:eastAsia="zh-CN" w:bidi="ar-SA"/>
        </w:rPr>
        <w:t>我单位无绩效自评项目</w:t>
      </w:r>
      <w:r>
        <w:rPr>
          <w:rFonts w:hint="eastAsia" w:ascii="仿宋_GB2312" w:hAnsi="Times New Roman" w:eastAsia="仿宋_GB2312" w:cs="Times New Roman"/>
          <w:color w:val="auto"/>
          <w:kern w:val="2"/>
          <w:sz w:val="32"/>
          <w:szCs w:val="32"/>
          <w:highlight w:val="none"/>
          <w:lang w:val="zh-CN" w:eastAsia="zh-CN" w:bidi="ar-SA"/>
        </w:rPr>
        <w:t>。下一步改进措施：</w:t>
      </w:r>
      <w:r>
        <w:rPr>
          <w:rFonts w:hint="eastAsia" w:ascii="仿宋_GB2312" w:eastAsia="仿宋_GB2312" w:cs="Times New Roman"/>
          <w:color w:val="auto"/>
          <w:kern w:val="2"/>
          <w:sz w:val="32"/>
          <w:szCs w:val="32"/>
          <w:highlight w:val="none"/>
          <w:lang w:val="en-US" w:eastAsia="zh-CN" w:bidi="ar-SA"/>
        </w:rPr>
        <w:t>我单位无绩效自评项目</w:t>
      </w:r>
      <w:bookmarkStart w:id="48" w:name="_GoBack"/>
      <w:bookmarkEnd w:id="48"/>
      <w:r>
        <w:rPr>
          <w:rFonts w:hint="eastAsia" w:ascii="仿宋_GB2312" w:hAnsi="Times New Roman" w:eastAsia="仿宋_GB2312" w:cs="Times New Roman"/>
          <w:color w:val="auto"/>
          <w:kern w:val="2"/>
          <w:sz w:val="32"/>
          <w:szCs w:val="32"/>
          <w:highlight w:val="none"/>
          <w:lang w:val="en-US" w:eastAsia="zh-CN" w:bidi="ar-SA"/>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bookmarkStart w:id="30" w:name="_Toc3250"/>
      <w:bookmarkStart w:id="31" w:name="_Toc24143"/>
    </w:p>
    <w:p>
      <w:pP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lZWRmZWIzNDBhZGIzOWVjNDlmZGRkNDZiYjFiODcifQ=="/>
    <w:docVar w:name="KSO_WPS_MARK_KEY" w:val="41ee2a61-2d54-4f93-83be-afdb9a40d732"/>
  </w:docVars>
  <w:rsids>
    <w:rsidRoot w:val="00000000"/>
    <w:rsid w:val="00213C59"/>
    <w:rsid w:val="003210CE"/>
    <w:rsid w:val="00B70D59"/>
    <w:rsid w:val="00B73AF8"/>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4E6972"/>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506617"/>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EBD421B"/>
    <w:rsid w:val="0F1113DA"/>
    <w:rsid w:val="0F6A48A4"/>
    <w:rsid w:val="0F78534A"/>
    <w:rsid w:val="0F89358A"/>
    <w:rsid w:val="0F8C6D51"/>
    <w:rsid w:val="104D44B7"/>
    <w:rsid w:val="105B0B5E"/>
    <w:rsid w:val="112E58D0"/>
    <w:rsid w:val="11731CAC"/>
    <w:rsid w:val="11863512"/>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B92751"/>
    <w:rsid w:val="1AD807E5"/>
    <w:rsid w:val="1AF60FCB"/>
    <w:rsid w:val="1B39345B"/>
    <w:rsid w:val="1BFB2A1F"/>
    <w:rsid w:val="1C015D4A"/>
    <w:rsid w:val="1C290ED5"/>
    <w:rsid w:val="1C317E4F"/>
    <w:rsid w:val="1C472464"/>
    <w:rsid w:val="1CAB19D9"/>
    <w:rsid w:val="1D22799A"/>
    <w:rsid w:val="1D5C1A72"/>
    <w:rsid w:val="1DAF458D"/>
    <w:rsid w:val="1E086ACE"/>
    <w:rsid w:val="1E62130A"/>
    <w:rsid w:val="1E97358B"/>
    <w:rsid w:val="1EAA4A5F"/>
    <w:rsid w:val="1EE869A7"/>
    <w:rsid w:val="1F3F37CF"/>
    <w:rsid w:val="1FA15E62"/>
    <w:rsid w:val="1FED69B6"/>
    <w:rsid w:val="201C4C90"/>
    <w:rsid w:val="2064678E"/>
    <w:rsid w:val="20DC1AB9"/>
    <w:rsid w:val="20DD6197"/>
    <w:rsid w:val="212631E0"/>
    <w:rsid w:val="2138666F"/>
    <w:rsid w:val="21742080"/>
    <w:rsid w:val="21975553"/>
    <w:rsid w:val="21A53757"/>
    <w:rsid w:val="21F879E1"/>
    <w:rsid w:val="221236C6"/>
    <w:rsid w:val="22D7662C"/>
    <w:rsid w:val="23326B7F"/>
    <w:rsid w:val="2380045B"/>
    <w:rsid w:val="23BC04D2"/>
    <w:rsid w:val="23EF1892"/>
    <w:rsid w:val="2483647E"/>
    <w:rsid w:val="24A32D55"/>
    <w:rsid w:val="24CE6D9A"/>
    <w:rsid w:val="24D2155C"/>
    <w:rsid w:val="25292727"/>
    <w:rsid w:val="252E5CA9"/>
    <w:rsid w:val="25330F95"/>
    <w:rsid w:val="25430923"/>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7027B2"/>
    <w:rsid w:val="29CB58F0"/>
    <w:rsid w:val="2A053397"/>
    <w:rsid w:val="2A145E96"/>
    <w:rsid w:val="2A2131BB"/>
    <w:rsid w:val="2AF5378F"/>
    <w:rsid w:val="2BA2498E"/>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824C66"/>
    <w:rsid w:val="35B21E0B"/>
    <w:rsid w:val="35E00D72"/>
    <w:rsid w:val="35E037F3"/>
    <w:rsid w:val="36321158"/>
    <w:rsid w:val="36965B9D"/>
    <w:rsid w:val="36C549FD"/>
    <w:rsid w:val="3745693D"/>
    <w:rsid w:val="37A755DD"/>
    <w:rsid w:val="37EF7AE0"/>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C10C58"/>
    <w:rsid w:val="3AD1763A"/>
    <w:rsid w:val="3B196883"/>
    <w:rsid w:val="3B6716E3"/>
    <w:rsid w:val="3B6C6B2D"/>
    <w:rsid w:val="3BE825E9"/>
    <w:rsid w:val="3BED7537"/>
    <w:rsid w:val="3C242659"/>
    <w:rsid w:val="3C96719C"/>
    <w:rsid w:val="3CA72BE8"/>
    <w:rsid w:val="3CDC1E1E"/>
    <w:rsid w:val="3CF37F8C"/>
    <w:rsid w:val="3D137554"/>
    <w:rsid w:val="3D5275AC"/>
    <w:rsid w:val="3DCC2473"/>
    <w:rsid w:val="3DEB0883"/>
    <w:rsid w:val="3E2527BF"/>
    <w:rsid w:val="3E70484C"/>
    <w:rsid w:val="3E731662"/>
    <w:rsid w:val="3E8168DD"/>
    <w:rsid w:val="3E9D0244"/>
    <w:rsid w:val="3EA7725F"/>
    <w:rsid w:val="3EB03713"/>
    <w:rsid w:val="3EBF1A11"/>
    <w:rsid w:val="3EC52607"/>
    <w:rsid w:val="3EEC6CEF"/>
    <w:rsid w:val="3F183429"/>
    <w:rsid w:val="3FA45178"/>
    <w:rsid w:val="3FB77A1D"/>
    <w:rsid w:val="3FDC3674"/>
    <w:rsid w:val="3FED7F8A"/>
    <w:rsid w:val="40030A51"/>
    <w:rsid w:val="40094AEF"/>
    <w:rsid w:val="405470BD"/>
    <w:rsid w:val="40794A29"/>
    <w:rsid w:val="40834692"/>
    <w:rsid w:val="41431AD5"/>
    <w:rsid w:val="414B3C0F"/>
    <w:rsid w:val="417C1CE7"/>
    <w:rsid w:val="41900018"/>
    <w:rsid w:val="41944406"/>
    <w:rsid w:val="41CE128F"/>
    <w:rsid w:val="41DA6F12"/>
    <w:rsid w:val="42171FB1"/>
    <w:rsid w:val="42C10D7B"/>
    <w:rsid w:val="434E6957"/>
    <w:rsid w:val="436122D8"/>
    <w:rsid w:val="43BA0E31"/>
    <w:rsid w:val="43C15147"/>
    <w:rsid w:val="43E14DD2"/>
    <w:rsid w:val="43F800E9"/>
    <w:rsid w:val="443A7E4B"/>
    <w:rsid w:val="444A7D08"/>
    <w:rsid w:val="452F5B3A"/>
    <w:rsid w:val="454E7FD2"/>
    <w:rsid w:val="45C2215A"/>
    <w:rsid w:val="46061BDC"/>
    <w:rsid w:val="461404F8"/>
    <w:rsid w:val="46413018"/>
    <w:rsid w:val="464B7E04"/>
    <w:rsid w:val="468041AA"/>
    <w:rsid w:val="468123C6"/>
    <w:rsid w:val="46901EEE"/>
    <w:rsid w:val="469C74D2"/>
    <w:rsid w:val="47445515"/>
    <w:rsid w:val="474B4782"/>
    <w:rsid w:val="47D90D14"/>
    <w:rsid w:val="47D95B3E"/>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26A0D"/>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0E4A92"/>
    <w:rsid w:val="51141503"/>
    <w:rsid w:val="513C450E"/>
    <w:rsid w:val="518D0ED5"/>
    <w:rsid w:val="525C687F"/>
    <w:rsid w:val="52A3740A"/>
    <w:rsid w:val="52F647F7"/>
    <w:rsid w:val="52F92565"/>
    <w:rsid w:val="537B3A16"/>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295620"/>
    <w:rsid w:val="5BD456CE"/>
    <w:rsid w:val="5C0D1F49"/>
    <w:rsid w:val="5C8243AA"/>
    <w:rsid w:val="5CBB0CE2"/>
    <w:rsid w:val="5CC17177"/>
    <w:rsid w:val="5CF306BC"/>
    <w:rsid w:val="5D3F3D64"/>
    <w:rsid w:val="5D7829DF"/>
    <w:rsid w:val="5D833043"/>
    <w:rsid w:val="5DD92690"/>
    <w:rsid w:val="5DDB1CFD"/>
    <w:rsid w:val="5E7E6D93"/>
    <w:rsid w:val="5E82459B"/>
    <w:rsid w:val="5EC44DD4"/>
    <w:rsid w:val="5ED44800"/>
    <w:rsid w:val="5F350BDE"/>
    <w:rsid w:val="5F61632C"/>
    <w:rsid w:val="5FA17648"/>
    <w:rsid w:val="5FE705CB"/>
    <w:rsid w:val="6007714E"/>
    <w:rsid w:val="603D5080"/>
    <w:rsid w:val="606842D0"/>
    <w:rsid w:val="607A7242"/>
    <w:rsid w:val="60D0261B"/>
    <w:rsid w:val="61763FBE"/>
    <w:rsid w:val="618E3791"/>
    <w:rsid w:val="61947DCA"/>
    <w:rsid w:val="61A46A97"/>
    <w:rsid w:val="61D1382F"/>
    <w:rsid w:val="61F114A2"/>
    <w:rsid w:val="622B0ABA"/>
    <w:rsid w:val="6231183E"/>
    <w:rsid w:val="62475B9E"/>
    <w:rsid w:val="62512BB4"/>
    <w:rsid w:val="625D7D1A"/>
    <w:rsid w:val="62660469"/>
    <w:rsid w:val="62DD7D21"/>
    <w:rsid w:val="637D586B"/>
    <w:rsid w:val="63A5560B"/>
    <w:rsid w:val="63E9091F"/>
    <w:rsid w:val="64322AF9"/>
    <w:rsid w:val="64D6010D"/>
    <w:rsid w:val="64D82665"/>
    <w:rsid w:val="64E47C96"/>
    <w:rsid w:val="651E5741"/>
    <w:rsid w:val="65271E1F"/>
    <w:rsid w:val="655D7702"/>
    <w:rsid w:val="658A4877"/>
    <w:rsid w:val="65A00902"/>
    <w:rsid w:val="65A610A9"/>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A0836"/>
    <w:rsid w:val="6A2C39D4"/>
    <w:rsid w:val="6A36007F"/>
    <w:rsid w:val="6A75038E"/>
    <w:rsid w:val="6B68175F"/>
    <w:rsid w:val="6BFD799F"/>
    <w:rsid w:val="6C4A2E5A"/>
    <w:rsid w:val="6C8138D0"/>
    <w:rsid w:val="6CEF0725"/>
    <w:rsid w:val="6D4B2604"/>
    <w:rsid w:val="6D77358F"/>
    <w:rsid w:val="6D8030E4"/>
    <w:rsid w:val="6E0E35C4"/>
    <w:rsid w:val="6E0F7A08"/>
    <w:rsid w:val="6E3947F5"/>
    <w:rsid w:val="6E556684"/>
    <w:rsid w:val="6E6733A0"/>
    <w:rsid w:val="6E6E3938"/>
    <w:rsid w:val="6E9C74ED"/>
    <w:rsid w:val="6ECD4657"/>
    <w:rsid w:val="6EF72976"/>
    <w:rsid w:val="6F580360"/>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4F26A2B"/>
    <w:rsid w:val="751D7C0A"/>
    <w:rsid w:val="75450A73"/>
    <w:rsid w:val="75722D56"/>
    <w:rsid w:val="75DB5477"/>
    <w:rsid w:val="75F85082"/>
    <w:rsid w:val="75FC6AC3"/>
    <w:rsid w:val="7616619B"/>
    <w:rsid w:val="76650B28"/>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87466AD"/>
    <w:rsid w:val="790A6425"/>
    <w:rsid w:val="790E2D96"/>
    <w:rsid w:val="791B54B2"/>
    <w:rsid w:val="793C0F89"/>
    <w:rsid w:val="795A0A34"/>
    <w:rsid w:val="797339C3"/>
    <w:rsid w:val="79D57D57"/>
    <w:rsid w:val="79F00650"/>
    <w:rsid w:val="7A6242BF"/>
    <w:rsid w:val="7A794513"/>
    <w:rsid w:val="7A9B3811"/>
    <w:rsid w:val="7AB467DA"/>
    <w:rsid w:val="7AB9318D"/>
    <w:rsid w:val="7AE952D2"/>
    <w:rsid w:val="7B1122A4"/>
    <w:rsid w:val="7B9F26AF"/>
    <w:rsid w:val="7BB607FE"/>
    <w:rsid w:val="7BBE2543"/>
    <w:rsid w:val="7C7248A0"/>
    <w:rsid w:val="7C976D69"/>
    <w:rsid w:val="7CD752DA"/>
    <w:rsid w:val="7CDE40AB"/>
    <w:rsid w:val="7CF057E2"/>
    <w:rsid w:val="7D1548B5"/>
    <w:rsid w:val="7DF84014"/>
    <w:rsid w:val="7E207949"/>
    <w:rsid w:val="7E5C0A47"/>
    <w:rsid w:val="7E670C75"/>
    <w:rsid w:val="7EE24272"/>
    <w:rsid w:val="7EEA6053"/>
    <w:rsid w:val="7F487C04"/>
    <w:rsid w:val="7F611CBA"/>
    <w:rsid w:val="7F8A16CD"/>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footnote text"/>
    <w:basedOn w:val="1"/>
    <w:next w:val="3"/>
    <w:qFormat/>
    <w:uiPriority w:val="0"/>
    <w:pPr>
      <w:snapToGrid w:val="0"/>
      <w:jc w:val="left"/>
    </w:pPr>
    <w:rPr>
      <w:sz w:val="18"/>
      <w:szCs w:val="18"/>
    </w:rPr>
  </w:style>
  <w:style w:type="paragraph" w:styleId="3">
    <w:name w:val="Body Text"/>
    <w:basedOn w:val="1"/>
    <w:qFormat/>
    <w:uiPriority w:val="99"/>
    <w:pPr>
      <w:spacing w:after="120"/>
    </w:pPr>
    <w:rPr>
      <w:rFonts w:ascii="Times New Roman" w:hAnsi="Times New Roman" w:eastAsia="宋体"/>
    </w:rPr>
  </w:style>
  <w:style w:type="paragraph" w:styleId="4">
    <w:name w:val="annotation text"/>
    <w:basedOn w:val="1"/>
    <w:qFormat/>
    <w:uiPriority w:val="0"/>
    <w:pPr>
      <w:jc w:val="left"/>
    </w:p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basedOn w:val="12"/>
    <w:qFormat/>
    <w:uiPriority w:val="0"/>
    <w:rPr>
      <w:b/>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列表段落1"/>
    <w:basedOn w:val="1"/>
    <w:unhideWhenUsed/>
    <w:qFormat/>
    <w:uiPriority w:val="99"/>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6613</Words>
  <Characters>7293</Characters>
  <Lines>0</Lines>
  <Paragraphs>0</Paragraphs>
  <TotalTime>0</TotalTime>
  <ScaleCrop>false</ScaleCrop>
  <LinksUpToDate>false</LinksUpToDate>
  <CharactersWithSpaces>7304</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cp:lastPrinted>2024-09-19T13:48:00Z</cp:lastPrinted>
  <dcterms:modified xsi:type="dcterms:W3CDTF">2025-04-10T09:32:42Z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