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中共沙湾市委员会办公室</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bookmarkStart w:id="4" w:name="_Toc31238"/>
      <w:bookmarkStart w:id="5" w:name="_Toc2151"/>
      <w:r>
        <w:rPr>
          <w:rFonts w:hint="eastAsia" w:ascii="仿宋" w:hAnsi="仿宋" w:eastAsia="仿宋" w:cs="仿宋"/>
          <w:color w:val="000000" w:themeColor="text1"/>
          <w:kern w:val="16"/>
          <w:sz w:val="32"/>
          <w:szCs w:val="32"/>
          <w:lang w:val="en-US" w:eastAsia="zh-CN"/>
          <w14:textFill>
            <w14:solidFill>
              <w14:schemeClr w14:val="tx1"/>
            </w14:solidFill>
          </w14:textFill>
        </w:rPr>
        <w:t>（一）负责日常工作的综合协调，承担各议事协调机构办公室的协调工作。（二）负责日常文电的处理工作，承担办公室文件文稿的起草、修改、审核和制发、立卷、归档工作。（三）承办对中央、自治区、地区决策部署贯彻落实情况的督促检查和中央、自治区、地区领导同志的指示批示、交办事项的催办落实；负责工作部署落实情况的督促检查文件、领导同志指示批示的催办落实工作。（四）负责全面了解全市稳定、经济与社会发展情况，及时掌握各乡镇（场）、各部门重大动态，为科学决策发挥参谋助手作用；围绕总体工作部署，负责全市重要信息的收集处理， 及时向自治区党委办公厅、地委办公室报送信息。（五）负责召开会议的筹备、组织和服务工作；领导同志的公务活动安排，统筹协调副市级以上领导同志来沙进行公务活动的接待服务。（六）负责做好党内法规服务工作。（七）负责领导同志的后勤保障协调服务工作，负责重要活动、重要场所的协调安全保卫工作。（八）负责自治区党委和自治区党委办公厅、地委及地委办公室、市委办公室有关会议和文件材料的翻译工作。（九）负责党委系统信息化建设的统一规划、协调和建设管理工作。（十）负责做好全市财经方面工作，研究提出经济领域措施建议。（十一）负责做好全市全面深化改革方面工作，研究提出深化改革方面措施建议。（十二）负责市档案事业行政管理，重要档案提供、利用的审批工作。（十三）完成财经委员会全面深化改革委员会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中共沙湾市委员会办公室</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121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办公室、秘书室、后勤室、财务室</w:t>
      </w:r>
      <w:r>
        <w:rPr>
          <w:rFonts w:hint="eastAsia" w:ascii="仿宋_GB2312" w:hAnsi="宋体" w:eastAsia="仿宋_GB2312" w:cs="宋体"/>
          <w:color w:val="auto"/>
          <w:kern w:val="0"/>
          <w:sz w:val="32"/>
          <w:szCs w:val="32"/>
          <w:highlight w:val="none"/>
        </w:rPr>
        <w:t>。</w:t>
      </w:r>
      <w:bookmarkStart w:id="6" w:name="_Toc29374"/>
      <w:bookmarkStart w:id="7" w:name="_Toc3092"/>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1,310.41万元，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1,310.41万元，使用非财政拨款结余0.00万元，年初结转和结余0.00万元。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1,310.41万元，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1,310.41万元，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减少348.65万元</w:t>
      </w:r>
      <w:r>
        <w:rPr>
          <w:rFonts w:hint="eastAsia" w:ascii="仿宋_GB2312" w:eastAsia="仿宋_GB2312"/>
          <w:color w:val="auto"/>
          <w:spacing w:val="0"/>
          <w:sz w:val="32"/>
          <w:szCs w:val="32"/>
          <w:highlight w:val="none"/>
          <w:lang w:eastAsia="zh-CN"/>
        </w:rPr>
        <w:t>，下降21.01%，主要原因是：</w:t>
      </w:r>
      <w:r>
        <w:rPr>
          <w:rFonts w:hint="eastAsia" w:ascii="仿宋_GB2312" w:eastAsia="仿宋_GB2312"/>
          <w:color w:val="auto"/>
          <w:spacing w:val="0"/>
          <w:sz w:val="32"/>
          <w:szCs w:val="32"/>
          <w:highlight w:val="none"/>
          <w:lang w:val="en-US" w:eastAsia="zh-CN"/>
        </w:rPr>
        <w:t>1、与上年比较我单位在职人数减少2人，相应人员支出减少；2、2023年我单位减少市委办维修、采购办公设备及市第一次党代会工作经费项目，故收入支出总体减少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1,310.41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1,310.41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本年支出1,310.41万元，其中：基本支出1,210.78万元，占92.40%；项目支出99.63万元，占7.60%；上缴上级支出0.00万元，占0.00%；经营支出0.00万元，占0.00%；对附属单位补助支出0.00万元，占0.00%。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1,310.41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1,310.41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1,310.41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1,310.41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减少348.65万元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下降21.01%,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1、与上年比较我单位在职人数减少2人，相应人员支出减少；2、2023年我单位减少市委办维修、采购办公设备及市第一次党代会工作项目经费减少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1,152.88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1,310.41</w:t>
      </w:r>
      <w:r>
        <w:rPr>
          <w:rFonts w:hint="eastAsia" w:ascii="仿宋_GB2312" w:eastAsia="仿宋_GB2312"/>
          <w:color w:val="auto"/>
          <w:spacing w:val="0"/>
          <w:sz w:val="32"/>
          <w:szCs w:val="32"/>
          <w:highlight w:val="none"/>
          <w:lang w:eastAsia="zh-CN"/>
        </w:rPr>
        <w:t>万元，预决算差异率13.66%，主要原因是：</w:t>
      </w:r>
      <w:r>
        <w:rPr>
          <w:rFonts w:hint="eastAsia" w:ascii="仿宋_GB2312" w:eastAsia="仿宋_GB2312"/>
          <w:color w:val="auto"/>
          <w:spacing w:val="0"/>
          <w:sz w:val="32"/>
          <w:szCs w:val="32"/>
          <w:highlight w:val="none"/>
          <w:lang w:val="en-US" w:eastAsia="zh-CN"/>
        </w:rPr>
        <w:t>1、2023年基本工资，绩效标准调资相应社保、公积金缴费增加；2、2023年追加支付历年大绩效。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2023年度一般公共预算财政拨款支出1,310.01万元，占本年支出合计的</w:t>
      </w:r>
      <w:r>
        <w:rPr>
          <w:rFonts w:hint="eastAsia" w:ascii="仿宋_GB2312" w:eastAsia="仿宋_GB2312"/>
          <w:color w:val="auto"/>
          <w:spacing w:val="0"/>
          <w:sz w:val="32"/>
          <w:szCs w:val="32"/>
          <w:highlight w:val="none"/>
          <w:lang w:val="zh-CN" w:eastAsia="zh-CN"/>
        </w:rPr>
        <w:t>99.97%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减少348.65万元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下降21.02%,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1、与上年比较我单位在职人数减少2人，相应人员支出减少；2、2023年我单位减少市委办维修、采购办公设备及市第一次党代会工作项目经费减少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1,152.88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1,310.01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13.63%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1、2023年基本工资，绩效标准调资相应社保、公积金缴费增加；2、2023年追加支付历年大绩效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1,052.38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80.33%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124.05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9.47%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47.49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3.63%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71.08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5.43%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15.00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1.15%。</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1.卫生健康支出（类）行政事业单位医疗（款）行政单位医疗（项）:支出决算数为24.49万元，比上年决算减少32.56万元，下降57.07%，主要原因是：医保政策变化，退休人员医保退休后，不再需要缴纳基本医疗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2.卫生健康支出（类）行政事业单位医疗（款）事业单位医疗（项）:支出决算数为13.56万元，比上年决算增加1.48万元，增长12.25%，主要原因是：2023年基本工资、绩效调资，相应医疗保险缴费增加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3.卫生健康支出（类）行政事业单位医疗（款）公务员医疗补助（项）:支出决算数为9.44万元，比上年决算减少14.12万元，下降59.93%，主要原因是：医保政策变化，退休人员医保退休后，不再需要缴纳公务员医疗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一般公共服务支出（类）党委办公厅（室）及相关机构事务（款）事业运行（项）:支出决算数为272.16万元，比上年决算增加272.16万元，增长100%，主要原因是：2022年决算事业运行合并在行政运行中支出，2023年决算事业运行和行政经费分开，单独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5.住房保障支出（类）住房改革支出（款）住房公积金（项）:支出决算数为71.08万元，比上年决算增加2.77万元，增长4.06%，主要原因是：2023年基本工资、绩效调资，相应公积金缴费增加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一般公共服务支出（类）党委办公厅（室）及相关机构事务（款）行政运行（项）:支出决算数为696.00万元，比上年决算减少218.93万元，下降23.93%，主要原因是：行政事业人员支出按财政要求2023年开始分开核算，上年没有事业运行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一般公共服务支出（类）党委办公厅（室）及相关机构事务（款）其他党委办公厅（室）及相关机构事务支出（项）:支出决算数为84.23万元，比上年决算增加18.31万元，增长27.78%，主要原因是：2023年我单位支付历年项目欠款</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行政单位离退休（项）:支出决算数为34.53万元，比上年决算增加13.18万元，增长61.73%，主要原因是：2023年支付2022年退休人员生活补贴，2023年退休人员生活补贴标准提高</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9.其他支出（类）其他支出（款）其他支出（项）:支出决算数为15.00万元，比上年决算减少404.64万元，下降96.43%，主要原因是：2022年支付上级专项资金407.15万元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基本养老保险缴费支出（项）:支出决算数为89.52万元，比上年决算增加13.68万元，增长18.04%，主要原因是：1、2023年为单位事业人员增加2人；2、2023年基本工资、基础绩效奖调资，相应事业单位基本养老保险缴费基数增大，相应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1,210.78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1,043.99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166.79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办公费、电费、邮电费、取暖费、差旅费、维修（护）费、会议费、培训费、劳务费、工会经费、公务用车运行维护费、其他交通费用。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“三公”经费支出40.88万元，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减少13.90万元，</w:t>
      </w:r>
      <w:r>
        <w:rPr>
          <w:rFonts w:hint="eastAsia" w:ascii="仿宋_GB2312" w:eastAsia="仿宋_GB2312"/>
          <w:color w:val="auto"/>
          <w:spacing w:val="0"/>
          <w:sz w:val="32"/>
          <w:szCs w:val="32"/>
          <w:highlight w:val="none"/>
          <w:lang w:val="en-US" w:eastAsia="zh-CN"/>
        </w:rPr>
        <w:t>下降25.37%,</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2023年我单位本着厉行节约的原则招待费支出比上年减少2.3万元；公务用车运行费支出减少11.6万元</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主要原因是：我单位无因公出国（境）费支出；公务用车购置及运行维护费支出40.88万元，占100.00%，比上年减少11.60万元，</w:t>
      </w:r>
      <w:r>
        <w:rPr>
          <w:rFonts w:hint="eastAsia" w:ascii="仿宋_GB2312" w:eastAsia="仿宋_GB2312"/>
          <w:color w:val="auto"/>
          <w:spacing w:val="0"/>
          <w:sz w:val="32"/>
          <w:szCs w:val="32"/>
          <w:highlight w:val="none"/>
          <w:lang w:val="en-US" w:eastAsia="zh-CN"/>
        </w:rPr>
        <w:t>下降22.10%,</w:t>
      </w:r>
      <w:r>
        <w:rPr>
          <w:rFonts w:hint="eastAsia" w:ascii="仿宋_GB2312" w:eastAsia="仿宋_GB2312"/>
          <w:color w:val="auto"/>
          <w:sz w:val="32"/>
          <w:szCs w:val="32"/>
          <w:highlight w:val="none"/>
          <w:lang w:val="zh-CN" w:eastAsia="zh-CN"/>
        </w:rPr>
        <w:t>主要原因是：我单位增加使用新能源车辆后车辆保险、车辆修理费、燃油费减少；公务接待费支出0.00万元，占0.00%，比上年减少2.30万元，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主要原因是：我单位</w:t>
      </w:r>
      <w:r>
        <w:rPr>
          <w:rFonts w:hint="eastAsia" w:ascii="仿宋_GB2312" w:eastAsia="仿宋_GB2312"/>
          <w:color w:val="auto"/>
          <w:sz w:val="32"/>
          <w:szCs w:val="32"/>
          <w:highlight w:val="none"/>
          <w:lang w:val="en-US" w:eastAsia="zh-CN"/>
        </w:rPr>
        <w:t>2023年预算未安排</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40.88万元，其中：公务用车购置费0.00万元，公务用车运行维护费40.88万元。公务用车运行维护费开支内容包括车辆保险、车辆修理费、燃油费。公务用车购置数0辆，公务用车保有量10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autoSpaceDE/>
        <w:autoSpaceDN/>
        <w:adjustRightInd/>
        <w:snapToGrid/>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预算数40.88万元，决算数40.88万元，预决算差异率0.00%，主要原因是：</w:t>
      </w:r>
      <w:r>
        <w:rPr>
          <w:rFonts w:hint="eastAsia" w:ascii="仿宋_GB2312" w:eastAsia="仿宋_GB2312"/>
          <w:color w:val="auto"/>
          <w:sz w:val="32"/>
          <w:szCs w:val="32"/>
          <w:highlight w:val="none"/>
          <w:lang w:val="en-US" w:eastAsia="zh-CN"/>
        </w:rPr>
        <w:t>本单位预算数和决算数无变化，预决算无差异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0.00万元，决算数0.00万元，预决算差异率0.00%，主要原因是：我单位未安排因公出国（境）费支出，预决算无差异；公务用车购置费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预算数0.00万元，决算数0.00万元，预决算差异率0.00%，主要原因是：本年未安排公务用车购置费支出，预决算无差异；公务用车运行费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预算数40.88万元，决算数40.88万元，预决算差异率0.00%，主要原因是：我单位公务接待费预算数和决算数无变化，预决算无差异；公务接待费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预算数0.00万元，决算数0.00万元，预决算差异率0.00%，主要原因是：本年未安排公务接待费，预决算无差异。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2023年度国有资本经营预算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eastAsia="zh-CN"/>
        </w:rPr>
        <w:t>收入</w:t>
      </w:r>
      <w:r>
        <w:rPr>
          <w:rFonts w:hint="eastAsia" w:ascii="仿宋_GB2312" w:hAnsi="仿宋_GB2312" w:eastAsia="仿宋_GB2312" w:cs="仿宋_GB2312"/>
          <w:color w:val="auto"/>
          <w:sz w:val="32"/>
          <w:szCs w:val="32"/>
          <w:highlight w:val="none"/>
          <w:lang w:val="en-US" w:eastAsia="zh-CN"/>
        </w:rPr>
        <w:t>总计0.40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其中：年初结转和结余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本年收入</w:t>
      </w:r>
      <w:r>
        <w:rPr>
          <w:rFonts w:hint="eastAsia" w:ascii="仿宋_GB2312" w:hAnsi="仿宋_GB2312" w:eastAsia="仿宋_GB2312" w:cs="仿宋_GB2312"/>
          <w:color w:val="auto"/>
          <w:sz w:val="32"/>
          <w:szCs w:val="32"/>
          <w:highlight w:val="none"/>
          <w:lang w:val="zh-CN" w:eastAsia="zh-CN"/>
        </w:rPr>
        <w:t>0.40万元。国有资本经营预算财政拨款支出</w:t>
      </w:r>
      <w:r>
        <w:rPr>
          <w:rFonts w:hint="eastAsia" w:ascii="仿宋_GB2312" w:hAnsi="仿宋_GB2312" w:eastAsia="仿宋_GB2312" w:cs="仿宋_GB2312"/>
          <w:color w:val="auto"/>
          <w:sz w:val="32"/>
          <w:szCs w:val="32"/>
          <w:highlight w:val="none"/>
          <w:lang w:val="en-US" w:eastAsia="zh-CN"/>
        </w:rPr>
        <w:t>总计0.40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其中：年末结转和结余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本年支出</w:t>
      </w:r>
      <w:r>
        <w:rPr>
          <w:rFonts w:hint="eastAsia" w:ascii="仿宋_GB2312" w:hAnsi="仿宋_GB2312" w:eastAsia="仿宋_GB2312" w:cs="仿宋_GB2312"/>
          <w:color w:val="auto"/>
          <w:sz w:val="32"/>
          <w:szCs w:val="32"/>
          <w:highlight w:val="none"/>
          <w:lang w:val="zh-CN" w:eastAsia="zh-CN"/>
        </w:rPr>
        <w:t>0.40万元。</w:t>
      </w:r>
    </w:p>
    <w:p>
      <w:pPr>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国有资本经营预算财政拨款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eastAsia="zh-CN"/>
        </w:rPr>
        <w:t>与上年相比，增加0.00万元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增长0.00%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eastAsia="仿宋_GB2312"/>
          <w:color w:val="auto"/>
          <w:sz w:val="32"/>
          <w:szCs w:val="32"/>
          <w:highlight w:val="none"/>
          <w:lang w:val="zh-CN" w:eastAsia="zh-CN"/>
        </w:rPr>
        <w:t>本年预算未安排</w:t>
      </w:r>
      <w:r>
        <w:rPr>
          <w:rFonts w:hint="eastAsia" w:ascii="仿宋_GB2312" w:hAnsi="仿宋_GB2312" w:eastAsia="仿宋_GB2312" w:cs="仿宋_GB2312"/>
          <w:color w:val="auto"/>
          <w:sz w:val="32"/>
          <w:szCs w:val="32"/>
          <w:highlight w:val="none"/>
          <w:lang w:val="zh-CN" w:eastAsia="zh-CN"/>
        </w:rPr>
        <w:t>国有资本经营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与上年持平</w:t>
      </w:r>
      <w:r>
        <w:rPr>
          <w:rFonts w:hint="eastAsia" w:ascii="仿宋_GB2312" w:hAnsi="仿宋_GB2312" w:eastAsia="仿宋_GB2312" w:cs="仿宋_GB2312"/>
          <w:color w:val="auto"/>
          <w:sz w:val="32"/>
          <w:szCs w:val="32"/>
          <w:highlight w:val="none"/>
          <w:lang w:val="zh-CN" w:eastAsia="zh-CN"/>
        </w:rPr>
        <w:t>。与年初预算相比，年初预算数</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eastAsia="zh-CN"/>
        </w:rPr>
        <w:t>万元，决算数</w:t>
      </w:r>
      <w:r>
        <w:rPr>
          <w:rFonts w:hint="eastAsia" w:ascii="仿宋_GB2312" w:hAnsi="仿宋_GB2312" w:eastAsia="仿宋_GB2312" w:cs="仿宋_GB2312"/>
          <w:color w:val="auto"/>
          <w:sz w:val="32"/>
          <w:szCs w:val="32"/>
          <w:highlight w:val="none"/>
          <w:lang w:val="en-US" w:eastAsia="zh-CN"/>
        </w:rPr>
        <w:t>0.40</w:t>
      </w:r>
      <w:r>
        <w:rPr>
          <w:rFonts w:hint="eastAsia" w:ascii="仿宋_GB2312" w:hAnsi="仿宋_GB2312" w:eastAsia="仿宋_GB2312" w:cs="仿宋_GB2312"/>
          <w:color w:val="auto"/>
          <w:sz w:val="32"/>
          <w:szCs w:val="32"/>
          <w:highlight w:val="none"/>
          <w:lang w:val="zh-CN" w:eastAsia="zh-CN"/>
        </w:rPr>
        <w:t>万元，预决算差异率</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zh-CN" w:eastAsia="zh-CN"/>
        </w:rPr>
        <w:t>0.00%，主要原因是：塔地财企[2023]11号沙财企[2023]4号关于提前下达2024年国有企业退休人员社会化管理补助资金项目属于年中追加项目，故国有资本经营预决算</w:t>
      </w:r>
      <w:r>
        <w:rPr>
          <w:rFonts w:hint="eastAsia" w:ascii="仿宋_GB2312" w:hAnsi="仿宋_GB2312" w:eastAsia="仿宋_GB2312" w:cs="仿宋_GB2312"/>
          <w:color w:val="auto"/>
          <w:sz w:val="32"/>
          <w:szCs w:val="32"/>
          <w:highlight w:val="none"/>
          <w:lang w:val="en-US" w:eastAsia="zh-CN"/>
        </w:rPr>
        <w:t>差异率100%</w:t>
      </w:r>
      <w:bookmarkStart w:id="48" w:name="_GoBack"/>
      <w:bookmarkEnd w:id="48"/>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zh-CN" w:eastAsia="zh-CN"/>
        </w:rPr>
        <w:t>国有资本经营预算财政拨款支出</w:t>
      </w:r>
      <w:r>
        <w:rPr>
          <w:rFonts w:hint="eastAsia" w:ascii="仿宋_GB2312" w:hAnsi="仿宋_GB2312" w:eastAsia="仿宋_GB2312" w:cs="仿宋_GB2312"/>
          <w:color w:val="auto"/>
          <w:sz w:val="32"/>
          <w:szCs w:val="32"/>
          <w:highlight w:val="none"/>
          <w:lang w:val="en-US" w:eastAsia="zh-CN"/>
        </w:rPr>
        <w:t>0.40</w:t>
      </w:r>
      <w:r>
        <w:rPr>
          <w:rFonts w:hint="eastAsia" w:ascii="仿宋_GB2312" w:hAnsi="仿宋_GB2312" w:eastAsia="仿宋_GB2312" w:cs="仿宋_GB2312"/>
          <w:color w:val="auto"/>
          <w:sz w:val="32"/>
          <w:szCs w:val="32"/>
          <w:highlight w:val="none"/>
          <w:lang w:val="zh-CN"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1.国有资本经营预算支出（类）解决历史遗留问题及改革成本支出（款）国有企业退休人员社会化管理补助支出（项）:支出决算数为0.40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0"/>
          <w:sz w:val="32"/>
          <w:szCs w:val="32"/>
          <w:highlight w:val="none"/>
        </w:rPr>
        <w:t>0.00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2"/>
          <w:sz w:val="32"/>
          <w:szCs w:val="32"/>
          <w:highlight w:val="none"/>
          <w:lang w:val="en-US" w:eastAsia="zh-CN" w:bidi="ar-SA"/>
        </w:rPr>
        <w:t>增长</w:t>
      </w:r>
      <w:r>
        <w:rPr>
          <w:rFonts w:hint="eastAsia" w:ascii="仿宋_GB2312" w:hAnsi="仿宋_GB2312" w:eastAsia="仿宋_GB2312" w:cs="仿宋_GB2312"/>
          <w:color w:val="auto"/>
          <w:kern w:val="0"/>
          <w:sz w:val="32"/>
          <w:szCs w:val="32"/>
          <w:highlight w:val="none"/>
        </w:rPr>
        <w:t>0.00%，主要原因是：国有企业退休人员社会化管理补助</w:t>
      </w:r>
      <w:r>
        <w:rPr>
          <w:rFonts w:hint="eastAsia" w:ascii="仿宋_GB2312" w:hAnsi="仿宋_GB2312" w:eastAsia="仿宋_GB2312" w:cs="仿宋_GB2312"/>
          <w:color w:val="auto"/>
          <w:kern w:val="0"/>
          <w:sz w:val="32"/>
          <w:szCs w:val="32"/>
          <w:highlight w:val="none"/>
          <w:lang w:eastAsia="zh-CN"/>
        </w:rPr>
        <w:t>项目每年都会设立，故与上年相比无差异</w:t>
      </w:r>
      <w:r>
        <w:rPr>
          <w:rFonts w:hint="eastAsia" w:ascii="仿宋_GB2312" w:hAnsi="仿宋_GB2312" w:eastAsia="仿宋_GB2312" w:cs="仿宋_GB2312"/>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中共沙湾市委员会办公室（行政单位和参照公务员法管理事业单位）机关运行经费支出166.79万元，</w:t>
      </w:r>
      <w:r>
        <w:rPr>
          <w:rFonts w:hint="eastAsia" w:ascii="仿宋_GB2312" w:hAnsi="仿宋_GB2312" w:eastAsia="仿宋_GB2312" w:cs="仿宋_GB2312"/>
          <w:color w:val="auto"/>
          <w:sz w:val="32"/>
          <w:szCs w:val="32"/>
          <w:highlight w:val="none"/>
          <w:lang w:val="zh-CN" w:eastAsia="zh-CN"/>
        </w:rPr>
        <w:t>比上年增加2.69万元，增长1.64%，主要原因是：我单位调入事业人员</w:t>
      </w:r>
      <w:r>
        <w:rPr>
          <w:rFonts w:hint="eastAsia" w:ascii="仿宋_GB2312" w:hAnsi="仿宋_GB2312" w:eastAsia="仿宋_GB2312" w:cs="仿宋_GB2312"/>
          <w:color w:val="auto"/>
          <w:sz w:val="32"/>
          <w:szCs w:val="32"/>
          <w:highlight w:val="none"/>
          <w:lang w:val="en-US" w:eastAsia="zh-CN"/>
        </w:rPr>
        <w:t>2人；我单位清理历欠资金</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165.57万元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其中：政府采购货物支出54.83万元、政府采购工程支出34.05万元、政府采购服务支出76.68万元。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授予中小企业合同金额165.57万元，占政府采购支出总额的100.00%，其中：授予小微企业合同金额165.57万元，占政府采购支出总额的100.00%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2,877.56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屋9,826.96平方米，价值1,486.07万元。车辆10辆，价值326.24万元，其中：副部（省）级及以上领导用车0辆、主要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用车0辆、其他用车10辆，其他用车主要是：服务机关办公用车；单价100万元（含）以上设备（不含车辆）0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预算总额1310.41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实际执行总额1310.41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全年预算数99.63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全年执行数99.63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w:t>
      </w:r>
      <w:r>
        <w:rPr>
          <w:rFonts w:hint="eastAsia" w:ascii="仿宋_GB2312" w:hAnsi="仿宋_GB2312" w:eastAsia="仿宋_GB2312" w:cs="仿宋_GB2312"/>
          <w:color w:val="auto"/>
          <w:kern w:val="0"/>
          <w:sz w:val="32"/>
          <w:szCs w:val="32"/>
          <w:highlight w:val="none"/>
          <w:lang w:val="en-US" w:eastAsia="zh-CN"/>
        </w:rPr>
        <w:t>本单位涉密项目4个，全年预算数79.85万元，全年执行数79.85万元，不予以公开绩效自评表。</w:t>
      </w:r>
      <w:r>
        <w:rPr>
          <w:rFonts w:hint="eastAsia" w:ascii="仿宋_GB2312" w:eastAsia="仿宋_GB2312"/>
          <w:color w:val="auto"/>
          <w:sz w:val="32"/>
          <w:szCs w:val="32"/>
          <w:highlight w:val="none"/>
          <w:lang w:val="en-US" w:eastAsia="zh-CN"/>
        </w:rPr>
        <w:t>预算绩效管理取得的成效：一是绩效项目的实施，确保项目正常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致化管理来保障资金使用的合规、合法性，并据此分析各类资金支出产生的效益，使本单位的绩效工作上一个新台阶。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本单位涉密项目4个，全年预算数79.85万元，全年执行数79.85万元，不予以公开绩效自评表。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M2IzOTUwZGE3MjY5MzMwYTE5N2RjZDMyNGU1OTU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1923EC"/>
    <w:rsid w:val="043E5B56"/>
    <w:rsid w:val="046A2A25"/>
    <w:rsid w:val="04711258"/>
    <w:rsid w:val="04C04386"/>
    <w:rsid w:val="04D1736D"/>
    <w:rsid w:val="04D96608"/>
    <w:rsid w:val="04F210E4"/>
    <w:rsid w:val="04FA68C4"/>
    <w:rsid w:val="053F5AE6"/>
    <w:rsid w:val="056E2B8E"/>
    <w:rsid w:val="057C0B0F"/>
    <w:rsid w:val="05AA5439"/>
    <w:rsid w:val="05EF4B48"/>
    <w:rsid w:val="05F76ECA"/>
    <w:rsid w:val="06183A24"/>
    <w:rsid w:val="06792773"/>
    <w:rsid w:val="068D3F81"/>
    <w:rsid w:val="068F5517"/>
    <w:rsid w:val="06F50AC6"/>
    <w:rsid w:val="06FD75CA"/>
    <w:rsid w:val="07093795"/>
    <w:rsid w:val="07804730"/>
    <w:rsid w:val="079052BE"/>
    <w:rsid w:val="07F76839"/>
    <w:rsid w:val="08145C21"/>
    <w:rsid w:val="082F2780"/>
    <w:rsid w:val="08422688"/>
    <w:rsid w:val="085854ED"/>
    <w:rsid w:val="0879188F"/>
    <w:rsid w:val="08A0354D"/>
    <w:rsid w:val="08CD4C49"/>
    <w:rsid w:val="09114954"/>
    <w:rsid w:val="095A5B83"/>
    <w:rsid w:val="096466E3"/>
    <w:rsid w:val="0968304D"/>
    <w:rsid w:val="099B2DB2"/>
    <w:rsid w:val="09AF3D17"/>
    <w:rsid w:val="0A0E44B6"/>
    <w:rsid w:val="0A7809B7"/>
    <w:rsid w:val="0A7B4867"/>
    <w:rsid w:val="0A840954"/>
    <w:rsid w:val="0A9928ED"/>
    <w:rsid w:val="0AC70A59"/>
    <w:rsid w:val="0AD22C9D"/>
    <w:rsid w:val="0ADC4CAA"/>
    <w:rsid w:val="0B61769D"/>
    <w:rsid w:val="0B7E4E55"/>
    <w:rsid w:val="0B8C3ECC"/>
    <w:rsid w:val="0B9C639D"/>
    <w:rsid w:val="0BB052B2"/>
    <w:rsid w:val="0BD33FFC"/>
    <w:rsid w:val="0BE97AC1"/>
    <w:rsid w:val="0C1C4780"/>
    <w:rsid w:val="0C275A44"/>
    <w:rsid w:val="0C3613A3"/>
    <w:rsid w:val="0C497EA2"/>
    <w:rsid w:val="0C5E519C"/>
    <w:rsid w:val="0C7227A7"/>
    <w:rsid w:val="0CA52EE8"/>
    <w:rsid w:val="0CBD6988"/>
    <w:rsid w:val="0CD208AC"/>
    <w:rsid w:val="0D172DAA"/>
    <w:rsid w:val="0D2F676B"/>
    <w:rsid w:val="0D4903E8"/>
    <w:rsid w:val="0D7A4A46"/>
    <w:rsid w:val="0D884C5D"/>
    <w:rsid w:val="0E640559"/>
    <w:rsid w:val="0E7B79F9"/>
    <w:rsid w:val="0ECE0670"/>
    <w:rsid w:val="0F1113DA"/>
    <w:rsid w:val="0F78534A"/>
    <w:rsid w:val="0F89358A"/>
    <w:rsid w:val="0F8C6D51"/>
    <w:rsid w:val="101A497B"/>
    <w:rsid w:val="105B0B5E"/>
    <w:rsid w:val="10D831F8"/>
    <w:rsid w:val="10F51750"/>
    <w:rsid w:val="11153D7F"/>
    <w:rsid w:val="112E58D0"/>
    <w:rsid w:val="11731CAC"/>
    <w:rsid w:val="119500A0"/>
    <w:rsid w:val="11C0733B"/>
    <w:rsid w:val="11D50D17"/>
    <w:rsid w:val="120E0809"/>
    <w:rsid w:val="127F665A"/>
    <w:rsid w:val="12E2042B"/>
    <w:rsid w:val="12F57DCD"/>
    <w:rsid w:val="12F7068C"/>
    <w:rsid w:val="13976ACE"/>
    <w:rsid w:val="14207DC0"/>
    <w:rsid w:val="142237D1"/>
    <w:rsid w:val="143825E9"/>
    <w:rsid w:val="14B932DA"/>
    <w:rsid w:val="14BA50C7"/>
    <w:rsid w:val="150A66AF"/>
    <w:rsid w:val="154C1139"/>
    <w:rsid w:val="154F39A1"/>
    <w:rsid w:val="158C5B77"/>
    <w:rsid w:val="15DF4101"/>
    <w:rsid w:val="160D1149"/>
    <w:rsid w:val="163563C0"/>
    <w:rsid w:val="164315EF"/>
    <w:rsid w:val="16557DFE"/>
    <w:rsid w:val="167268FB"/>
    <w:rsid w:val="16770D0A"/>
    <w:rsid w:val="169A0039"/>
    <w:rsid w:val="16D50C50"/>
    <w:rsid w:val="16E120E1"/>
    <w:rsid w:val="16E46EB0"/>
    <w:rsid w:val="16EC1AF0"/>
    <w:rsid w:val="17385A05"/>
    <w:rsid w:val="173B3901"/>
    <w:rsid w:val="17560AF9"/>
    <w:rsid w:val="176747F9"/>
    <w:rsid w:val="17954A6E"/>
    <w:rsid w:val="17BE2C86"/>
    <w:rsid w:val="180059E9"/>
    <w:rsid w:val="181808D3"/>
    <w:rsid w:val="18392DA8"/>
    <w:rsid w:val="184510FD"/>
    <w:rsid w:val="188B3A9F"/>
    <w:rsid w:val="190648B0"/>
    <w:rsid w:val="19071D6C"/>
    <w:rsid w:val="190E3F49"/>
    <w:rsid w:val="190F2C2D"/>
    <w:rsid w:val="199E5B3C"/>
    <w:rsid w:val="19D26CD4"/>
    <w:rsid w:val="19E60D19"/>
    <w:rsid w:val="1A111E8F"/>
    <w:rsid w:val="1A3E3450"/>
    <w:rsid w:val="1A845139"/>
    <w:rsid w:val="1AD807E5"/>
    <w:rsid w:val="1B39345B"/>
    <w:rsid w:val="1B596CDD"/>
    <w:rsid w:val="1BA16445"/>
    <w:rsid w:val="1BFB2A1F"/>
    <w:rsid w:val="1C015D4A"/>
    <w:rsid w:val="1C045D88"/>
    <w:rsid w:val="1C290ED5"/>
    <w:rsid w:val="1C2A0790"/>
    <w:rsid w:val="1C317E4F"/>
    <w:rsid w:val="1C3D34E0"/>
    <w:rsid w:val="1C472464"/>
    <w:rsid w:val="1CAD7B21"/>
    <w:rsid w:val="1D22799A"/>
    <w:rsid w:val="1D5C1A72"/>
    <w:rsid w:val="1DAF458D"/>
    <w:rsid w:val="1E086ACE"/>
    <w:rsid w:val="1E3D5942"/>
    <w:rsid w:val="1E4D6E47"/>
    <w:rsid w:val="1E62130A"/>
    <w:rsid w:val="1E97358B"/>
    <w:rsid w:val="1EAA4A5F"/>
    <w:rsid w:val="1EB451C7"/>
    <w:rsid w:val="1EE869A7"/>
    <w:rsid w:val="1EF212FF"/>
    <w:rsid w:val="1EF26B10"/>
    <w:rsid w:val="1F3F37CF"/>
    <w:rsid w:val="1FA15E62"/>
    <w:rsid w:val="1FB008A9"/>
    <w:rsid w:val="1FED69B6"/>
    <w:rsid w:val="20394F4E"/>
    <w:rsid w:val="205D3184"/>
    <w:rsid w:val="2064678E"/>
    <w:rsid w:val="20DC1AB9"/>
    <w:rsid w:val="20DD6197"/>
    <w:rsid w:val="212631E0"/>
    <w:rsid w:val="2138666F"/>
    <w:rsid w:val="21742080"/>
    <w:rsid w:val="21A53757"/>
    <w:rsid w:val="21F879E1"/>
    <w:rsid w:val="221236C6"/>
    <w:rsid w:val="22C32639"/>
    <w:rsid w:val="22D7662C"/>
    <w:rsid w:val="230A73C1"/>
    <w:rsid w:val="23326B7F"/>
    <w:rsid w:val="2380045B"/>
    <w:rsid w:val="23BC04D2"/>
    <w:rsid w:val="23EF1892"/>
    <w:rsid w:val="241B15F9"/>
    <w:rsid w:val="24546356"/>
    <w:rsid w:val="2483647E"/>
    <w:rsid w:val="24A32D55"/>
    <w:rsid w:val="24B211E9"/>
    <w:rsid w:val="24CE6D9A"/>
    <w:rsid w:val="24EA7A82"/>
    <w:rsid w:val="25215DA8"/>
    <w:rsid w:val="25292727"/>
    <w:rsid w:val="252E5CA9"/>
    <w:rsid w:val="253529E3"/>
    <w:rsid w:val="25496541"/>
    <w:rsid w:val="256F7692"/>
    <w:rsid w:val="25BA2154"/>
    <w:rsid w:val="25C8773F"/>
    <w:rsid w:val="26235823"/>
    <w:rsid w:val="263567C3"/>
    <w:rsid w:val="264A7253"/>
    <w:rsid w:val="264B5670"/>
    <w:rsid w:val="26523108"/>
    <w:rsid w:val="26F0170C"/>
    <w:rsid w:val="26FE3B9A"/>
    <w:rsid w:val="27201D62"/>
    <w:rsid w:val="27286E73"/>
    <w:rsid w:val="27361716"/>
    <w:rsid w:val="27CF2642"/>
    <w:rsid w:val="27E777F5"/>
    <w:rsid w:val="27EA1D4C"/>
    <w:rsid w:val="27EA2E41"/>
    <w:rsid w:val="282459E2"/>
    <w:rsid w:val="283A7FE5"/>
    <w:rsid w:val="285F51FF"/>
    <w:rsid w:val="28DA4193"/>
    <w:rsid w:val="28DF2665"/>
    <w:rsid w:val="29072599"/>
    <w:rsid w:val="291029F3"/>
    <w:rsid w:val="29250CF4"/>
    <w:rsid w:val="29CB58F0"/>
    <w:rsid w:val="2A053397"/>
    <w:rsid w:val="2A145E96"/>
    <w:rsid w:val="2A2131BB"/>
    <w:rsid w:val="2A79009C"/>
    <w:rsid w:val="2AAE03E4"/>
    <w:rsid w:val="2AF5378F"/>
    <w:rsid w:val="2B692CAB"/>
    <w:rsid w:val="2BA141AB"/>
    <w:rsid w:val="2BB26965"/>
    <w:rsid w:val="2BB94DBF"/>
    <w:rsid w:val="2BF37410"/>
    <w:rsid w:val="2C527ADC"/>
    <w:rsid w:val="2C6F314E"/>
    <w:rsid w:val="2CC206BE"/>
    <w:rsid w:val="2D1136DF"/>
    <w:rsid w:val="2D20606D"/>
    <w:rsid w:val="2D6729FE"/>
    <w:rsid w:val="2DB87198"/>
    <w:rsid w:val="2DB93C54"/>
    <w:rsid w:val="2E3D144C"/>
    <w:rsid w:val="2E891204"/>
    <w:rsid w:val="2E957E8D"/>
    <w:rsid w:val="2EC01285"/>
    <w:rsid w:val="2ED724E2"/>
    <w:rsid w:val="2F3F0A28"/>
    <w:rsid w:val="2FBF7029"/>
    <w:rsid w:val="2FD0187F"/>
    <w:rsid w:val="2FD05D80"/>
    <w:rsid w:val="2FD27414"/>
    <w:rsid w:val="2FFE4BB0"/>
    <w:rsid w:val="300E7B60"/>
    <w:rsid w:val="300F6E18"/>
    <w:rsid w:val="30681011"/>
    <w:rsid w:val="307B513A"/>
    <w:rsid w:val="30862F5F"/>
    <w:rsid w:val="30A4775A"/>
    <w:rsid w:val="31187210"/>
    <w:rsid w:val="314029C9"/>
    <w:rsid w:val="31637D77"/>
    <w:rsid w:val="31C44490"/>
    <w:rsid w:val="31C63837"/>
    <w:rsid w:val="31C82E39"/>
    <w:rsid w:val="32601BAD"/>
    <w:rsid w:val="326734DA"/>
    <w:rsid w:val="329F6389"/>
    <w:rsid w:val="32AD7261"/>
    <w:rsid w:val="32F72158"/>
    <w:rsid w:val="33133046"/>
    <w:rsid w:val="3389023A"/>
    <w:rsid w:val="33BF2B23"/>
    <w:rsid w:val="33CB74FA"/>
    <w:rsid w:val="33F92975"/>
    <w:rsid w:val="343642F2"/>
    <w:rsid w:val="343F3010"/>
    <w:rsid w:val="345D0A00"/>
    <w:rsid w:val="34713BFD"/>
    <w:rsid w:val="34C13589"/>
    <w:rsid w:val="353369E3"/>
    <w:rsid w:val="353E440B"/>
    <w:rsid w:val="357F1FC5"/>
    <w:rsid w:val="35B21E0B"/>
    <w:rsid w:val="35E00D72"/>
    <w:rsid w:val="367B2372"/>
    <w:rsid w:val="36965B9D"/>
    <w:rsid w:val="36C549FD"/>
    <w:rsid w:val="37292E94"/>
    <w:rsid w:val="37A755DD"/>
    <w:rsid w:val="37F33BFE"/>
    <w:rsid w:val="37F94FA0"/>
    <w:rsid w:val="380D3381"/>
    <w:rsid w:val="38115B1F"/>
    <w:rsid w:val="385E3AC3"/>
    <w:rsid w:val="387D6B9E"/>
    <w:rsid w:val="38B75FF0"/>
    <w:rsid w:val="38D45016"/>
    <w:rsid w:val="38D90432"/>
    <w:rsid w:val="38F6340A"/>
    <w:rsid w:val="3914510A"/>
    <w:rsid w:val="3926770B"/>
    <w:rsid w:val="3982065B"/>
    <w:rsid w:val="398D3668"/>
    <w:rsid w:val="3998601A"/>
    <w:rsid w:val="39C07A98"/>
    <w:rsid w:val="39DA0497"/>
    <w:rsid w:val="39E61D11"/>
    <w:rsid w:val="3A12469D"/>
    <w:rsid w:val="3A893816"/>
    <w:rsid w:val="3A893B6D"/>
    <w:rsid w:val="3AD1763A"/>
    <w:rsid w:val="3AEF0C33"/>
    <w:rsid w:val="3B196883"/>
    <w:rsid w:val="3B20428E"/>
    <w:rsid w:val="3B3C5EF2"/>
    <w:rsid w:val="3B6716E3"/>
    <w:rsid w:val="3B6C6B2D"/>
    <w:rsid w:val="3B914FFA"/>
    <w:rsid w:val="3C242659"/>
    <w:rsid w:val="3C4615F1"/>
    <w:rsid w:val="3C8E74A5"/>
    <w:rsid w:val="3C96719C"/>
    <w:rsid w:val="3CA72BE8"/>
    <w:rsid w:val="3CAE054C"/>
    <w:rsid w:val="3CD953C0"/>
    <w:rsid w:val="3CDC1E1E"/>
    <w:rsid w:val="3CF37F8C"/>
    <w:rsid w:val="3CF56684"/>
    <w:rsid w:val="3D0368DC"/>
    <w:rsid w:val="3D137554"/>
    <w:rsid w:val="3D5275AC"/>
    <w:rsid w:val="3D697404"/>
    <w:rsid w:val="3DA43EB3"/>
    <w:rsid w:val="3DCC2473"/>
    <w:rsid w:val="3DD522A7"/>
    <w:rsid w:val="3DEB0883"/>
    <w:rsid w:val="3DF94BC0"/>
    <w:rsid w:val="3E2527BF"/>
    <w:rsid w:val="3E654CDB"/>
    <w:rsid w:val="3E70484C"/>
    <w:rsid w:val="3E731662"/>
    <w:rsid w:val="3E786551"/>
    <w:rsid w:val="3E8168DD"/>
    <w:rsid w:val="3EA7725F"/>
    <w:rsid w:val="3EB03713"/>
    <w:rsid w:val="3EBF1A11"/>
    <w:rsid w:val="3EC52607"/>
    <w:rsid w:val="3EEC6CEF"/>
    <w:rsid w:val="3F065BE5"/>
    <w:rsid w:val="3F183429"/>
    <w:rsid w:val="3F5B2542"/>
    <w:rsid w:val="3FB77A1D"/>
    <w:rsid w:val="3FD87568"/>
    <w:rsid w:val="3FDC3674"/>
    <w:rsid w:val="3FE76B1C"/>
    <w:rsid w:val="3FED7F8A"/>
    <w:rsid w:val="40094AEF"/>
    <w:rsid w:val="405470BD"/>
    <w:rsid w:val="405F4620"/>
    <w:rsid w:val="40645B01"/>
    <w:rsid w:val="40794A29"/>
    <w:rsid w:val="40834692"/>
    <w:rsid w:val="40C85CF2"/>
    <w:rsid w:val="41431AD5"/>
    <w:rsid w:val="414B3C0F"/>
    <w:rsid w:val="41717BB3"/>
    <w:rsid w:val="417575F2"/>
    <w:rsid w:val="417B5309"/>
    <w:rsid w:val="417C1CE7"/>
    <w:rsid w:val="41900018"/>
    <w:rsid w:val="41944406"/>
    <w:rsid w:val="41CE128F"/>
    <w:rsid w:val="41DA6F12"/>
    <w:rsid w:val="41EF6382"/>
    <w:rsid w:val="42171FB1"/>
    <w:rsid w:val="422724D3"/>
    <w:rsid w:val="423A7F15"/>
    <w:rsid w:val="42830B5F"/>
    <w:rsid w:val="4299640D"/>
    <w:rsid w:val="42C10D7B"/>
    <w:rsid w:val="433D4538"/>
    <w:rsid w:val="434E6957"/>
    <w:rsid w:val="43BA0E31"/>
    <w:rsid w:val="43C15147"/>
    <w:rsid w:val="43E14DD2"/>
    <w:rsid w:val="43F800E9"/>
    <w:rsid w:val="43FD1B50"/>
    <w:rsid w:val="443A7E4B"/>
    <w:rsid w:val="444A7D08"/>
    <w:rsid w:val="44BF5507"/>
    <w:rsid w:val="452F5B3A"/>
    <w:rsid w:val="454E7FD2"/>
    <w:rsid w:val="46061BDC"/>
    <w:rsid w:val="461404F8"/>
    <w:rsid w:val="46413018"/>
    <w:rsid w:val="464B7E04"/>
    <w:rsid w:val="468041AA"/>
    <w:rsid w:val="468123C6"/>
    <w:rsid w:val="46847698"/>
    <w:rsid w:val="46901EEE"/>
    <w:rsid w:val="469C74D2"/>
    <w:rsid w:val="47445515"/>
    <w:rsid w:val="474B4782"/>
    <w:rsid w:val="477A0A56"/>
    <w:rsid w:val="47BA2F34"/>
    <w:rsid w:val="47D90D14"/>
    <w:rsid w:val="47DE1152"/>
    <w:rsid w:val="48387FB0"/>
    <w:rsid w:val="483A6114"/>
    <w:rsid w:val="488727DB"/>
    <w:rsid w:val="48B82268"/>
    <w:rsid w:val="48C354B3"/>
    <w:rsid w:val="48E14F39"/>
    <w:rsid w:val="493D58B5"/>
    <w:rsid w:val="494A7A04"/>
    <w:rsid w:val="4957164B"/>
    <w:rsid w:val="49605EF7"/>
    <w:rsid w:val="49F675C1"/>
    <w:rsid w:val="4A0A26D2"/>
    <w:rsid w:val="4A2019A5"/>
    <w:rsid w:val="4A241A0B"/>
    <w:rsid w:val="4A5C2BD7"/>
    <w:rsid w:val="4A7B2875"/>
    <w:rsid w:val="4A934476"/>
    <w:rsid w:val="4AAA220A"/>
    <w:rsid w:val="4AE12E67"/>
    <w:rsid w:val="4B1248F5"/>
    <w:rsid w:val="4B4C0111"/>
    <w:rsid w:val="4B4D6D33"/>
    <w:rsid w:val="4B6E0D9A"/>
    <w:rsid w:val="4B8553A9"/>
    <w:rsid w:val="4BD47A8F"/>
    <w:rsid w:val="4BDB3730"/>
    <w:rsid w:val="4C200F7A"/>
    <w:rsid w:val="4C582666"/>
    <w:rsid w:val="4CB66E52"/>
    <w:rsid w:val="4CEE3180"/>
    <w:rsid w:val="4D0F4AF6"/>
    <w:rsid w:val="4D242282"/>
    <w:rsid w:val="4DD00CCF"/>
    <w:rsid w:val="4DF94F37"/>
    <w:rsid w:val="4E0A1DD5"/>
    <w:rsid w:val="4E3160E5"/>
    <w:rsid w:val="4E4D37AF"/>
    <w:rsid w:val="4E8C6496"/>
    <w:rsid w:val="4EFD18DE"/>
    <w:rsid w:val="4F144236"/>
    <w:rsid w:val="4F160737"/>
    <w:rsid w:val="4F1B2830"/>
    <w:rsid w:val="4F663C87"/>
    <w:rsid w:val="4F766B6C"/>
    <w:rsid w:val="4F7E29A8"/>
    <w:rsid w:val="4F9E1FFC"/>
    <w:rsid w:val="50063094"/>
    <w:rsid w:val="500F1074"/>
    <w:rsid w:val="50447CC2"/>
    <w:rsid w:val="50874A7C"/>
    <w:rsid w:val="50895EE7"/>
    <w:rsid w:val="508A76A1"/>
    <w:rsid w:val="50921B9D"/>
    <w:rsid w:val="50955595"/>
    <w:rsid w:val="50CD2760"/>
    <w:rsid w:val="50D16158"/>
    <w:rsid w:val="50D47A05"/>
    <w:rsid w:val="50DB5F45"/>
    <w:rsid w:val="51025EB1"/>
    <w:rsid w:val="51131C94"/>
    <w:rsid w:val="51141503"/>
    <w:rsid w:val="513C450E"/>
    <w:rsid w:val="516530B4"/>
    <w:rsid w:val="518D0ED5"/>
    <w:rsid w:val="520F3DD4"/>
    <w:rsid w:val="52514491"/>
    <w:rsid w:val="525C687F"/>
    <w:rsid w:val="52A3740A"/>
    <w:rsid w:val="52F647F7"/>
    <w:rsid w:val="52F92565"/>
    <w:rsid w:val="53AE735E"/>
    <w:rsid w:val="53CA54FF"/>
    <w:rsid w:val="53D03877"/>
    <w:rsid w:val="542F73CA"/>
    <w:rsid w:val="5430786D"/>
    <w:rsid w:val="545A1D2A"/>
    <w:rsid w:val="54C811C0"/>
    <w:rsid w:val="553D51D9"/>
    <w:rsid w:val="556A442D"/>
    <w:rsid w:val="55A16A56"/>
    <w:rsid w:val="55DA564E"/>
    <w:rsid w:val="55E816A3"/>
    <w:rsid w:val="5604127D"/>
    <w:rsid w:val="56044E6C"/>
    <w:rsid w:val="56166703"/>
    <w:rsid w:val="563B718A"/>
    <w:rsid w:val="56510474"/>
    <w:rsid w:val="565F1AB5"/>
    <w:rsid w:val="565F79CA"/>
    <w:rsid w:val="56861525"/>
    <w:rsid w:val="56A93273"/>
    <w:rsid w:val="56BD550C"/>
    <w:rsid w:val="56E07045"/>
    <w:rsid w:val="56FF28AF"/>
    <w:rsid w:val="57181C3E"/>
    <w:rsid w:val="575222E2"/>
    <w:rsid w:val="57540E7D"/>
    <w:rsid w:val="576733EA"/>
    <w:rsid w:val="576A7A19"/>
    <w:rsid w:val="577B4878"/>
    <w:rsid w:val="57926973"/>
    <w:rsid w:val="57B25E0A"/>
    <w:rsid w:val="57D1482F"/>
    <w:rsid w:val="57DB5A14"/>
    <w:rsid w:val="58175352"/>
    <w:rsid w:val="581F2200"/>
    <w:rsid w:val="583059FA"/>
    <w:rsid w:val="5837524F"/>
    <w:rsid w:val="584A0929"/>
    <w:rsid w:val="586C049F"/>
    <w:rsid w:val="58CD2491"/>
    <w:rsid w:val="591B41B2"/>
    <w:rsid w:val="59240E7E"/>
    <w:rsid w:val="59254A26"/>
    <w:rsid w:val="59326325"/>
    <w:rsid w:val="59371911"/>
    <w:rsid w:val="595C505B"/>
    <w:rsid w:val="595E55C3"/>
    <w:rsid w:val="596E7E20"/>
    <w:rsid w:val="599C623D"/>
    <w:rsid w:val="59BA13DC"/>
    <w:rsid w:val="5A5D23AA"/>
    <w:rsid w:val="5A60780B"/>
    <w:rsid w:val="5AB34579"/>
    <w:rsid w:val="5AB40E78"/>
    <w:rsid w:val="5AF80B40"/>
    <w:rsid w:val="5AFC6609"/>
    <w:rsid w:val="5B113480"/>
    <w:rsid w:val="5B953AFF"/>
    <w:rsid w:val="5BD456CE"/>
    <w:rsid w:val="5C0D1F49"/>
    <w:rsid w:val="5CBB0CE2"/>
    <w:rsid w:val="5CC17177"/>
    <w:rsid w:val="5CF306BC"/>
    <w:rsid w:val="5D3F3D64"/>
    <w:rsid w:val="5D833043"/>
    <w:rsid w:val="5DD92690"/>
    <w:rsid w:val="5DDB1CFD"/>
    <w:rsid w:val="5E612863"/>
    <w:rsid w:val="5E7E6D93"/>
    <w:rsid w:val="5E81465D"/>
    <w:rsid w:val="5E82459B"/>
    <w:rsid w:val="5ED44800"/>
    <w:rsid w:val="5F350BDE"/>
    <w:rsid w:val="5F61632C"/>
    <w:rsid w:val="5FA17648"/>
    <w:rsid w:val="5FE705CB"/>
    <w:rsid w:val="5FF26ABB"/>
    <w:rsid w:val="6007714E"/>
    <w:rsid w:val="603D5080"/>
    <w:rsid w:val="606842D0"/>
    <w:rsid w:val="60D0261B"/>
    <w:rsid w:val="611124C0"/>
    <w:rsid w:val="618E3791"/>
    <w:rsid w:val="61947DCA"/>
    <w:rsid w:val="61A46A97"/>
    <w:rsid w:val="61AC690D"/>
    <w:rsid w:val="61D1382F"/>
    <w:rsid w:val="61F114A2"/>
    <w:rsid w:val="622B0ABA"/>
    <w:rsid w:val="62512BB4"/>
    <w:rsid w:val="625D7D1A"/>
    <w:rsid w:val="62660469"/>
    <w:rsid w:val="62893169"/>
    <w:rsid w:val="62C047BC"/>
    <w:rsid w:val="62DD7D21"/>
    <w:rsid w:val="636F401F"/>
    <w:rsid w:val="637D586B"/>
    <w:rsid w:val="63A5560B"/>
    <w:rsid w:val="63B74E33"/>
    <w:rsid w:val="63E9091F"/>
    <w:rsid w:val="64322AF9"/>
    <w:rsid w:val="64454496"/>
    <w:rsid w:val="646C3A31"/>
    <w:rsid w:val="64797A79"/>
    <w:rsid w:val="64D6010D"/>
    <w:rsid w:val="64D82665"/>
    <w:rsid w:val="64E47C96"/>
    <w:rsid w:val="651E5741"/>
    <w:rsid w:val="65325DA4"/>
    <w:rsid w:val="655D7702"/>
    <w:rsid w:val="658A4877"/>
    <w:rsid w:val="65A00902"/>
    <w:rsid w:val="65AC6EDD"/>
    <w:rsid w:val="65D97752"/>
    <w:rsid w:val="66085536"/>
    <w:rsid w:val="66105BF7"/>
    <w:rsid w:val="66150023"/>
    <w:rsid w:val="661E2F5D"/>
    <w:rsid w:val="6628010D"/>
    <w:rsid w:val="669B4528"/>
    <w:rsid w:val="66BD7809"/>
    <w:rsid w:val="66CC12D7"/>
    <w:rsid w:val="67134CEF"/>
    <w:rsid w:val="671F1ABD"/>
    <w:rsid w:val="67521A59"/>
    <w:rsid w:val="67C304AB"/>
    <w:rsid w:val="67C403F7"/>
    <w:rsid w:val="681245D9"/>
    <w:rsid w:val="683F0658"/>
    <w:rsid w:val="68805A86"/>
    <w:rsid w:val="689C6793"/>
    <w:rsid w:val="68DB0208"/>
    <w:rsid w:val="68FB170C"/>
    <w:rsid w:val="690111A9"/>
    <w:rsid w:val="691B3D98"/>
    <w:rsid w:val="693748F0"/>
    <w:rsid w:val="694D6AB1"/>
    <w:rsid w:val="69846A0E"/>
    <w:rsid w:val="69AA1366"/>
    <w:rsid w:val="69AD798C"/>
    <w:rsid w:val="69B31F10"/>
    <w:rsid w:val="69D005C0"/>
    <w:rsid w:val="69D80B96"/>
    <w:rsid w:val="69F47AD7"/>
    <w:rsid w:val="6A2C39D4"/>
    <w:rsid w:val="6A913BEA"/>
    <w:rsid w:val="6AEC5FC0"/>
    <w:rsid w:val="6B68175F"/>
    <w:rsid w:val="6BFD799F"/>
    <w:rsid w:val="6C0A1FE2"/>
    <w:rsid w:val="6C4A2E5A"/>
    <w:rsid w:val="6C8138D0"/>
    <w:rsid w:val="6C8A17D0"/>
    <w:rsid w:val="6C9146D2"/>
    <w:rsid w:val="6CEF0725"/>
    <w:rsid w:val="6D4B2604"/>
    <w:rsid w:val="6D5D1E11"/>
    <w:rsid w:val="6D77358F"/>
    <w:rsid w:val="6D8030E4"/>
    <w:rsid w:val="6E0E35C4"/>
    <w:rsid w:val="6E0F7A08"/>
    <w:rsid w:val="6E3947F5"/>
    <w:rsid w:val="6E5D5206"/>
    <w:rsid w:val="6E6733A0"/>
    <w:rsid w:val="6E6E3938"/>
    <w:rsid w:val="6E9C74ED"/>
    <w:rsid w:val="6EF72976"/>
    <w:rsid w:val="6F1B09E4"/>
    <w:rsid w:val="6F795A80"/>
    <w:rsid w:val="6F7C1D2E"/>
    <w:rsid w:val="6F8E0407"/>
    <w:rsid w:val="6F9B6DF4"/>
    <w:rsid w:val="6FDD069F"/>
    <w:rsid w:val="702B4D16"/>
    <w:rsid w:val="70703A03"/>
    <w:rsid w:val="70AA6621"/>
    <w:rsid w:val="7111480F"/>
    <w:rsid w:val="71261F49"/>
    <w:rsid w:val="712E6956"/>
    <w:rsid w:val="71473612"/>
    <w:rsid w:val="71504F32"/>
    <w:rsid w:val="7152309F"/>
    <w:rsid w:val="716846DD"/>
    <w:rsid w:val="718F7F65"/>
    <w:rsid w:val="71CB3BA4"/>
    <w:rsid w:val="71DA6992"/>
    <w:rsid w:val="727B234E"/>
    <w:rsid w:val="728A58B0"/>
    <w:rsid w:val="72D068C7"/>
    <w:rsid w:val="72E42ED8"/>
    <w:rsid w:val="72F5065E"/>
    <w:rsid w:val="72FC34C3"/>
    <w:rsid w:val="734B5419"/>
    <w:rsid w:val="735F4CB9"/>
    <w:rsid w:val="73674C62"/>
    <w:rsid w:val="73845865"/>
    <w:rsid w:val="739B6D9E"/>
    <w:rsid w:val="73BC1D76"/>
    <w:rsid w:val="73DE0191"/>
    <w:rsid w:val="73FB6630"/>
    <w:rsid w:val="748D790E"/>
    <w:rsid w:val="749820CC"/>
    <w:rsid w:val="74B9298E"/>
    <w:rsid w:val="74CE04EC"/>
    <w:rsid w:val="74E76DCD"/>
    <w:rsid w:val="751D7C0A"/>
    <w:rsid w:val="752F5A4A"/>
    <w:rsid w:val="75560C1E"/>
    <w:rsid w:val="75722D56"/>
    <w:rsid w:val="75925222"/>
    <w:rsid w:val="75DB5477"/>
    <w:rsid w:val="75FC6AC3"/>
    <w:rsid w:val="7616619B"/>
    <w:rsid w:val="76660D7C"/>
    <w:rsid w:val="766C5968"/>
    <w:rsid w:val="768A40E2"/>
    <w:rsid w:val="76BE0C8F"/>
    <w:rsid w:val="76CD53B2"/>
    <w:rsid w:val="76E6594C"/>
    <w:rsid w:val="770719AC"/>
    <w:rsid w:val="776526CC"/>
    <w:rsid w:val="779D193F"/>
    <w:rsid w:val="77A262E1"/>
    <w:rsid w:val="77B13C33"/>
    <w:rsid w:val="77DC095A"/>
    <w:rsid w:val="77ED6F44"/>
    <w:rsid w:val="77F45548"/>
    <w:rsid w:val="77FC440B"/>
    <w:rsid w:val="784E7CA6"/>
    <w:rsid w:val="78574801"/>
    <w:rsid w:val="7873527F"/>
    <w:rsid w:val="78AF4FF5"/>
    <w:rsid w:val="78C268AF"/>
    <w:rsid w:val="78DE11FD"/>
    <w:rsid w:val="790A6425"/>
    <w:rsid w:val="790D6AAF"/>
    <w:rsid w:val="790E2D96"/>
    <w:rsid w:val="791B54B2"/>
    <w:rsid w:val="793C0F89"/>
    <w:rsid w:val="795A0A34"/>
    <w:rsid w:val="797339C3"/>
    <w:rsid w:val="79CC56E9"/>
    <w:rsid w:val="79D57D57"/>
    <w:rsid w:val="79F00650"/>
    <w:rsid w:val="7A6242BF"/>
    <w:rsid w:val="7A794513"/>
    <w:rsid w:val="7A7A2E5A"/>
    <w:rsid w:val="7A9B3811"/>
    <w:rsid w:val="7AB4245F"/>
    <w:rsid w:val="7AB467DA"/>
    <w:rsid w:val="7AB9318D"/>
    <w:rsid w:val="7AE952D2"/>
    <w:rsid w:val="7B383C72"/>
    <w:rsid w:val="7B9F26AF"/>
    <w:rsid w:val="7BB607FE"/>
    <w:rsid w:val="7C7248A0"/>
    <w:rsid w:val="7C976D69"/>
    <w:rsid w:val="7CAF3FAE"/>
    <w:rsid w:val="7CD752DA"/>
    <w:rsid w:val="7CDE40AB"/>
    <w:rsid w:val="7CE30FD3"/>
    <w:rsid w:val="7CF057E2"/>
    <w:rsid w:val="7D1548B5"/>
    <w:rsid w:val="7D420F5D"/>
    <w:rsid w:val="7DF84014"/>
    <w:rsid w:val="7E207949"/>
    <w:rsid w:val="7E5C0A47"/>
    <w:rsid w:val="7E670C75"/>
    <w:rsid w:val="7EE24272"/>
    <w:rsid w:val="7EEA6053"/>
    <w:rsid w:val="7F184C3C"/>
    <w:rsid w:val="7F487C04"/>
    <w:rsid w:val="7F611CBA"/>
    <w:rsid w:val="7F9C76A8"/>
    <w:rsid w:val="7FB45F21"/>
    <w:rsid w:val="7FC56F52"/>
    <w:rsid w:val="7FE57088"/>
    <w:rsid w:val="7FF37FA3"/>
    <w:rsid w:val="7FF631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6603</Words>
  <Characters>7511</Characters>
  <Lines>0</Lines>
  <Paragraphs>0</Paragraphs>
  <TotalTime>6</TotalTime>
  <ScaleCrop>false</ScaleCrop>
  <LinksUpToDate>false</LinksUpToDate>
  <CharactersWithSpaces>7522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2025-04-10T10:17:39Z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