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2354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29BE25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A4FE38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沙湾市妇女联合会</w:t>
      </w:r>
    </w:p>
    <w:p w14:paraId="544A62D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27BCD42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8D555AD">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43BA1A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E60B77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7939F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23B81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897B84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070CA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5DF0E1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321CE3B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A2BF2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D38FB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D7031B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4BE50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42434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31F024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FA9C8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8909C2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ECA86E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8DBE4E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E69D0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0B9C2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9316D4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F7E35E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A63F01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F1A64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9FEDC3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022FA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EF4AA2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28AA91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C8EF0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A002E8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278FF9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A9D13A9">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340703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E0638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46A69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00CFE2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沙湾市妇女联合会是市委的一个直属机构，主要职责是围绕中心、服务大局，坚持稳定是第一责任的原则，指导各级妇联依据《中华全国妇女联合会章程》，按照《妇女儿童发展纲要》的目标开展妇女儿童工作。妇儿工委办公室的职责：协调和推动政府有关部门和地方做好维护妇女儿童权益保障工作；协调和推动政府有关部门做好《妇女发展纲要》和《儿童发展纲要》的实施工作</w:t>
      </w:r>
      <w:r>
        <w:rPr>
          <w:rFonts w:hint="eastAsia" w:ascii="仿宋_GB2312" w:eastAsia="仿宋_GB2312"/>
          <w:color w:val="auto"/>
          <w:sz w:val="32"/>
          <w:szCs w:val="32"/>
          <w:highlight w:val="none"/>
          <w:lang w:eastAsia="zh-CN"/>
        </w:rPr>
        <w:t>。</w:t>
      </w:r>
    </w:p>
    <w:p w14:paraId="60D453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BF70C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沙湾市妇女联合会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14:paraId="3582E71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该单位无下属预算单位，下设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办公室</w:t>
      </w:r>
      <w:r>
        <w:rPr>
          <w:rFonts w:hint="eastAsia" w:ascii="仿宋_GB2312" w:hAnsi="宋体" w:eastAsia="仿宋_GB2312" w:cs="宋体"/>
          <w:color w:val="auto"/>
          <w:kern w:val="0"/>
          <w:sz w:val="32"/>
          <w:szCs w:val="32"/>
          <w:highlight w:val="none"/>
        </w:rPr>
        <w:t>。</w:t>
      </w:r>
    </w:p>
    <w:p w14:paraId="325DB8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17604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8FD95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97.69万元，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97.69万元，使用非财政拨款结余0.00万元，年初结转和结余0.00万元。</w:t>
      </w:r>
    </w:p>
    <w:p w14:paraId="29EA5D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97.69万元，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97.69万元，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E9EAB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增加25.29万元</w:t>
      </w:r>
      <w:r>
        <w:rPr>
          <w:rFonts w:hint="eastAsia" w:ascii="仿宋_GB2312" w:eastAsia="仿宋_GB2312"/>
          <w:color w:val="auto"/>
          <w:spacing w:val="0"/>
          <w:sz w:val="32"/>
          <w:szCs w:val="32"/>
          <w:highlight w:val="none"/>
          <w:lang w:eastAsia="zh-CN"/>
        </w:rPr>
        <w:t>，增长34.93%，主要原因是：在职人员基本工资，基础绩效调资，相应社保、公积金缴费基数提高，缴费增加；退休人员增加</w:t>
      </w:r>
      <w:r>
        <w:rPr>
          <w:rFonts w:hint="eastAsia" w:ascii="仿宋_GB2312" w:eastAsia="仿宋_GB2312"/>
          <w:color w:val="auto"/>
          <w:spacing w:val="0"/>
          <w:sz w:val="32"/>
          <w:szCs w:val="32"/>
          <w:highlight w:val="none"/>
          <w:lang w:val="en-US" w:eastAsia="zh-CN"/>
        </w:rPr>
        <w:t>2人，职业年金支出增加，故本年收入支出比上年增长</w:t>
      </w:r>
      <w:r>
        <w:rPr>
          <w:rFonts w:hint="eastAsia" w:ascii="仿宋_GB2312" w:eastAsia="仿宋_GB2312"/>
          <w:color w:val="auto"/>
          <w:spacing w:val="0"/>
          <w:sz w:val="32"/>
          <w:szCs w:val="32"/>
          <w:highlight w:val="none"/>
          <w:lang w:eastAsia="zh-CN"/>
        </w:rPr>
        <w:t>。</w:t>
      </w:r>
    </w:p>
    <w:p w14:paraId="263665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11727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97.69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97.69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6B6141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39719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本年支出97.69万元，其中：基本支出95.19万元，占97.44%；项目支出2.50万元，占2.56%；上缴上级支出0.00万元，占0.00%；经营支出0.00万元，占0.00%；对附属单位补助支出0.00万元，占0.00%。</w:t>
      </w:r>
    </w:p>
    <w:p w14:paraId="311646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1A5E8B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97.69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97.69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97.69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97.69</w:t>
      </w:r>
      <w:r>
        <w:rPr>
          <w:rFonts w:hint="eastAsia" w:ascii="仿宋_GB2312" w:eastAsia="仿宋_GB2312"/>
          <w:color w:val="auto"/>
          <w:spacing w:val="0"/>
          <w:sz w:val="32"/>
          <w:szCs w:val="32"/>
          <w:highlight w:val="none"/>
          <w:lang w:eastAsia="zh-CN"/>
        </w:rPr>
        <w:t>万元。</w:t>
      </w:r>
    </w:p>
    <w:p w14:paraId="25E85E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增加25.29万元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增长34.93%,</w:t>
      </w:r>
      <w:r>
        <w:rPr>
          <w:rFonts w:hint="eastAsia" w:ascii="仿宋_GB2312" w:eastAsia="仿宋_GB2312"/>
          <w:color w:val="auto"/>
          <w:spacing w:val="0"/>
          <w:sz w:val="32"/>
          <w:szCs w:val="32"/>
          <w:highlight w:val="none"/>
          <w:lang w:eastAsia="zh-CN"/>
        </w:rPr>
        <w:t>主要原因是：在职人员基本工资，基础绩效调资，相应社保、公积金缴费基数提高，缴费增加；退休人员增加</w:t>
      </w:r>
      <w:r>
        <w:rPr>
          <w:rFonts w:hint="eastAsia" w:ascii="仿宋_GB2312" w:eastAsia="仿宋_GB2312"/>
          <w:color w:val="auto"/>
          <w:spacing w:val="0"/>
          <w:sz w:val="32"/>
          <w:szCs w:val="32"/>
          <w:highlight w:val="none"/>
          <w:lang w:val="en-US" w:eastAsia="zh-CN"/>
        </w:rPr>
        <w:t>2人，职业年金支出增加，故本年收入支出比上年增长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71.08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97.69</w:t>
      </w:r>
      <w:r>
        <w:rPr>
          <w:rFonts w:hint="eastAsia" w:ascii="仿宋_GB2312" w:eastAsia="仿宋_GB2312"/>
          <w:color w:val="auto"/>
          <w:spacing w:val="0"/>
          <w:sz w:val="32"/>
          <w:szCs w:val="32"/>
          <w:highlight w:val="none"/>
          <w:lang w:eastAsia="zh-CN"/>
        </w:rPr>
        <w:t>万元，预决算差异率37.44%，主要原因是：在职人员基本工资，基础绩效调资，相应社保、公积金缴费基数提高，缴费增加；退休人员增加</w:t>
      </w:r>
      <w:r>
        <w:rPr>
          <w:rFonts w:hint="eastAsia" w:ascii="仿宋_GB2312" w:eastAsia="仿宋_GB2312"/>
          <w:color w:val="auto"/>
          <w:spacing w:val="0"/>
          <w:sz w:val="32"/>
          <w:szCs w:val="32"/>
          <w:highlight w:val="none"/>
          <w:lang w:val="en-US" w:eastAsia="zh-CN"/>
        </w:rPr>
        <w:t>2人，职业年金支出增加</w:t>
      </w:r>
      <w:r>
        <w:rPr>
          <w:rFonts w:hint="eastAsia" w:ascii="仿宋_GB2312" w:eastAsia="仿宋_GB2312"/>
          <w:color w:val="auto"/>
          <w:spacing w:val="0"/>
          <w:sz w:val="32"/>
          <w:szCs w:val="32"/>
          <w:highlight w:val="none"/>
          <w:lang w:eastAsia="zh-CN"/>
        </w:rPr>
        <w:t>。</w:t>
      </w:r>
    </w:p>
    <w:p w14:paraId="703874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EAC5E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996424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2023年度一般公共预算财政拨款支出97.69万元，占本年支出合计的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增加25.29万元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增长34.93%,</w:t>
      </w:r>
      <w:r>
        <w:rPr>
          <w:rFonts w:hint="eastAsia" w:ascii="仿宋_GB2312" w:eastAsia="仿宋_GB2312"/>
          <w:color w:val="auto"/>
          <w:spacing w:val="0"/>
          <w:sz w:val="32"/>
          <w:szCs w:val="32"/>
          <w:highlight w:val="none"/>
          <w:lang w:eastAsia="zh-CN"/>
        </w:rPr>
        <w:t>主要原因是：在职人员基本工资，基础绩效调资，相应社保、公积金缴费基数提高，缴费增加；退休人员增加</w:t>
      </w:r>
      <w:r>
        <w:rPr>
          <w:rFonts w:hint="eastAsia" w:ascii="仿宋_GB2312" w:eastAsia="仿宋_GB2312"/>
          <w:color w:val="auto"/>
          <w:spacing w:val="0"/>
          <w:sz w:val="32"/>
          <w:szCs w:val="32"/>
          <w:highlight w:val="none"/>
          <w:lang w:val="en-US" w:eastAsia="zh-CN"/>
        </w:rPr>
        <w:t>2人，职业年金支出增加，故本年收入支出比上年增长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71.08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97.69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37.44%</w:t>
      </w:r>
      <w:r>
        <w:rPr>
          <w:rFonts w:hint="eastAsia" w:ascii="仿宋_GB2312" w:eastAsia="仿宋_GB2312"/>
          <w:color w:val="auto"/>
          <w:spacing w:val="0"/>
          <w:sz w:val="32"/>
          <w:szCs w:val="32"/>
          <w:highlight w:val="none"/>
          <w:lang w:eastAsia="zh-CN"/>
        </w:rPr>
        <w:t>，主要原因是：在职人员基本工资，基础绩效调资，相应社保、公积金缴费基数提高，缴费增加；退休人员增加</w:t>
      </w:r>
      <w:r>
        <w:rPr>
          <w:rFonts w:hint="eastAsia" w:ascii="仿宋_GB2312" w:eastAsia="仿宋_GB2312"/>
          <w:color w:val="auto"/>
          <w:spacing w:val="0"/>
          <w:sz w:val="32"/>
          <w:szCs w:val="32"/>
          <w:highlight w:val="none"/>
          <w:lang w:val="en-US" w:eastAsia="zh-CN"/>
        </w:rPr>
        <w:t>2人，职业年金支出增加</w:t>
      </w:r>
      <w:bookmarkStart w:id="48" w:name="_GoBack"/>
      <w:bookmarkEnd w:id="48"/>
      <w:r>
        <w:rPr>
          <w:rFonts w:hint="eastAsia" w:ascii="仿宋_GB2312" w:eastAsia="仿宋_GB2312"/>
          <w:color w:val="auto"/>
          <w:spacing w:val="0"/>
          <w:sz w:val="32"/>
          <w:szCs w:val="32"/>
          <w:highlight w:val="none"/>
          <w:lang w:eastAsia="zh-CN"/>
        </w:rPr>
        <w:t>。</w:t>
      </w:r>
    </w:p>
    <w:p w14:paraId="59ED6E5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9D7086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65.23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66.77%</w:t>
      </w:r>
      <w:r>
        <w:rPr>
          <w:rFonts w:hint="default" w:ascii="仿宋_GB2312" w:hAnsi="Times New Roman" w:eastAsia="仿宋_GB2312" w:cs="Times New Roman"/>
          <w:color w:val="auto"/>
          <w:spacing w:val="0"/>
          <w:kern w:val="2"/>
          <w:sz w:val="32"/>
          <w:szCs w:val="32"/>
          <w:highlight w:val="none"/>
          <w:lang w:val="zh-CN" w:eastAsia="zh-CN" w:bidi="ar-SA"/>
        </w:rPr>
        <w:t>；</w:t>
      </w:r>
    </w:p>
    <w:p w14:paraId="4AC6332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21.60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22.11%</w:t>
      </w:r>
      <w:r>
        <w:rPr>
          <w:rFonts w:hint="default" w:ascii="仿宋_GB2312" w:hAnsi="Times New Roman" w:eastAsia="仿宋_GB2312" w:cs="Times New Roman"/>
          <w:color w:val="auto"/>
          <w:spacing w:val="0"/>
          <w:kern w:val="2"/>
          <w:sz w:val="32"/>
          <w:szCs w:val="32"/>
          <w:highlight w:val="none"/>
          <w:lang w:val="zh-CN" w:eastAsia="zh-CN" w:bidi="ar-SA"/>
        </w:rPr>
        <w:t>；</w:t>
      </w:r>
    </w:p>
    <w:p w14:paraId="63934B3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5.64%</w:t>
      </w:r>
      <w:r>
        <w:rPr>
          <w:rFonts w:hint="default" w:ascii="仿宋_GB2312" w:hAnsi="Times New Roman" w:eastAsia="仿宋_GB2312" w:cs="Times New Roman"/>
          <w:color w:val="auto"/>
          <w:spacing w:val="0"/>
          <w:kern w:val="2"/>
          <w:sz w:val="32"/>
          <w:szCs w:val="32"/>
          <w:highlight w:val="none"/>
          <w:lang w:val="zh-CN" w:eastAsia="zh-CN" w:bidi="ar-SA"/>
        </w:rPr>
        <w:t>；</w:t>
      </w:r>
    </w:p>
    <w:p w14:paraId="5DCE96F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5.47%。</w:t>
      </w:r>
    </w:p>
    <w:p w14:paraId="53F46B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8CDBB7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1.一般公共服务支出（类）群众团体事务（款）其他群众团体事务支出（项）:支出决算数为2.50万元，比上年决算增加2.50万元，增长100%，主要原因是：2023年我单位支付历年项目欠款</w:t>
      </w:r>
      <w:r>
        <w:rPr>
          <w:rFonts w:hint="eastAsia" w:ascii="仿宋_GB2312" w:hAnsi="仿宋_GB2312" w:eastAsia="仿宋_GB2312" w:cs="仿宋_GB2312"/>
          <w:color w:val="auto"/>
          <w:kern w:val="2"/>
          <w:sz w:val="32"/>
          <w:szCs w:val="32"/>
          <w:highlight w:val="none"/>
          <w:lang w:val="zh-CN" w:eastAsia="zh-CN" w:bidi="ar-SA"/>
        </w:rPr>
        <w:t>。</w:t>
      </w:r>
    </w:p>
    <w:p w14:paraId="70BB118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2.一般公共服务支出（类）群众团体事务（款）行政运行（项）:支出决算数为62.73万元，比上年决算增加5.68万元，增长9.96%，主要原因是：2023年我单位支付历年款项</w:t>
      </w:r>
      <w:r>
        <w:rPr>
          <w:rFonts w:hint="eastAsia" w:ascii="仿宋_GB2312" w:hAnsi="仿宋_GB2312" w:eastAsia="仿宋_GB2312" w:cs="仿宋_GB2312"/>
          <w:color w:val="auto"/>
          <w:kern w:val="2"/>
          <w:sz w:val="32"/>
          <w:szCs w:val="32"/>
          <w:highlight w:val="none"/>
          <w:lang w:val="zh-CN" w:eastAsia="zh-CN" w:bidi="ar-SA"/>
        </w:rPr>
        <w:t>。</w:t>
      </w:r>
    </w:p>
    <w:p w14:paraId="364E67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3.卫生健康支出（类）行政事业单位医疗（款）行政单位医疗（项）:支出决算数为3.66万元，比上年决算增加0.41万元，增长12.62%，主要原因是：</w:t>
      </w:r>
      <w:r>
        <w:rPr>
          <w:rFonts w:hint="eastAsia" w:ascii="仿宋_GB2312" w:eastAsia="仿宋_GB2312"/>
          <w:color w:val="auto"/>
          <w:spacing w:val="0"/>
          <w:sz w:val="32"/>
          <w:szCs w:val="32"/>
          <w:highlight w:val="none"/>
          <w:lang w:val="en-US" w:eastAsia="zh-CN"/>
        </w:rPr>
        <w:t>工资调整、基本医疗基数增加，缴费增加</w:t>
      </w:r>
      <w:r>
        <w:rPr>
          <w:rFonts w:hint="eastAsia" w:ascii="仿宋_GB2312" w:hAnsi="仿宋_GB2312" w:eastAsia="仿宋_GB2312" w:cs="仿宋_GB2312"/>
          <w:color w:val="auto"/>
          <w:kern w:val="2"/>
          <w:sz w:val="32"/>
          <w:szCs w:val="32"/>
          <w:highlight w:val="none"/>
          <w:lang w:val="zh-CN" w:eastAsia="zh-CN" w:bidi="ar-SA"/>
        </w:rPr>
        <w:t>。</w:t>
      </w:r>
    </w:p>
    <w:p w14:paraId="409002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4.卫生健康支出（类）行政事业单位医疗（款）公务员医疗补助（项）:支出决算数为1.85万元，比上年决算增加0.26万元，增长16.35%，主要原因是：</w:t>
      </w:r>
      <w:r>
        <w:rPr>
          <w:rFonts w:hint="eastAsia" w:ascii="仿宋_GB2312" w:eastAsia="仿宋_GB2312"/>
          <w:color w:val="auto"/>
          <w:spacing w:val="0"/>
          <w:sz w:val="32"/>
          <w:szCs w:val="32"/>
          <w:highlight w:val="none"/>
          <w:lang w:val="en-US" w:eastAsia="zh-CN"/>
        </w:rPr>
        <w:t>工资调整、公务员基数增加，公务员医疗缴费增加</w:t>
      </w:r>
      <w:r>
        <w:rPr>
          <w:rFonts w:hint="eastAsia" w:ascii="仿宋_GB2312" w:hAnsi="仿宋_GB2312" w:eastAsia="仿宋_GB2312" w:cs="仿宋_GB2312"/>
          <w:color w:val="auto"/>
          <w:kern w:val="2"/>
          <w:sz w:val="32"/>
          <w:szCs w:val="32"/>
          <w:highlight w:val="none"/>
          <w:lang w:val="zh-CN" w:eastAsia="zh-CN" w:bidi="ar-SA"/>
        </w:rPr>
        <w:t>。</w:t>
      </w:r>
    </w:p>
    <w:p w14:paraId="471C2E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5.住房保障支出（类）住房改革支出（款）住房公积金（项）:支出决算数为5.34万元，比上年决算增加0.56万元，增长11.72%，主要原因是：</w:t>
      </w:r>
      <w:r>
        <w:rPr>
          <w:rFonts w:hint="eastAsia" w:ascii="仿宋_GB2312" w:eastAsia="仿宋_GB2312"/>
          <w:color w:val="auto"/>
          <w:spacing w:val="0"/>
          <w:sz w:val="32"/>
          <w:szCs w:val="32"/>
          <w:highlight w:val="none"/>
          <w:lang w:val="en-US" w:eastAsia="zh-CN"/>
        </w:rPr>
        <w:t>工资调整、公积金基数增加，公积金缴费增加</w:t>
      </w:r>
      <w:r>
        <w:rPr>
          <w:rFonts w:hint="eastAsia" w:ascii="仿宋_GB2312" w:hAnsi="仿宋_GB2312" w:eastAsia="仿宋_GB2312" w:cs="仿宋_GB2312"/>
          <w:color w:val="auto"/>
          <w:kern w:val="2"/>
          <w:sz w:val="32"/>
          <w:szCs w:val="32"/>
          <w:highlight w:val="none"/>
          <w:lang w:val="zh-CN" w:eastAsia="zh-CN" w:bidi="ar-SA"/>
        </w:rPr>
        <w:t>。</w:t>
      </w:r>
    </w:p>
    <w:p w14:paraId="5E8B28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2.20万元，比上年决算增加1.85万元，增长528.57%，主要原因是：2023年支付2022年退休人员生活补贴，2023年退休人员生活补贴标准提高</w:t>
      </w:r>
      <w:r>
        <w:rPr>
          <w:rFonts w:hint="eastAsia" w:ascii="仿宋_GB2312" w:hAnsi="仿宋_GB2312" w:eastAsia="仿宋_GB2312" w:cs="仿宋_GB2312"/>
          <w:color w:val="auto"/>
          <w:kern w:val="2"/>
          <w:sz w:val="32"/>
          <w:szCs w:val="32"/>
          <w:highlight w:val="none"/>
          <w:lang w:val="zh-CN" w:eastAsia="zh-CN" w:bidi="ar-SA"/>
        </w:rPr>
        <w:t>。</w:t>
      </w:r>
    </w:p>
    <w:p w14:paraId="606FC1C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7.社会保障和就业支出（类）行政事业单位养老支出（款）机关事业单位职业年金缴费支出（项）:支出决算数为12.50万元，比上年决算增加12.50万元，增长100%，主要原因是：</w:t>
      </w:r>
      <w:r>
        <w:rPr>
          <w:rFonts w:hint="eastAsia" w:ascii="仿宋_GB2312" w:eastAsia="仿宋_GB2312"/>
          <w:color w:val="auto"/>
          <w:spacing w:val="0"/>
          <w:sz w:val="32"/>
          <w:szCs w:val="32"/>
          <w:highlight w:val="none"/>
          <w:lang w:eastAsia="zh-CN"/>
        </w:rPr>
        <w:t>退休人员增加</w:t>
      </w:r>
      <w:r>
        <w:rPr>
          <w:rFonts w:hint="eastAsia" w:ascii="仿宋_GB2312" w:eastAsia="仿宋_GB2312"/>
          <w:color w:val="auto"/>
          <w:spacing w:val="0"/>
          <w:sz w:val="32"/>
          <w:szCs w:val="32"/>
          <w:highlight w:val="none"/>
          <w:lang w:val="en-US" w:eastAsia="zh-CN"/>
        </w:rPr>
        <w:t>2人，职业年金支出增加</w:t>
      </w:r>
      <w:r>
        <w:rPr>
          <w:rFonts w:hint="eastAsia" w:ascii="仿宋_GB2312" w:hAnsi="仿宋_GB2312" w:eastAsia="仿宋_GB2312" w:cs="仿宋_GB2312"/>
          <w:color w:val="auto"/>
          <w:kern w:val="2"/>
          <w:sz w:val="32"/>
          <w:szCs w:val="32"/>
          <w:highlight w:val="none"/>
          <w:lang w:val="zh-CN" w:eastAsia="zh-CN" w:bidi="ar-SA"/>
        </w:rPr>
        <w:t>。</w:t>
      </w:r>
    </w:p>
    <w:p w14:paraId="7D16F4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8.社会保障和就业支出（类）行政事业单位养老支出（款）机关事业单位基本养老保险缴费支出（项）:支出决算数为6.90万元，比上年决算增加1.53万元，增长28.49%，主要原因是：</w:t>
      </w:r>
      <w:r>
        <w:rPr>
          <w:rFonts w:hint="eastAsia" w:ascii="仿宋_GB2312" w:eastAsia="仿宋_GB2312"/>
          <w:color w:val="auto"/>
          <w:spacing w:val="0"/>
          <w:sz w:val="32"/>
          <w:szCs w:val="32"/>
          <w:highlight w:val="none"/>
          <w:lang w:val="en-US" w:eastAsia="zh-CN"/>
        </w:rPr>
        <w:t>工资调整、养老保险基数增加，养老保险缴费增加</w:t>
      </w:r>
      <w:r>
        <w:rPr>
          <w:rFonts w:hint="eastAsia" w:ascii="仿宋_GB2312" w:hAnsi="仿宋_GB2312" w:eastAsia="仿宋_GB2312" w:cs="仿宋_GB2312"/>
          <w:color w:val="auto"/>
          <w:kern w:val="2"/>
          <w:sz w:val="32"/>
          <w:szCs w:val="32"/>
          <w:highlight w:val="none"/>
          <w:lang w:val="zh-CN" w:eastAsia="zh-CN" w:bidi="ar-SA"/>
        </w:rPr>
        <w:t>。</w:t>
      </w:r>
    </w:p>
    <w:p w14:paraId="3CA9FB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360F79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95.19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90.16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w:t>
      </w:r>
    </w:p>
    <w:p w14:paraId="5E11F66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5.03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办公费、邮电费、差旅费、工会经费、其他交通费用。</w:t>
      </w:r>
    </w:p>
    <w:p w14:paraId="5F2004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A2965E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减少0.13万元，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2023年未安排“三公”经费支出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主要原因是：我单位无因公出国（境）费支出；公务用车购置及运行维护费支出0.00万元，占0.00%，比上年减少0.13万元，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我单位未安排公务接待费支出</w:t>
      </w:r>
      <w:r>
        <w:rPr>
          <w:rFonts w:hint="eastAsia" w:ascii="仿宋_GB2312" w:eastAsia="仿宋_GB2312"/>
          <w:color w:val="auto"/>
          <w:sz w:val="32"/>
          <w:szCs w:val="32"/>
          <w:highlight w:val="none"/>
          <w:lang w:val="zh-CN" w:eastAsia="zh-CN"/>
        </w:rPr>
        <w:t>。</w:t>
      </w:r>
    </w:p>
    <w:p w14:paraId="5C31404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19412F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14:paraId="4647232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公务用车已由机关事务服务中心统一调配管理，车辆经费预算也在机关事务中心</w:t>
      </w:r>
      <w:r>
        <w:rPr>
          <w:rFonts w:hint="eastAsia" w:ascii="仿宋_GB2312" w:eastAsia="仿宋_GB2312"/>
          <w:color w:val="auto"/>
          <w:sz w:val="32"/>
          <w:szCs w:val="32"/>
          <w:highlight w:val="none"/>
          <w:lang w:val="zh-CN" w:eastAsia="zh-CN"/>
        </w:rPr>
        <w:t>。</w:t>
      </w:r>
    </w:p>
    <w:p w14:paraId="6098AD4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14:paraId="46D9A79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0.00万元，决算数0.00万元，预决算差异率0.00%，主要原因是：财政拨款“三公”经费支出预算数和决算数无变化，预决算无差异；公务用车购置费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预算数0.00万元，决算数0.00万元，预决算差异率0.00%，主要原因是：财政拨款“三公”经费支出预算数和决算数无变化，预决算无差异；公务接待费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预算数0.00万元，决算数0.00万元，预决算差异率0.00%，主要原因是：财政拨款“三公”经费支出预算数和决算数无变化，预决算无差异；</w:t>
      </w:r>
    </w:p>
    <w:p w14:paraId="27EAC7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3637D6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F3739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E3BD69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73726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DAF6E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CF264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沙湾市妇女联合会（行政单位和参照公务员法管理事业单位）机关运行经费支出5.03万元，</w:t>
      </w:r>
      <w:r>
        <w:rPr>
          <w:rFonts w:hint="eastAsia" w:ascii="仿宋_GB2312" w:hAnsi="仿宋_GB2312" w:eastAsia="仿宋_GB2312" w:cs="仿宋_GB2312"/>
          <w:color w:val="auto"/>
          <w:sz w:val="32"/>
          <w:szCs w:val="32"/>
          <w:highlight w:val="none"/>
          <w:lang w:val="zh-CN" w:eastAsia="zh-CN"/>
        </w:rPr>
        <w:t>比上年减少0.53万元，下降9.53%，主要原因是：</w:t>
      </w:r>
      <w:r>
        <w:rPr>
          <w:rFonts w:hint="eastAsia" w:ascii="仿宋_GB2312" w:hAnsi="仿宋_GB2312" w:eastAsia="仿宋_GB2312" w:cs="仿宋_GB2312"/>
          <w:color w:val="auto"/>
          <w:sz w:val="32"/>
          <w:szCs w:val="32"/>
          <w:highlight w:val="none"/>
          <w:lang w:val="en-US" w:eastAsia="zh-CN"/>
        </w:rPr>
        <w:t>退休2人，人员减少，相应经费也随之减少；</w:t>
      </w:r>
      <w:r>
        <w:rPr>
          <w:rFonts w:hint="eastAsia" w:ascii="仿宋_GB2312" w:hAnsi="仿宋_GB2312" w:eastAsia="仿宋_GB2312" w:cs="仿宋_GB2312"/>
          <w:color w:val="auto"/>
          <w:sz w:val="32"/>
          <w:szCs w:val="32"/>
          <w:highlight w:val="none"/>
          <w:lang w:val="zh-CN" w:eastAsia="zh-CN"/>
        </w:rPr>
        <w:t>我单位严格按要求压缩经费、节约资源。</w:t>
      </w:r>
    </w:p>
    <w:p w14:paraId="558700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ADCAC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41A88C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14:paraId="4F9941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3B5FC2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24.41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屋0.00平方米，价值0.00万元。车辆1辆，价值15.00万元，其中：副部（省）级及以上领导用车0辆、主要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hAnsi="仿宋_GB2312" w:eastAsia="仿宋_GB2312" w:cs="仿宋_GB2312"/>
          <w:color w:val="auto"/>
          <w:sz w:val="32"/>
          <w:szCs w:val="32"/>
          <w:highlight w:val="none"/>
          <w:lang w:val="en-US" w:eastAsia="zh-CN"/>
        </w:rPr>
        <w:t>单位业务用车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1E656C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32AB781">
      <w:pPr>
        <w:keepNext w:val="0"/>
        <w:keepLines w:val="0"/>
        <w:pageBreakBefore w:val="0"/>
        <w:widowControl w:val="0"/>
        <w:kinsoku/>
        <w:wordWrap/>
        <w:overflowPunct/>
        <w:topLinePunct w:val="0"/>
        <w:autoSpaceDE/>
        <w:autoSpaceDN/>
        <w:adjustRightInd/>
        <w:snapToGrid/>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预算总额97.69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实际执行总额97.69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预算绩效管理取得的成效：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具体项目自评情况附项目支出绩效自评表。</w:t>
      </w:r>
    </w:p>
    <w:p w14:paraId="60A0A0F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14:paraId="7EC4E34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C33D2C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 xml:space="preserve">   本单位无政府采购货物、服务、工程，故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2C3B49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207051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243F27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3746BB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D1ECE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AEDCE3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FB441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1F589A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2D7C4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071AD2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25E4D1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E9A554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420727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4EA5CB2">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E334B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16ED9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63FAB2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294F87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9C935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5A16FB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62560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45243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00875B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46E83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F9C236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E1BEB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07FE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6F70E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6F70E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7D7494"/>
    <w:rsid w:val="00B70D59"/>
    <w:rsid w:val="00F52A8D"/>
    <w:rsid w:val="019404F8"/>
    <w:rsid w:val="01C30B6B"/>
    <w:rsid w:val="01ED22F2"/>
    <w:rsid w:val="0290189A"/>
    <w:rsid w:val="02BD3108"/>
    <w:rsid w:val="02F73D26"/>
    <w:rsid w:val="03261F16"/>
    <w:rsid w:val="034D4FEF"/>
    <w:rsid w:val="035D1785"/>
    <w:rsid w:val="039F47CE"/>
    <w:rsid w:val="03BD5310"/>
    <w:rsid w:val="03E05CE8"/>
    <w:rsid w:val="03EA68C5"/>
    <w:rsid w:val="03F973EE"/>
    <w:rsid w:val="043E5B56"/>
    <w:rsid w:val="04C04386"/>
    <w:rsid w:val="04D1736D"/>
    <w:rsid w:val="04D96608"/>
    <w:rsid w:val="04F210E4"/>
    <w:rsid w:val="04FA68C4"/>
    <w:rsid w:val="05080F91"/>
    <w:rsid w:val="053F5AE6"/>
    <w:rsid w:val="057C0B0F"/>
    <w:rsid w:val="05EF4B48"/>
    <w:rsid w:val="05F76ECA"/>
    <w:rsid w:val="06183A24"/>
    <w:rsid w:val="06792773"/>
    <w:rsid w:val="06FD75CA"/>
    <w:rsid w:val="070745FC"/>
    <w:rsid w:val="07093795"/>
    <w:rsid w:val="07804730"/>
    <w:rsid w:val="079052BE"/>
    <w:rsid w:val="07EF7D28"/>
    <w:rsid w:val="08145C21"/>
    <w:rsid w:val="08422688"/>
    <w:rsid w:val="085854ED"/>
    <w:rsid w:val="0879188F"/>
    <w:rsid w:val="08A0354D"/>
    <w:rsid w:val="08CD4C49"/>
    <w:rsid w:val="08F64A2F"/>
    <w:rsid w:val="09114954"/>
    <w:rsid w:val="09302757"/>
    <w:rsid w:val="095A5B83"/>
    <w:rsid w:val="096466E3"/>
    <w:rsid w:val="0968304D"/>
    <w:rsid w:val="09835986"/>
    <w:rsid w:val="09AF3D17"/>
    <w:rsid w:val="0A7809B7"/>
    <w:rsid w:val="0A7B4867"/>
    <w:rsid w:val="0A840954"/>
    <w:rsid w:val="0A9928ED"/>
    <w:rsid w:val="0B56080C"/>
    <w:rsid w:val="0B61769D"/>
    <w:rsid w:val="0B8C3ECC"/>
    <w:rsid w:val="0B9C639D"/>
    <w:rsid w:val="0BB052B2"/>
    <w:rsid w:val="0BD33FFC"/>
    <w:rsid w:val="0BE97AC1"/>
    <w:rsid w:val="0C1C4780"/>
    <w:rsid w:val="0C3613A3"/>
    <w:rsid w:val="0C5E519C"/>
    <w:rsid w:val="0C7227A7"/>
    <w:rsid w:val="0CA52EE8"/>
    <w:rsid w:val="0CB1155B"/>
    <w:rsid w:val="0CBD6988"/>
    <w:rsid w:val="0CD208AC"/>
    <w:rsid w:val="0D172DAA"/>
    <w:rsid w:val="0D364604"/>
    <w:rsid w:val="0D4903E8"/>
    <w:rsid w:val="0D7A4A46"/>
    <w:rsid w:val="0DBE1310"/>
    <w:rsid w:val="0E640559"/>
    <w:rsid w:val="0E936592"/>
    <w:rsid w:val="0F1113DA"/>
    <w:rsid w:val="0F78534A"/>
    <w:rsid w:val="0F89358A"/>
    <w:rsid w:val="0F8C6D51"/>
    <w:rsid w:val="0FD87675"/>
    <w:rsid w:val="105B0B5E"/>
    <w:rsid w:val="111A4213"/>
    <w:rsid w:val="112E58D0"/>
    <w:rsid w:val="11731CAC"/>
    <w:rsid w:val="119500A0"/>
    <w:rsid w:val="11C0733B"/>
    <w:rsid w:val="11D50D17"/>
    <w:rsid w:val="120E0809"/>
    <w:rsid w:val="127F665A"/>
    <w:rsid w:val="12F7068C"/>
    <w:rsid w:val="14207DC0"/>
    <w:rsid w:val="14B932DA"/>
    <w:rsid w:val="150A66AF"/>
    <w:rsid w:val="15422BF1"/>
    <w:rsid w:val="154C1139"/>
    <w:rsid w:val="158C5B77"/>
    <w:rsid w:val="160D1149"/>
    <w:rsid w:val="163563C0"/>
    <w:rsid w:val="164315EF"/>
    <w:rsid w:val="16557DFE"/>
    <w:rsid w:val="166D65D9"/>
    <w:rsid w:val="167268FB"/>
    <w:rsid w:val="16770D0A"/>
    <w:rsid w:val="169A0039"/>
    <w:rsid w:val="16D50C50"/>
    <w:rsid w:val="16E120E1"/>
    <w:rsid w:val="170615E9"/>
    <w:rsid w:val="17385A05"/>
    <w:rsid w:val="173B3901"/>
    <w:rsid w:val="176747F9"/>
    <w:rsid w:val="17954A6E"/>
    <w:rsid w:val="17BE2C86"/>
    <w:rsid w:val="180059E9"/>
    <w:rsid w:val="18337279"/>
    <w:rsid w:val="184510FD"/>
    <w:rsid w:val="1890607B"/>
    <w:rsid w:val="190648B0"/>
    <w:rsid w:val="19071D6C"/>
    <w:rsid w:val="19D26CD4"/>
    <w:rsid w:val="19E60D19"/>
    <w:rsid w:val="1A3E3450"/>
    <w:rsid w:val="1AC13DAC"/>
    <w:rsid w:val="1AD807E5"/>
    <w:rsid w:val="1AF4246E"/>
    <w:rsid w:val="1B39345B"/>
    <w:rsid w:val="1B684E86"/>
    <w:rsid w:val="1BAA2E23"/>
    <w:rsid w:val="1BFB2A1F"/>
    <w:rsid w:val="1C015D4A"/>
    <w:rsid w:val="1C290ED5"/>
    <w:rsid w:val="1C317E4F"/>
    <w:rsid w:val="1C472464"/>
    <w:rsid w:val="1CA9764C"/>
    <w:rsid w:val="1D22799A"/>
    <w:rsid w:val="1D5C1A72"/>
    <w:rsid w:val="1D943540"/>
    <w:rsid w:val="1DAF458D"/>
    <w:rsid w:val="1E086ACE"/>
    <w:rsid w:val="1E146C9B"/>
    <w:rsid w:val="1E62130A"/>
    <w:rsid w:val="1E97358B"/>
    <w:rsid w:val="1EAA4A5F"/>
    <w:rsid w:val="1EE869A7"/>
    <w:rsid w:val="1F3F37CF"/>
    <w:rsid w:val="1FA15E62"/>
    <w:rsid w:val="1FED69B6"/>
    <w:rsid w:val="2064678E"/>
    <w:rsid w:val="20915107"/>
    <w:rsid w:val="20DC1AB9"/>
    <w:rsid w:val="20DD6197"/>
    <w:rsid w:val="2124720C"/>
    <w:rsid w:val="212631E0"/>
    <w:rsid w:val="2138666F"/>
    <w:rsid w:val="21742080"/>
    <w:rsid w:val="21A53757"/>
    <w:rsid w:val="21F879E1"/>
    <w:rsid w:val="221236C6"/>
    <w:rsid w:val="22D7662C"/>
    <w:rsid w:val="23326B7F"/>
    <w:rsid w:val="23506AF4"/>
    <w:rsid w:val="2380045B"/>
    <w:rsid w:val="23BC04D2"/>
    <w:rsid w:val="23EF1892"/>
    <w:rsid w:val="2483647E"/>
    <w:rsid w:val="24A32D55"/>
    <w:rsid w:val="24CE6D9A"/>
    <w:rsid w:val="25292727"/>
    <w:rsid w:val="252E5CA9"/>
    <w:rsid w:val="256F7692"/>
    <w:rsid w:val="25BA2154"/>
    <w:rsid w:val="25BC43EA"/>
    <w:rsid w:val="25C8773F"/>
    <w:rsid w:val="262304A0"/>
    <w:rsid w:val="26235823"/>
    <w:rsid w:val="26283627"/>
    <w:rsid w:val="264A7253"/>
    <w:rsid w:val="26F0170C"/>
    <w:rsid w:val="26FE3B9A"/>
    <w:rsid w:val="27201D62"/>
    <w:rsid w:val="27286E73"/>
    <w:rsid w:val="274D379D"/>
    <w:rsid w:val="27C03567"/>
    <w:rsid w:val="27CF2642"/>
    <w:rsid w:val="27E777F5"/>
    <w:rsid w:val="27EA1D4C"/>
    <w:rsid w:val="27EA2E41"/>
    <w:rsid w:val="282459E2"/>
    <w:rsid w:val="283A7FE5"/>
    <w:rsid w:val="285F51FF"/>
    <w:rsid w:val="28DA4193"/>
    <w:rsid w:val="28DF2665"/>
    <w:rsid w:val="29072599"/>
    <w:rsid w:val="291029F3"/>
    <w:rsid w:val="2942340A"/>
    <w:rsid w:val="29CB58F0"/>
    <w:rsid w:val="2A053397"/>
    <w:rsid w:val="2A145E96"/>
    <w:rsid w:val="2A2131BB"/>
    <w:rsid w:val="2A841181"/>
    <w:rsid w:val="2AF5378F"/>
    <w:rsid w:val="2BB94DBF"/>
    <w:rsid w:val="2BF37410"/>
    <w:rsid w:val="2C6F314E"/>
    <w:rsid w:val="2CC206BE"/>
    <w:rsid w:val="2CE576AE"/>
    <w:rsid w:val="2D1136DF"/>
    <w:rsid w:val="2D20606D"/>
    <w:rsid w:val="2D6729FE"/>
    <w:rsid w:val="2DB87198"/>
    <w:rsid w:val="2DB93C54"/>
    <w:rsid w:val="2E3D144C"/>
    <w:rsid w:val="2E891204"/>
    <w:rsid w:val="2F1C0854"/>
    <w:rsid w:val="2F3F0A28"/>
    <w:rsid w:val="2FBF7029"/>
    <w:rsid w:val="2FCC21DB"/>
    <w:rsid w:val="2FD0187F"/>
    <w:rsid w:val="2FD27414"/>
    <w:rsid w:val="2FF235E4"/>
    <w:rsid w:val="2FFE4BB0"/>
    <w:rsid w:val="300E7B60"/>
    <w:rsid w:val="300F6E18"/>
    <w:rsid w:val="30862F5F"/>
    <w:rsid w:val="30A4775A"/>
    <w:rsid w:val="314029C9"/>
    <w:rsid w:val="316333CC"/>
    <w:rsid w:val="31C32994"/>
    <w:rsid w:val="31C63837"/>
    <w:rsid w:val="31C82E39"/>
    <w:rsid w:val="32601BAD"/>
    <w:rsid w:val="329F6389"/>
    <w:rsid w:val="32FB0BCE"/>
    <w:rsid w:val="3364095F"/>
    <w:rsid w:val="3389023A"/>
    <w:rsid w:val="33CB74FA"/>
    <w:rsid w:val="343642F2"/>
    <w:rsid w:val="343F3010"/>
    <w:rsid w:val="345D0A00"/>
    <w:rsid w:val="34713BFD"/>
    <w:rsid w:val="34C13589"/>
    <w:rsid w:val="353369E3"/>
    <w:rsid w:val="357207F0"/>
    <w:rsid w:val="35B21E0B"/>
    <w:rsid w:val="35E00D72"/>
    <w:rsid w:val="36965B9D"/>
    <w:rsid w:val="36C549FD"/>
    <w:rsid w:val="371D6E82"/>
    <w:rsid w:val="37A755DD"/>
    <w:rsid w:val="37F33BFE"/>
    <w:rsid w:val="37F94FA0"/>
    <w:rsid w:val="380D3381"/>
    <w:rsid w:val="38115B1F"/>
    <w:rsid w:val="385E3AC3"/>
    <w:rsid w:val="387D6B9E"/>
    <w:rsid w:val="38B75FF0"/>
    <w:rsid w:val="38D45016"/>
    <w:rsid w:val="38D456D8"/>
    <w:rsid w:val="38D90432"/>
    <w:rsid w:val="3914510A"/>
    <w:rsid w:val="3926770B"/>
    <w:rsid w:val="3957492A"/>
    <w:rsid w:val="3982065B"/>
    <w:rsid w:val="398D3668"/>
    <w:rsid w:val="39DA0497"/>
    <w:rsid w:val="3A893816"/>
    <w:rsid w:val="3A893B6D"/>
    <w:rsid w:val="3AA04A0B"/>
    <w:rsid w:val="3AD1763A"/>
    <w:rsid w:val="3B196883"/>
    <w:rsid w:val="3B396AE3"/>
    <w:rsid w:val="3B567B40"/>
    <w:rsid w:val="3B6716E3"/>
    <w:rsid w:val="3B6C6B2D"/>
    <w:rsid w:val="3C242659"/>
    <w:rsid w:val="3C96719C"/>
    <w:rsid w:val="3CA72BE8"/>
    <w:rsid w:val="3CAF4530"/>
    <w:rsid w:val="3CC152E8"/>
    <w:rsid w:val="3CDA2BEA"/>
    <w:rsid w:val="3CDC1E1E"/>
    <w:rsid w:val="3CF37F8C"/>
    <w:rsid w:val="3D137554"/>
    <w:rsid w:val="3D5275AC"/>
    <w:rsid w:val="3D962C2D"/>
    <w:rsid w:val="3DCC2473"/>
    <w:rsid w:val="3DEA01A5"/>
    <w:rsid w:val="3DEB0883"/>
    <w:rsid w:val="3E2527BF"/>
    <w:rsid w:val="3E70484C"/>
    <w:rsid w:val="3E731662"/>
    <w:rsid w:val="3E8168DD"/>
    <w:rsid w:val="3E8C0934"/>
    <w:rsid w:val="3EA7725F"/>
    <w:rsid w:val="3EB03713"/>
    <w:rsid w:val="3EBF1A11"/>
    <w:rsid w:val="3EC52607"/>
    <w:rsid w:val="3ED07872"/>
    <w:rsid w:val="3EE674D1"/>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816FA2"/>
    <w:rsid w:val="42C10D7B"/>
    <w:rsid w:val="434E6957"/>
    <w:rsid w:val="43BA0E31"/>
    <w:rsid w:val="43C15147"/>
    <w:rsid w:val="43E14DD2"/>
    <w:rsid w:val="43F800E9"/>
    <w:rsid w:val="443A7E4B"/>
    <w:rsid w:val="444A7D08"/>
    <w:rsid w:val="446A0BB9"/>
    <w:rsid w:val="448457DD"/>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7759B5"/>
    <w:rsid w:val="488727DB"/>
    <w:rsid w:val="48B82268"/>
    <w:rsid w:val="48C354B3"/>
    <w:rsid w:val="493D58B5"/>
    <w:rsid w:val="494A7A04"/>
    <w:rsid w:val="49605EF7"/>
    <w:rsid w:val="49A1647F"/>
    <w:rsid w:val="49E445AF"/>
    <w:rsid w:val="4A0A26D2"/>
    <w:rsid w:val="4A2019A5"/>
    <w:rsid w:val="4A241A0B"/>
    <w:rsid w:val="4A3710F9"/>
    <w:rsid w:val="4A5C2BD7"/>
    <w:rsid w:val="4A7B2875"/>
    <w:rsid w:val="4A934476"/>
    <w:rsid w:val="4AAA220A"/>
    <w:rsid w:val="4AE12E67"/>
    <w:rsid w:val="4B25579D"/>
    <w:rsid w:val="4B3C2E3B"/>
    <w:rsid w:val="4B4C0111"/>
    <w:rsid w:val="4B725484"/>
    <w:rsid w:val="4B8553A9"/>
    <w:rsid w:val="4BDB3730"/>
    <w:rsid w:val="4BFC131E"/>
    <w:rsid w:val="4C200F7A"/>
    <w:rsid w:val="4CEE3180"/>
    <w:rsid w:val="4D0F4AF6"/>
    <w:rsid w:val="4D78580B"/>
    <w:rsid w:val="4DF94F37"/>
    <w:rsid w:val="4E0A1DD5"/>
    <w:rsid w:val="4E3160E5"/>
    <w:rsid w:val="4E4651CE"/>
    <w:rsid w:val="4E4D37AF"/>
    <w:rsid w:val="4E8C6496"/>
    <w:rsid w:val="4EE425F5"/>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C36BAF"/>
    <w:rsid w:val="52F647F7"/>
    <w:rsid w:val="52F92565"/>
    <w:rsid w:val="53AE735E"/>
    <w:rsid w:val="53D03877"/>
    <w:rsid w:val="542F73CA"/>
    <w:rsid w:val="5430786D"/>
    <w:rsid w:val="545A1D2A"/>
    <w:rsid w:val="548F4D3D"/>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6E0FF0"/>
    <w:rsid w:val="58CD2491"/>
    <w:rsid w:val="591B41B2"/>
    <w:rsid w:val="59254A26"/>
    <w:rsid w:val="59326325"/>
    <w:rsid w:val="595C505B"/>
    <w:rsid w:val="595E55C3"/>
    <w:rsid w:val="596E7E20"/>
    <w:rsid w:val="59E703B5"/>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6A31C7"/>
    <w:rsid w:val="5FA17648"/>
    <w:rsid w:val="5FE705CB"/>
    <w:rsid w:val="6007714E"/>
    <w:rsid w:val="603D5080"/>
    <w:rsid w:val="60577116"/>
    <w:rsid w:val="606842D0"/>
    <w:rsid w:val="60AE5ADF"/>
    <w:rsid w:val="60D0261B"/>
    <w:rsid w:val="618E3791"/>
    <w:rsid w:val="61947DCA"/>
    <w:rsid w:val="61A46A97"/>
    <w:rsid w:val="61D1382F"/>
    <w:rsid w:val="61F114A2"/>
    <w:rsid w:val="622B0ABA"/>
    <w:rsid w:val="62512BB4"/>
    <w:rsid w:val="625D7D1A"/>
    <w:rsid w:val="62660469"/>
    <w:rsid w:val="62C07F10"/>
    <w:rsid w:val="62DD7D21"/>
    <w:rsid w:val="63223DDE"/>
    <w:rsid w:val="637D586B"/>
    <w:rsid w:val="63A5560B"/>
    <w:rsid w:val="63AC1DAA"/>
    <w:rsid w:val="63E9091F"/>
    <w:rsid w:val="641E4ABF"/>
    <w:rsid w:val="64322AF9"/>
    <w:rsid w:val="64395D33"/>
    <w:rsid w:val="64AD1670"/>
    <w:rsid w:val="64D6010D"/>
    <w:rsid w:val="64D82665"/>
    <w:rsid w:val="64E47C96"/>
    <w:rsid w:val="651E5741"/>
    <w:rsid w:val="655D7702"/>
    <w:rsid w:val="658A4877"/>
    <w:rsid w:val="65A00902"/>
    <w:rsid w:val="65AC6EDD"/>
    <w:rsid w:val="65D97752"/>
    <w:rsid w:val="66065D52"/>
    <w:rsid w:val="66085536"/>
    <w:rsid w:val="66105BF7"/>
    <w:rsid w:val="66150023"/>
    <w:rsid w:val="6628010D"/>
    <w:rsid w:val="6636014C"/>
    <w:rsid w:val="669B4528"/>
    <w:rsid w:val="669D3A18"/>
    <w:rsid w:val="66B40327"/>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A23DE9"/>
    <w:rsid w:val="6CBD35F3"/>
    <w:rsid w:val="6CCB5396"/>
    <w:rsid w:val="6CEF0725"/>
    <w:rsid w:val="6D4B2604"/>
    <w:rsid w:val="6D77358F"/>
    <w:rsid w:val="6D8030E4"/>
    <w:rsid w:val="6D821533"/>
    <w:rsid w:val="6E0E35C4"/>
    <w:rsid w:val="6E0F7A08"/>
    <w:rsid w:val="6E3947F5"/>
    <w:rsid w:val="6E6733A0"/>
    <w:rsid w:val="6E6E3938"/>
    <w:rsid w:val="6E9C74ED"/>
    <w:rsid w:val="6EF72976"/>
    <w:rsid w:val="6F795A80"/>
    <w:rsid w:val="6F7C1D2E"/>
    <w:rsid w:val="6F8D3E74"/>
    <w:rsid w:val="6F8E0407"/>
    <w:rsid w:val="6F982FA3"/>
    <w:rsid w:val="6FDD069F"/>
    <w:rsid w:val="702B4D16"/>
    <w:rsid w:val="70AA6621"/>
    <w:rsid w:val="7111480F"/>
    <w:rsid w:val="71261F49"/>
    <w:rsid w:val="712E6956"/>
    <w:rsid w:val="71460369"/>
    <w:rsid w:val="71473612"/>
    <w:rsid w:val="71504F32"/>
    <w:rsid w:val="7152309F"/>
    <w:rsid w:val="718B57A5"/>
    <w:rsid w:val="718F7F65"/>
    <w:rsid w:val="719F34C9"/>
    <w:rsid w:val="71DA6992"/>
    <w:rsid w:val="727B234E"/>
    <w:rsid w:val="728A58B0"/>
    <w:rsid w:val="72D068C7"/>
    <w:rsid w:val="72E42ED8"/>
    <w:rsid w:val="72FC34C3"/>
    <w:rsid w:val="735F4CB9"/>
    <w:rsid w:val="73674C62"/>
    <w:rsid w:val="73845865"/>
    <w:rsid w:val="739B6D9E"/>
    <w:rsid w:val="73BC1D76"/>
    <w:rsid w:val="73FB6630"/>
    <w:rsid w:val="741131CF"/>
    <w:rsid w:val="748D790E"/>
    <w:rsid w:val="749820CC"/>
    <w:rsid w:val="74CE04EC"/>
    <w:rsid w:val="74E76DCD"/>
    <w:rsid w:val="751D7C0A"/>
    <w:rsid w:val="75722D56"/>
    <w:rsid w:val="75DB5477"/>
    <w:rsid w:val="75FC6AC3"/>
    <w:rsid w:val="7616619B"/>
    <w:rsid w:val="76660D7C"/>
    <w:rsid w:val="766C5968"/>
    <w:rsid w:val="76A33874"/>
    <w:rsid w:val="76BE0C8F"/>
    <w:rsid w:val="76CD53B2"/>
    <w:rsid w:val="76E6594C"/>
    <w:rsid w:val="770719AC"/>
    <w:rsid w:val="776526CC"/>
    <w:rsid w:val="77992D71"/>
    <w:rsid w:val="77A262E1"/>
    <w:rsid w:val="77B13C33"/>
    <w:rsid w:val="77DC095A"/>
    <w:rsid w:val="77ED6F44"/>
    <w:rsid w:val="77F45548"/>
    <w:rsid w:val="77FC440B"/>
    <w:rsid w:val="784E7CA6"/>
    <w:rsid w:val="78574801"/>
    <w:rsid w:val="7873527F"/>
    <w:rsid w:val="790A6425"/>
    <w:rsid w:val="790E2D96"/>
    <w:rsid w:val="791B54B2"/>
    <w:rsid w:val="79364D10"/>
    <w:rsid w:val="793C0F89"/>
    <w:rsid w:val="795A0A34"/>
    <w:rsid w:val="79600F33"/>
    <w:rsid w:val="797339C3"/>
    <w:rsid w:val="79AD0FC9"/>
    <w:rsid w:val="79D57D57"/>
    <w:rsid w:val="79F00650"/>
    <w:rsid w:val="7A6242BF"/>
    <w:rsid w:val="7A635A38"/>
    <w:rsid w:val="7A794513"/>
    <w:rsid w:val="7A9B3811"/>
    <w:rsid w:val="7AB467DA"/>
    <w:rsid w:val="7AB9318D"/>
    <w:rsid w:val="7AE952D2"/>
    <w:rsid w:val="7AED0E35"/>
    <w:rsid w:val="7B5C1532"/>
    <w:rsid w:val="7B76020F"/>
    <w:rsid w:val="7B9F26AF"/>
    <w:rsid w:val="7BB607FE"/>
    <w:rsid w:val="7BC73D25"/>
    <w:rsid w:val="7C435839"/>
    <w:rsid w:val="7C570C12"/>
    <w:rsid w:val="7C7248A0"/>
    <w:rsid w:val="7C976D69"/>
    <w:rsid w:val="7CD752DA"/>
    <w:rsid w:val="7CDE40AB"/>
    <w:rsid w:val="7CE4017E"/>
    <w:rsid w:val="7CF057E2"/>
    <w:rsid w:val="7D1548B5"/>
    <w:rsid w:val="7DF25313"/>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5515</Words>
  <Characters>6107</Characters>
  <Lines>0</Lines>
  <Paragraphs>0</Paragraphs>
  <TotalTime>0</TotalTime>
  <ScaleCrop>false</ScaleCrop>
  <LinksUpToDate>false</LinksUpToDate>
  <CharactersWithSpaces>6121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2025-03-28T03:56:54Z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