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沙湾市司法局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（1）贯彻执行自治区、地区有关司法行政工作的方针、政策、法律、法规和规章，制订全市司法行政工作的规范性文件，编制全市司法行政工作的中长期发展规划、年度工作计划并组织实施。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（2）监督、指导和管理律师、公证和基层法律服务等法律服务工作。指导法律顾问、社会法律咨询服务机构工作。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（3）监督、指导和管理全市法律援助工作。指导、监督“12348”法律援助咨询专线建设和服务等工作。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（4）指导和管理全市基层司法所建设和人民调解工作。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（5）</w:t>
      </w:r>
      <w:r>
        <w:rPr>
          <w:rFonts w:hint="eastAsia" w:ascii="仿宋_GB2312" w:eastAsia="仿宋_GB2312"/>
          <w:color w:val="auto"/>
          <w:sz w:val="32"/>
          <w:szCs w:val="32"/>
          <w:highlight w:val="none"/>
          <w:lang w:eastAsia="zh-CN"/>
        </w:rPr>
        <w:t>拟定</w:t>
      </w:r>
      <w:r>
        <w:rPr>
          <w:rFonts w:hint="eastAsia" w:ascii="仿宋_GB2312" w:eastAsia="仿宋_GB2312"/>
          <w:color w:val="auto"/>
          <w:sz w:val="32"/>
          <w:szCs w:val="32"/>
          <w:highlight w:val="none"/>
        </w:rPr>
        <w:t>全市法</w:t>
      </w:r>
      <w:r>
        <w:rPr>
          <w:rFonts w:hint="eastAsia" w:ascii="仿宋_GB2312" w:eastAsia="仿宋_GB2312"/>
          <w:color w:val="auto"/>
          <w:sz w:val="32"/>
          <w:szCs w:val="32"/>
          <w:highlight w:val="none"/>
          <w:lang w:eastAsia="zh-CN"/>
        </w:rPr>
        <w:t>治</w:t>
      </w:r>
      <w:r>
        <w:rPr>
          <w:rFonts w:hint="eastAsia" w:ascii="仿宋_GB2312" w:eastAsia="仿宋_GB2312"/>
          <w:color w:val="auto"/>
          <w:sz w:val="32"/>
          <w:szCs w:val="32"/>
          <w:highlight w:val="none"/>
        </w:rPr>
        <w:t>宣传教育规划并组织实施，指导各乡、镇（场）和各行业</w:t>
      </w:r>
      <w:r>
        <w:rPr>
          <w:rFonts w:hint="eastAsia" w:ascii="仿宋_GB2312" w:eastAsia="仿宋_GB2312"/>
          <w:color w:val="auto"/>
          <w:sz w:val="32"/>
          <w:szCs w:val="32"/>
          <w:highlight w:val="none"/>
          <w:lang w:eastAsia="zh-CN"/>
        </w:rPr>
        <w:t>法治</w:t>
      </w:r>
      <w:r>
        <w:rPr>
          <w:rFonts w:hint="eastAsia" w:ascii="仿宋_GB2312" w:eastAsia="仿宋_GB2312"/>
          <w:color w:val="auto"/>
          <w:sz w:val="32"/>
          <w:szCs w:val="32"/>
          <w:highlight w:val="none"/>
        </w:rPr>
        <w:t>宣传、依法治理工作。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（6）监督、指导和管理全市司法行政系统的计划财务、服装和车辆等物资装备。</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（7）指导全市司法行政队伍建设和思想作风、工作作风建设。</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（8）承办市人民政府交办的其他事项。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沙湾市司法局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8</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办公室、普法依法治理科、政工科、法治科、人民参与和促进法治科、行政复议与应诉科、财务科、公共法律服务管理科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1,383.49万元，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1,383.49万元，使用非财政拨款结余0.00万元，年初结转和结余0.00万元。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1,383.49万元，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1,383.49万元，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增加391.83万元</w:t>
      </w:r>
      <w:r>
        <w:rPr>
          <w:rFonts w:hint="eastAsia" w:ascii="仿宋_GB2312" w:eastAsia="仿宋_GB2312"/>
          <w:color w:val="auto"/>
          <w:spacing w:val="0"/>
          <w:sz w:val="32"/>
          <w:szCs w:val="32"/>
          <w:highlight w:val="none"/>
          <w:lang w:eastAsia="zh-CN"/>
        </w:rPr>
        <w:t>，增长39.51%，主要原因是：本年度新增了特定目标类项目，支付了包括丧葬费抚恤金、</w:t>
      </w:r>
      <w:r>
        <w:rPr>
          <w:rFonts w:hint="eastAsia" w:ascii="仿宋_GB2312" w:hAnsi="仿宋_GB2312" w:eastAsia="仿宋_GB2312" w:cs="仿宋_GB2312"/>
          <w:color w:val="auto"/>
          <w:kern w:val="2"/>
          <w:sz w:val="32"/>
          <w:szCs w:val="32"/>
          <w:highlight w:val="none"/>
          <w:lang w:val="zh-CN" w:eastAsia="zh-CN" w:bidi="ar-SA"/>
        </w:rPr>
        <w:t>当年退休</w:t>
      </w:r>
      <w:r>
        <w:rPr>
          <w:rFonts w:hint="eastAsia" w:ascii="仿宋_GB2312" w:hAnsi="仿宋_GB2312" w:eastAsia="仿宋_GB2312" w:cs="仿宋_GB2312"/>
          <w:color w:val="auto"/>
          <w:kern w:val="2"/>
          <w:sz w:val="32"/>
          <w:szCs w:val="32"/>
          <w:highlight w:val="none"/>
          <w:lang w:val="en-US" w:eastAsia="zh-CN" w:bidi="ar-SA"/>
        </w:rPr>
        <w:t>3名干部职业年金、在职及退休干部基础绩效奖、2018年下半年及2020年1-3月绩效考核奖等人员经费，</w:t>
      </w:r>
      <w:r>
        <w:rPr>
          <w:rFonts w:hint="eastAsia" w:ascii="仿宋_GB2312" w:eastAsia="仿宋_GB2312"/>
          <w:color w:val="auto"/>
          <w:spacing w:val="0"/>
          <w:sz w:val="32"/>
          <w:szCs w:val="32"/>
          <w:highlight w:val="none"/>
          <w:lang w:eastAsia="zh-CN"/>
        </w:rPr>
        <w:t>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收入支出总体</w:t>
      </w:r>
      <w:r>
        <w:rPr>
          <w:rFonts w:hint="eastAsia" w:ascii="仿宋_GB2312" w:eastAsia="仿宋_GB2312"/>
          <w:color w:val="auto"/>
          <w:spacing w:val="0"/>
          <w:sz w:val="32"/>
          <w:szCs w:val="32"/>
          <w:highlight w:val="none"/>
          <w:lang w:eastAsia="zh-CN"/>
        </w:rPr>
        <w:t>较上一年度有所增长。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1,383.49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1,379.59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99.72%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3.90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0.28%</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本年支出1,383.49万元，其中：基本支出1,204.36万元，占87.05%；项目支出179.13万元，占12.95%；上缴上级支出0.00万元，占0.00%；经营支出0.00万元，占0.00%；对附属单位补助支出0.00万元，占0.00%。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1,379.59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1,379.59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1,379.59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1,379.59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增加387.93万元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增长39.12%,</w:t>
      </w:r>
      <w:r>
        <w:rPr>
          <w:rFonts w:hint="eastAsia" w:ascii="仿宋_GB2312" w:eastAsia="仿宋_GB2312"/>
          <w:color w:val="auto"/>
          <w:spacing w:val="0"/>
          <w:sz w:val="32"/>
          <w:szCs w:val="32"/>
          <w:highlight w:val="none"/>
          <w:lang w:eastAsia="zh-CN"/>
        </w:rPr>
        <w:t>主要原因是：上年年末我单位调入在职人员20人，人员增加，202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收入支出总体</w:t>
      </w:r>
      <w:r>
        <w:rPr>
          <w:rFonts w:hint="eastAsia" w:ascii="仿宋_GB2312" w:eastAsia="仿宋_GB2312"/>
          <w:color w:val="auto"/>
          <w:spacing w:val="0"/>
          <w:sz w:val="32"/>
          <w:szCs w:val="32"/>
          <w:highlight w:val="none"/>
          <w:lang w:eastAsia="zh-CN"/>
        </w:rPr>
        <w:t>较上一年度增长幅度较大。与年初预算相比，年初预算数</w:t>
      </w:r>
      <w:r>
        <w:rPr>
          <w:rFonts w:hint="eastAsia" w:ascii="仿宋_GB2312" w:eastAsia="仿宋_GB2312"/>
          <w:color w:val="auto"/>
          <w:spacing w:val="0"/>
          <w:sz w:val="32"/>
          <w:szCs w:val="32"/>
          <w:highlight w:val="none"/>
          <w:lang w:val="zh-CN" w:eastAsia="zh-CN"/>
        </w:rPr>
        <w:t>1,142.19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1,379.59</w:t>
      </w:r>
      <w:r>
        <w:rPr>
          <w:rFonts w:hint="eastAsia" w:ascii="仿宋_GB2312" w:eastAsia="仿宋_GB2312"/>
          <w:color w:val="auto"/>
          <w:spacing w:val="0"/>
          <w:sz w:val="32"/>
          <w:szCs w:val="32"/>
          <w:highlight w:val="none"/>
          <w:lang w:eastAsia="zh-CN"/>
        </w:rPr>
        <w:t>万元，预决算差异率20.78%，主要原因是：年中追加了专班工作人员补助、丧葬费抚恤金、</w:t>
      </w:r>
      <w:r>
        <w:rPr>
          <w:rFonts w:hint="eastAsia" w:ascii="仿宋_GB2312" w:hAnsi="仿宋_GB2312" w:eastAsia="仿宋_GB2312" w:cs="仿宋_GB2312"/>
          <w:color w:val="auto"/>
          <w:kern w:val="2"/>
          <w:sz w:val="32"/>
          <w:szCs w:val="32"/>
          <w:highlight w:val="none"/>
          <w:lang w:val="zh-CN" w:eastAsia="zh-CN" w:bidi="ar-SA"/>
        </w:rPr>
        <w:t>当年退休</w:t>
      </w:r>
      <w:r>
        <w:rPr>
          <w:rFonts w:hint="eastAsia" w:ascii="仿宋_GB2312" w:hAnsi="仿宋_GB2312" w:eastAsia="仿宋_GB2312" w:cs="仿宋_GB2312"/>
          <w:color w:val="auto"/>
          <w:kern w:val="2"/>
          <w:sz w:val="32"/>
          <w:szCs w:val="32"/>
          <w:highlight w:val="none"/>
          <w:lang w:val="en-US" w:eastAsia="zh-CN" w:bidi="ar-SA"/>
        </w:rPr>
        <w:t>干部职业年金、在职及退休干部基础绩效奖、2018年下半年及2020年1-3月绩效考核奖等人员经费</w:t>
      </w:r>
      <w:r>
        <w:rPr>
          <w:rFonts w:hint="eastAsia" w:ascii="仿宋_GB2312" w:eastAsia="仿宋_GB2312"/>
          <w:color w:val="auto"/>
          <w:spacing w:val="0"/>
          <w:sz w:val="32"/>
          <w:szCs w:val="32"/>
          <w:highlight w:val="none"/>
          <w:lang w:eastAsia="zh-CN"/>
        </w:rPr>
        <w:t>；年中追加专项工作经费，造成财政拨款收入预决算差异率较大。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2023年度一般公共预算财政拨款支出1,379.59万元，占本年支出合计的</w:t>
      </w:r>
      <w:r>
        <w:rPr>
          <w:rFonts w:hint="eastAsia" w:ascii="仿宋_GB2312" w:eastAsia="仿宋_GB2312"/>
          <w:color w:val="auto"/>
          <w:spacing w:val="0"/>
          <w:sz w:val="32"/>
          <w:szCs w:val="32"/>
          <w:highlight w:val="none"/>
          <w:lang w:val="zh-CN" w:eastAsia="zh-CN"/>
        </w:rPr>
        <w:t>99.72%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增加387.93万元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增长39.12%,</w:t>
      </w:r>
      <w:r>
        <w:rPr>
          <w:rFonts w:hint="eastAsia" w:ascii="仿宋_GB2312" w:eastAsia="仿宋_GB2312"/>
          <w:color w:val="auto"/>
          <w:spacing w:val="0"/>
          <w:sz w:val="32"/>
          <w:szCs w:val="32"/>
          <w:highlight w:val="none"/>
          <w:lang w:eastAsia="zh-CN"/>
        </w:rPr>
        <w:t>主要原因是：上年年末我单位调入在职人员20人，人员增加，202</w:t>
      </w:r>
      <w:r>
        <w:rPr>
          <w:rFonts w:hint="eastAsia" w:ascii="仿宋_GB2312" w:eastAsia="仿宋_GB2312"/>
          <w:color w:val="auto"/>
          <w:spacing w:val="0"/>
          <w:sz w:val="32"/>
          <w:szCs w:val="32"/>
          <w:highlight w:val="none"/>
          <w:lang w:val="en-US" w:eastAsia="zh-CN"/>
        </w:rPr>
        <w:t>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收入支出总体</w:t>
      </w:r>
      <w:r>
        <w:rPr>
          <w:rFonts w:hint="eastAsia" w:ascii="仿宋_GB2312" w:eastAsia="仿宋_GB2312"/>
          <w:color w:val="auto"/>
          <w:spacing w:val="0"/>
          <w:sz w:val="32"/>
          <w:szCs w:val="32"/>
          <w:highlight w:val="none"/>
          <w:lang w:eastAsia="zh-CN"/>
        </w:rPr>
        <w:t>较上一年度增长幅度较大。与年初预算相比，年初预算数</w:t>
      </w:r>
      <w:r>
        <w:rPr>
          <w:rFonts w:hint="eastAsia" w:ascii="仿宋_GB2312" w:eastAsia="仿宋_GB2312"/>
          <w:color w:val="auto"/>
          <w:spacing w:val="0"/>
          <w:sz w:val="32"/>
          <w:szCs w:val="32"/>
          <w:highlight w:val="none"/>
          <w:lang w:val="zh-CN" w:eastAsia="zh-CN"/>
        </w:rPr>
        <w:t>1,142.19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1,379.59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20.78%</w:t>
      </w:r>
      <w:r>
        <w:rPr>
          <w:rFonts w:hint="eastAsia" w:ascii="仿宋_GB2312" w:eastAsia="仿宋_GB2312"/>
          <w:color w:val="auto"/>
          <w:spacing w:val="0"/>
          <w:sz w:val="32"/>
          <w:szCs w:val="32"/>
          <w:highlight w:val="none"/>
          <w:lang w:eastAsia="zh-CN"/>
        </w:rPr>
        <w:t>，主要原因是：上年度末我单位在职人员陆续调入20人，人员增加，年中追加财政拨款收入增加；年中追加专项工作经费，造成财政拨款收入预决算差异率较大。</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.公共安全类支出（类）</w:t>
      </w:r>
      <w:r>
        <w:rPr>
          <w:rFonts w:hint="eastAsia" w:ascii="仿宋_GB2312" w:hAnsi="Times New Roman" w:eastAsia="仿宋_GB2312" w:cs="Times New Roman"/>
          <w:color w:val="auto"/>
          <w:spacing w:val="0"/>
          <w:kern w:val="2"/>
          <w:sz w:val="32"/>
          <w:szCs w:val="32"/>
          <w:highlight w:val="none"/>
          <w:lang w:val="zh-CN" w:eastAsia="zh-CN" w:bidi="ar-SA"/>
        </w:rPr>
        <w:t>1,146.26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83.09%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118.66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43.86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60.81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4.41%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0.72%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21.28万元，比上年决算减少11.47万元，下降35.02%，主要原因是：本年度我单位在职转退休人员3人均为行政干部，退休人员行政单位医疗缴费比例较低，行政单位医疗支出较上一年度减少；本年度我单位调出行政干部3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2.卫生健康支出（类）行政事业单位医疗（款）事业单位医疗（项）:支出决算数为12.00万元，比上年决算增加9.05万元，增长306.78%，主要原因是：</w:t>
      </w:r>
      <w:r>
        <w:rPr>
          <w:rFonts w:hint="eastAsia" w:ascii="仿宋_GB2312" w:eastAsia="仿宋_GB2312"/>
          <w:color w:val="auto"/>
          <w:spacing w:val="0"/>
          <w:sz w:val="32"/>
          <w:szCs w:val="32"/>
          <w:highlight w:val="none"/>
          <w:lang w:eastAsia="zh-CN"/>
        </w:rPr>
        <w:t>上年度末我单位在职人员陆续调入20人均为事业干部，</w:t>
      </w:r>
      <w:r>
        <w:rPr>
          <w:rFonts w:hint="eastAsia" w:ascii="仿宋_GB2312" w:eastAsia="仿宋_GB2312"/>
          <w:color w:val="auto"/>
          <w:spacing w:val="0"/>
          <w:sz w:val="32"/>
          <w:szCs w:val="32"/>
          <w:highlight w:val="none"/>
          <w:lang w:val="en-US" w:eastAsia="zh-CN"/>
        </w:rPr>
        <w:t>年中追加事业单位医疗支出，事业单位医疗支出较上一年度增幅较大。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3.公共安全支出（类）司法（款）事业运行（项）:支出决算数为219.49万元，比上年决算增加219.49万元，增长100%，主要原因是：上年度决算无公共安全支出（类）司法（款）事业运行（项）；</w:t>
      </w:r>
      <w:r>
        <w:rPr>
          <w:rFonts w:hint="eastAsia" w:ascii="仿宋_GB2312" w:eastAsia="仿宋_GB2312"/>
          <w:color w:val="auto"/>
          <w:spacing w:val="0"/>
          <w:sz w:val="32"/>
          <w:szCs w:val="32"/>
          <w:highlight w:val="none"/>
          <w:lang w:eastAsia="zh-CN"/>
        </w:rPr>
        <w:t>上年度末我单位在职人员陆续调入20人均为事业干部，</w:t>
      </w:r>
      <w:r>
        <w:rPr>
          <w:rFonts w:hint="eastAsia" w:ascii="仿宋_GB2312" w:eastAsia="仿宋_GB2312"/>
          <w:color w:val="auto"/>
          <w:spacing w:val="0"/>
          <w:sz w:val="32"/>
          <w:szCs w:val="32"/>
          <w:highlight w:val="none"/>
          <w:lang w:val="en-US" w:eastAsia="zh-CN"/>
        </w:rPr>
        <w:t>年中追加</w:t>
      </w:r>
      <w:r>
        <w:rPr>
          <w:rFonts w:hint="eastAsia" w:ascii="仿宋_GB2312" w:hAnsi="仿宋_GB2312" w:eastAsia="仿宋_GB2312" w:cs="仿宋_GB2312"/>
          <w:color w:val="auto"/>
          <w:kern w:val="2"/>
          <w:sz w:val="32"/>
          <w:szCs w:val="32"/>
          <w:highlight w:val="none"/>
          <w:lang w:val="en-US" w:eastAsia="zh-CN" w:bidi="ar-SA"/>
        </w:rPr>
        <w:t>事业运行</w:t>
      </w:r>
      <w:r>
        <w:rPr>
          <w:rFonts w:hint="eastAsia" w:ascii="仿宋_GB2312" w:eastAsia="仿宋_GB2312"/>
          <w:color w:val="auto"/>
          <w:spacing w:val="0"/>
          <w:sz w:val="32"/>
          <w:szCs w:val="32"/>
          <w:highlight w:val="none"/>
          <w:lang w:val="en-US" w:eastAsia="zh-CN"/>
        </w:rPr>
        <w:t>支出，</w:t>
      </w:r>
      <w:r>
        <w:rPr>
          <w:rFonts w:hint="eastAsia" w:ascii="仿宋_GB2312" w:hAnsi="仿宋_GB2312" w:eastAsia="仿宋_GB2312" w:cs="仿宋_GB2312"/>
          <w:color w:val="auto"/>
          <w:kern w:val="2"/>
          <w:sz w:val="32"/>
          <w:szCs w:val="32"/>
          <w:highlight w:val="none"/>
          <w:lang w:val="en-US" w:eastAsia="zh-CN" w:bidi="ar-SA"/>
        </w:rPr>
        <w:t>事业运行</w:t>
      </w:r>
      <w:r>
        <w:rPr>
          <w:rFonts w:hint="eastAsia" w:ascii="仿宋_GB2312" w:eastAsia="仿宋_GB2312"/>
          <w:color w:val="auto"/>
          <w:spacing w:val="0"/>
          <w:sz w:val="32"/>
          <w:szCs w:val="32"/>
          <w:highlight w:val="none"/>
          <w:lang w:val="en-US" w:eastAsia="zh-CN"/>
        </w:rPr>
        <w:t>支出较上一年度增幅较大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10.58万元，比上年决算减少5.00万元，下降32.09%，主要原因是：本年度我单位在职转退休人员3人、调出3人均为行政干部，公务员医疗补助支出较上一年度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60.81万元，比上年决算增加18.34万元，增长43.18%，主要原因是：上年度末我单位在职人员陆续调入20人，人员增加，年中追加住房公积金支出；本年度工资调增，住房公积金基数随之增长，住房公积金支出较上一年度增幅较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6.社会保障和就业支出（类）行政事业单位养老支出（款）行政单位离退休（项）:支出决算数为15.60万元，比上年决算增加6.11万元，增长64.38%，主要原因是：</w:t>
      </w:r>
      <w:r>
        <w:rPr>
          <w:rFonts w:hint="eastAsia" w:ascii="仿宋_GB2312" w:hAnsi="仿宋_GB2312" w:eastAsia="仿宋_GB2312" w:cs="仿宋_GB2312"/>
          <w:color w:val="auto"/>
          <w:kern w:val="2"/>
          <w:sz w:val="32"/>
          <w:szCs w:val="32"/>
          <w:highlight w:val="none"/>
          <w:lang w:val="zh-CN" w:eastAsia="zh-CN" w:bidi="ar-SA"/>
        </w:rPr>
        <w:t>本年度补发了退休人员基础绩效增资；补发了退休人员独生子女奖励金，</w:t>
      </w:r>
      <w:r>
        <w:rPr>
          <w:rFonts w:hint="eastAsia" w:ascii="仿宋_GB2312" w:hAnsi="仿宋_GB2312" w:eastAsia="仿宋_GB2312" w:cs="仿宋_GB2312"/>
          <w:color w:val="auto"/>
          <w:kern w:val="2"/>
          <w:sz w:val="32"/>
          <w:szCs w:val="32"/>
          <w:highlight w:val="none"/>
          <w:lang w:val="en-US" w:eastAsia="zh-CN" w:bidi="ar-SA"/>
        </w:rPr>
        <w:t>年中追加行政单位离退休支出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7.公共安全支出（类）司法（款）行政运行（项）:支出决算数为757.64万元，比上年决算增加45.38万元，增长6.37%，主要原因是：</w:t>
      </w:r>
      <w:r>
        <w:rPr>
          <w:rFonts w:hint="eastAsia" w:ascii="仿宋_GB2312" w:hAnsi="宋体" w:eastAsia="仿宋_GB2312" w:cs="宋体"/>
          <w:kern w:val="0"/>
          <w:sz w:val="32"/>
          <w:szCs w:val="32"/>
          <w:highlight w:val="none"/>
        </w:rPr>
        <w:t>本年度本单位</w:t>
      </w:r>
      <w:r>
        <w:rPr>
          <w:rFonts w:hint="eastAsia" w:ascii="仿宋_GB2312" w:hAnsi="宋体" w:eastAsia="仿宋_GB2312" w:cs="宋体"/>
          <w:kern w:val="0"/>
          <w:sz w:val="32"/>
          <w:szCs w:val="32"/>
          <w:highlight w:val="none"/>
          <w:lang w:eastAsia="zh-CN"/>
        </w:rPr>
        <w:t>在职</w:t>
      </w:r>
      <w:r>
        <w:rPr>
          <w:rFonts w:hint="eastAsia" w:ascii="仿宋_GB2312" w:hAnsi="宋体" w:eastAsia="仿宋_GB2312" w:cs="宋体"/>
          <w:kern w:val="0"/>
          <w:sz w:val="32"/>
          <w:szCs w:val="32"/>
          <w:highlight w:val="none"/>
        </w:rPr>
        <w:t>人员</w:t>
      </w:r>
      <w:r>
        <w:rPr>
          <w:rFonts w:hint="eastAsia" w:ascii="仿宋_GB2312" w:hAnsi="宋体" w:eastAsia="仿宋_GB2312" w:cs="宋体"/>
          <w:kern w:val="0"/>
          <w:sz w:val="32"/>
          <w:szCs w:val="32"/>
          <w:highlight w:val="none"/>
          <w:lang w:val="en-US" w:eastAsia="zh-CN"/>
        </w:rPr>
        <w:t>考核</w:t>
      </w:r>
      <w:r>
        <w:rPr>
          <w:rFonts w:hint="eastAsia" w:ascii="仿宋_GB2312" w:hAnsi="宋体" w:eastAsia="仿宋_GB2312" w:cs="宋体"/>
          <w:kern w:val="0"/>
          <w:sz w:val="32"/>
          <w:szCs w:val="32"/>
          <w:highlight w:val="none"/>
        </w:rPr>
        <w:t>工资</w:t>
      </w:r>
      <w:r>
        <w:rPr>
          <w:rFonts w:hint="eastAsia" w:ascii="仿宋_GB2312" w:hAnsi="宋体" w:eastAsia="仿宋_GB2312" w:cs="宋体"/>
          <w:kern w:val="0"/>
          <w:sz w:val="32"/>
          <w:szCs w:val="32"/>
          <w:highlight w:val="none"/>
          <w:lang w:val="en-US" w:eastAsia="zh-CN"/>
        </w:rPr>
        <w:t>及调标工资</w:t>
      </w:r>
      <w:r>
        <w:rPr>
          <w:rFonts w:hint="eastAsia" w:ascii="仿宋_GB2312" w:hAnsi="宋体" w:eastAsia="仿宋_GB2312" w:cs="宋体"/>
          <w:kern w:val="0"/>
          <w:sz w:val="32"/>
          <w:szCs w:val="32"/>
          <w:highlight w:val="none"/>
        </w:rPr>
        <w:t>调增。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8.社会保障和就业支出（类）行政事业单位养老支出（款）机关事业单位职业年金缴费支出（项）:支出决算数为26.79万元，比上年决算增加14.32万元，增长114.84%，主要原因是：</w:t>
      </w:r>
      <w:r>
        <w:rPr>
          <w:rFonts w:hint="eastAsia" w:ascii="仿宋_GB2312" w:hAnsi="仿宋_GB2312" w:eastAsia="仿宋_GB2312" w:cs="仿宋_GB2312"/>
          <w:color w:val="auto"/>
          <w:kern w:val="2"/>
          <w:sz w:val="32"/>
          <w:szCs w:val="32"/>
          <w:highlight w:val="none"/>
          <w:lang w:val="zh-CN" w:eastAsia="zh-CN" w:bidi="ar-SA"/>
        </w:rPr>
        <w:t>本年度为职转退休</w:t>
      </w:r>
      <w:r>
        <w:rPr>
          <w:rFonts w:hint="eastAsia" w:ascii="仿宋_GB2312" w:hAnsi="仿宋_GB2312" w:eastAsia="仿宋_GB2312" w:cs="仿宋_GB2312"/>
          <w:color w:val="auto"/>
          <w:kern w:val="2"/>
          <w:sz w:val="32"/>
          <w:szCs w:val="32"/>
          <w:highlight w:val="none"/>
          <w:lang w:val="en-US" w:eastAsia="zh-CN" w:bidi="ar-SA"/>
        </w:rPr>
        <w:t>3人做了职业年金申拨业务，为其缴纳职业年金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9.其他支出（类）其他支出（款）其他支出（项）:支出决算数为10.00万元，比上年决算增加10.00万元，增长100%，主要原因是：上年度</w:t>
      </w:r>
      <w:r>
        <w:rPr>
          <w:rFonts w:hint="eastAsia" w:ascii="仿宋_GB2312" w:eastAsia="仿宋_GB2312"/>
          <w:color w:val="auto"/>
          <w:spacing w:val="0"/>
          <w:sz w:val="32"/>
          <w:szCs w:val="32"/>
          <w:highlight w:val="none"/>
          <w:lang w:val="en-US" w:eastAsia="zh-CN"/>
        </w:rPr>
        <w:t>此款项未产生支出，</w:t>
      </w:r>
      <w:r>
        <w:rPr>
          <w:rFonts w:hint="eastAsia" w:ascii="仿宋_GB2312" w:hAnsi="仿宋_GB2312" w:eastAsia="仿宋_GB2312" w:cs="仿宋_GB2312"/>
          <w:color w:val="auto"/>
          <w:kern w:val="2"/>
          <w:sz w:val="32"/>
          <w:szCs w:val="32"/>
          <w:highlight w:val="none"/>
          <w:lang w:val="en-US" w:eastAsia="zh-CN" w:bidi="ar-SA"/>
        </w:rPr>
        <w:t>本年度新增了特定目标类项目为10万元，在此款项核算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公共安全支出（类）司法（款）其他司法支出（项）:支出决算数为169.13万元，比上年决算增加52.87万元，增长45.48%，主要原因是：本年度为开展司法专项工作，购置一批固定资产，包括计算机、打印机等共计64台设备。</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76.27万元，比上年决算增加28.85万元，增长60.84%，主要原因是：本年度工资调增，机关事业单位基本养老保险缴费基数随之增长，机关事业单位基本养老保险缴费支出较上一年度增幅较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1,200.46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1,126.75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奖励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73.70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办公费、水费、电费、邮电费、取暖费、物业管理费、差旅费、培训费、公务接待费、劳务费、工会经费、公务用车运行维护费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“三公”经费支出30.86万元，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增加4.61万元，</w:t>
      </w:r>
      <w:r>
        <w:rPr>
          <w:rFonts w:hint="eastAsia" w:ascii="仿宋_GB2312" w:eastAsia="仿宋_GB2312"/>
          <w:color w:val="auto"/>
          <w:spacing w:val="0"/>
          <w:sz w:val="32"/>
          <w:szCs w:val="32"/>
          <w:highlight w:val="none"/>
          <w:lang w:val="en-US" w:eastAsia="zh-CN"/>
        </w:rPr>
        <w:t>增长17.56%,</w:t>
      </w:r>
      <w:r>
        <w:rPr>
          <w:rFonts w:hint="eastAsia" w:ascii="仿宋_GB2312" w:eastAsia="仿宋_GB2312"/>
          <w:color w:val="auto"/>
          <w:sz w:val="32"/>
          <w:szCs w:val="32"/>
          <w:highlight w:val="none"/>
          <w:lang w:val="zh-CN" w:eastAsia="zh-CN"/>
        </w:rPr>
        <w:t>主要原因是：</w:t>
      </w:r>
      <w:r>
        <w:rPr>
          <w:rFonts w:hint="eastAsia" w:ascii="仿宋_GB2312" w:eastAsia="仿宋_GB2312" w:cs="宋体"/>
          <w:color w:val="auto"/>
          <w:sz w:val="32"/>
          <w:szCs w:val="32"/>
          <w:highlight w:val="none"/>
          <w:lang w:val="en-US" w:eastAsia="zh-CN"/>
        </w:rPr>
        <w:t>本年度司法专项业务工作量增加，公务用车运行次数随之增加，从而增加了产生的公务用车运行费用</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主要原因是：我单位无因公出国（境）费支出；公务用车购置及运行维护费支出30.32万元，占98.25%，比上年增加4.07万元，</w:t>
      </w:r>
      <w:r>
        <w:rPr>
          <w:rFonts w:hint="eastAsia" w:ascii="仿宋_GB2312" w:eastAsia="仿宋_GB2312"/>
          <w:color w:val="auto"/>
          <w:spacing w:val="0"/>
          <w:sz w:val="32"/>
          <w:szCs w:val="32"/>
          <w:highlight w:val="none"/>
          <w:lang w:val="en-US" w:eastAsia="zh-CN"/>
        </w:rPr>
        <w:t>增长15.50%,</w:t>
      </w:r>
      <w:r>
        <w:rPr>
          <w:rFonts w:hint="eastAsia" w:ascii="仿宋_GB2312" w:eastAsia="仿宋_GB2312"/>
          <w:color w:val="auto"/>
          <w:sz w:val="32"/>
          <w:szCs w:val="32"/>
          <w:highlight w:val="none"/>
          <w:lang w:val="zh-CN" w:eastAsia="zh-CN"/>
        </w:rPr>
        <w:t>主要原因是：</w:t>
      </w:r>
      <w:r>
        <w:rPr>
          <w:rFonts w:hint="eastAsia" w:ascii="仿宋_GB2312" w:eastAsia="仿宋_GB2312" w:cs="宋体"/>
          <w:color w:val="auto"/>
          <w:sz w:val="32"/>
          <w:szCs w:val="32"/>
          <w:highlight w:val="none"/>
          <w:lang w:val="en-US" w:eastAsia="zh-CN"/>
        </w:rPr>
        <w:t>本年度司法专项业务工作量增加，公务用车运行次数随之增加，从而增加了产生的公务用车运行费用</w:t>
      </w:r>
      <w:r>
        <w:rPr>
          <w:rFonts w:hint="eastAsia" w:ascii="仿宋_GB2312" w:eastAsia="仿宋_GB2312"/>
          <w:color w:val="auto"/>
          <w:sz w:val="32"/>
          <w:szCs w:val="32"/>
          <w:highlight w:val="none"/>
          <w:lang w:val="zh-CN" w:eastAsia="zh-CN"/>
        </w:rPr>
        <w:t>；公务接待费支出0.54万元，占1.75%，比上年增加0.54万元，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主要原因是：上年度未产生公务接待费，同时本年度</w:t>
      </w:r>
      <w:r>
        <w:rPr>
          <w:rFonts w:hint="eastAsia" w:ascii="仿宋_GB2312" w:eastAsia="仿宋_GB2312"/>
          <w:color w:val="auto"/>
          <w:sz w:val="32"/>
          <w:szCs w:val="32"/>
          <w:highlight w:val="none"/>
          <w:lang w:val="en-US" w:eastAsia="zh-CN"/>
        </w:rPr>
        <w:t>专项工作接待增加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公务用车购置及运行维护费30.32万元，其中：公务用车购置费0.00万元，公务用车运行维护费30.32万元。公务用车运行维护费开支内容包括202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年度单位公务用车汽油费、车辆维修费、车辆保险费、车辆检测费、过路费等。公务用车购置数0辆，公务用车保有量14辆。国有资产占用情况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13辆，为开展司法专项工作</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一辆公务用车</w:t>
      </w:r>
      <w:r>
        <w:rPr>
          <w:rFonts w:hint="eastAsia" w:ascii="仿宋_GB2312" w:eastAsia="仿宋_GB2312"/>
          <w:color w:val="auto"/>
          <w:sz w:val="32"/>
          <w:szCs w:val="32"/>
          <w:highlight w:val="none"/>
          <w:lang w:val="en-US" w:eastAsia="zh-CN"/>
        </w:rPr>
        <w:t>是机关事务服务中心车辆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公务接待费0.54万元，开支内容包括上级单位来访等公务活动产生的</w:t>
      </w:r>
      <w:r>
        <w:rPr>
          <w:rFonts w:hint="eastAsia" w:ascii="仿宋_GB2312" w:eastAsia="仿宋_GB2312"/>
          <w:color w:val="auto"/>
          <w:sz w:val="32"/>
          <w:szCs w:val="32"/>
          <w:highlight w:val="none"/>
          <w:lang w:val="en-US" w:eastAsia="zh-CN"/>
        </w:rPr>
        <w:t>餐费</w:t>
      </w:r>
      <w:r>
        <w:rPr>
          <w:rFonts w:hint="eastAsia" w:ascii="仿宋_GB2312" w:eastAsia="仿宋_GB2312"/>
          <w:color w:val="auto"/>
          <w:sz w:val="32"/>
          <w:szCs w:val="32"/>
          <w:highlight w:val="none"/>
          <w:lang w:val="zh-CN" w:eastAsia="zh-CN"/>
        </w:rPr>
        <w:t>。单位全</w:t>
      </w:r>
      <w:bookmarkStart w:id="48" w:name="_GoBack"/>
      <w:bookmarkEnd w:id="48"/>
      <w:r>
        <w:rPr>
          <w:rFonts w:hint="eastAsia" w:ascii="仿宋_GB2312" w:eastAsia="仿宋_GB2312"/>
          <w:color w:val="auto"/>
          <w:sz w:val="32"/>
          <w:szCs w:val="32"/>
          <w:highlight w:val="none"/>
          <w:lang w:val="zh-CN" w:eastAsia="zh-CN"/>
        </w:rPr>
        <w:t>年安排的国内公务接待10批次，100人次。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预算数30.86万元，决算数30.86万元，预决算差异率0.00%，主要原因是：财政拨款“三公”经费支出预算数和决算数无变化，预决算无差异。其中：因公出国（境）费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预算数30.32万元，决算数30.32万元，预决算差异率0.00%，主要原因是：公务用车运行费预算数和决算数无变化，预决算无差异；公务接待费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预算数0.54万元，决算数0.54万元，预决算差异率0.00%，主要原因是：公务接待费预算数和决算数无变化，预决算无差异。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沙湾市司法局（行政单位和参照公务员法管理事业单位）机关运行经费支出73.70万元，</w:t>
      </w:r>
      <w:r>
        <w:rPr>
          <w:rFonts w:hint="eastAsia" w:ascii="仿宋_GB2312" w:hAnsi="仿宋_GB2312" w:eastAsia="仿宋_GB2312" w:cs="仿宋_GB2312"/>
          <w:color w:val="auto"/>
          <w:sz w:val="32"/>
          <w:szCs w:val="32"/>
          <w:highlight w:val="none"/>
          <w:lang w:val="zh-CN" w:eastAsia="zh-CN"/>
        </w:rPr>
        <w:t>比上年增加27.34万元，增长58.97%，主要原因是：本年度，</w:t>
      </w:r>
      <w:r>
        <w:rPr>
          <w:rFonts w:hint="eastAsia" w:ascii="仿宋_GB2312" w:hAnsi="仿宋" w:eastAsia="仿宋_GB2312" w:cs="Times New Roman"/>
          <w:color w:val="000000"/>
          <w:sz w:val="32"/>
          <w:szCs w:val="32"/>
          <w:highlight w:val="none"/>
          <w:lang w:eastAsia="zh-CN"/>
        </w:rPr>
        <w:t>支付了</w:t>
      </w:r>
      <w:r>
        <w:rPr>
          <w:rFonts w:hint="eastAsia" w:ascii="仿宋_GB2312" w:hAnsi="仿宋" w:eastAsia="仿宋_GB2312" w:cs="仿宋"/>
          <w:sz w:val="32"/>
          <w:szCs w:val="32"/>
          <w:highlight w:val="none"/>
        </w:rPr>
        <w:t>历欠的车辆维修费</w:t>
      </w:r>
      <w:r>
        <w:rPr>
          <w:rFonts w:hint="eastAsia" w:ascii="仿宋_GB2312" w:hAnsi="仿宋" w:eastAsia="仿宋_GB2312" w:cs="仿宋"/>
          <w:sz w:val="32"/>
          <w:szCs w:val="32"/>
          <w:highlight w:val="none"/>
          <w:lang w:eastAsia="zh-CN"/>
        </w:rPr>
        <w:t>，</w:t>
      </w:r>
      <w:r>
        <w:rPr>
          <w:rFonts w:hint="eastAsia" w:ascii="仿宋_GB2312" w:eastAsia="仿宋_GB2312" w:cs="宋体"/>
          <w:color w:val="auto"/>
          <w:sz w:val="32"/>
          <w:szCs w:val="32"/>
          <w:highlight w:val="none"/>
          <w:lang w:val="en-US" w:eastAsia="zh-CN"/>
        </w:rPr>
        <w:t>司法专项业务工作量增加，公务用车运行次数随之增加，公务用车运行费用增加，</w:t>
      </w:r>
      <w:r>
        <w:rPr>
          <w:rFonts w:hint="eastAsia" w:ascii="仿宋_GB2312" w:hAnsi="仿宋_GB2312" w:eastAsia="仿宋_GB2312" w:cs="仿宋_GB2312"/>
          <w:color w:val="auto"/>
          <w:sz w:val="32"/>
          <w:szCs w:val="32"/>
          <w:highlight w:val="none"/>
          <w:lang w:val="zh-CN" w:eastAsia="zh-CN"/>
        </w:rPr>
        <w:t>机关运行经费支出较上一年度增幅较大。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82.14万元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其中：政府采购货物支出51.26万元、政府采购工程支出0.00万元、政府采购服务支出30.88万元。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授予中小企业合同金额82.14万元，占政府采购支出总额的100.00%，其中：授予小微企业合同金额82.14万元，占政府采购支出总额的100.00%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691.23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屋1,488.44平方米，价值188.20万元。车辆13辆，价值155.94万元，其中：副部（省）级及以上领导用车0辆、主要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用车0辆、机要通信用车0辆、应急保障用车0辆、执法执勤用车13辆、特种专业技术用车0辆、离退休干部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eastAsia="zh-CN"/>
        </w:rPr>
        <w:t>年我单位无其他用车；单价100万元（含）以上设备（不含车辆）0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yellow"/>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预算总额1383.49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实际执行总额1383.49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全年预算数179.13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全年执行数179.13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其中sm项目2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全年预算数179.13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全年执行数179.13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,不予以公开</w:t>
      </w: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color w:val="auto"/>
          <w:sz w:val="32"/>
          <w:szCs w:val="32"/>
          <w:highlight w:val="none"/>
          <w:lang w:val="en-US" w:eastAsia="zh-CN"/>
        </w:rPr>
        <w:t>按照年初预算绩效目标的任务，各项工作有序推进，达到预算绩效目标的预期效果，取得了较好的社会效益</w:t>
      </w:r>
      <w:r>
        <w:rPr>
          <w:rFonts w:hint="eastAsia" w:ascii="仿宋_GB2312" w:eastAsia="仿宋_GB2312"/>
          <w:color w:val="auto"/>
          <w:sz w:val="32"/>
          <w:szCs w:val="32"/>
          <w:highlight w:val="none"/>
          <w:lang w:eastAsia="zh-CN"/>
        </w:rPr>
        <w:t>；二是对单位财政拨款资金起到了监督、管理的作用，提高了单位履职能力和资金使用效能。发现的问题及原因：一是</w:t>
      </w:r>
      <w:r>
        <w:rPr>
          <w:rFonts w:hint="eastAsia" w:ascii="仿宋_GB2312" w:eastAsia="仿宋_GB2312"/>
          <w:color w:val="auto"/>
          <w:sz w:val="32"/>
          <w:szCs w:val="32"/>
          <w:highlight w:val="none"/>
          <w:lang w:val="en-US" w:eastAsia="zh-CN"/>
        </w:rPr>
        <w:t>单位预算绩效评价指标设置不合理、指标内容不完整的问题，主要原因是忽略了定量指标的设置，忽视了社会效益等指标的重要性，没有结合实际，深入研究</w:t>
      </w:r>
      <w:r>
        <w:rPr>
          <w:rFonts w:hint="eastAsia" w:ascii="仿宋_GB2312" w:eastAsia="仿宋_GB2312"/>
          <w:color w:val="auto"/>
          <w:sz w:val="32"/>
          <w:szCs w:val="32"/>
          <w:highlight w:val="none"/>
          <w:lang w:eastAsia="zh-CN"/>
        </w:rPr>
        <w:t>；二是单位资金管理与业务管理未充分融合，主要原因是部分预算管理人员缺少对预算管理与绩效管理的整体认识。下一步改进措施：一是</w:t>
      </w:r>
      <w:r>
        <w:rPr>
          <w:rFonts w:hint="eastAsia" w:ascii="仿宋_GB2312" w:eastAsia="仿宋_GB2312"/>
          <w:color w:val="auto"/>
          <w:sz w:val="32"/>
          <w:szCs w:val="32"/>
          <w:highlight w:val="none"/>
          <w:lang w:val="en-US" w:eastAsia="zh-CN"/>
        </w:rPr>
        <w:t>应树立绩效管理理念，提高管理高层重视程度和工作自觉性</w:t>
      </w:r>
      <w:r>
        <w:rPr>
          <w:rFonts w:hint="eastAsia" w:ascii="仿宋_GB2312" w:eastAsia="仿宋_GB2312"/>
          <w:color w:val="auto"/>
          <w:sz w:val="32"/>
          <w:szCs w:val="32"/>
          <w:highlight w:val="none"/>
          <w:lang w:eastAsia="zh-CN"/>
        </w:rPr>
        <w:t>；二是单位内部应定期组织预算绩效理念宣传与业务培训，从思想、业务知识、实操等多方面增强工作人员对预算绩效管理的执行力。具体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全年预算数179.13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全年执行数179.13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不予以公开。</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zZTU0M2Q3ZTY1YzljNWQzZDdkZTc4NDNmYTY5MWEifQ=="/>
    <w:docVar w:name="KSO_WPS_MARK_KEY" w:val="41ee2a61-2d54-4f93-83be-afdb9a40d732"/>
  </w:docVars>
  <w:rsids>
    <w:rsidRoot w:val="00000000"/>
    <w:rsid w:val="00213C59"/>
    <w:rsid w:val="003210CE"/>
    <w:rsid w:val="00B41E5C"/>
    <w:rsid w:val="00B70D59"/>
    <w:rsid w:val="00BE4349"/>
    <w:rsid w:val="00F06B13"/>
    <w:rsid w:val="00F52A8D"/>
    <w:rsid w:val="0193504E"/>
    <w:rsid w:val="019404F8"/>
    <w:rsid w:val="01C30B6B"/>
    <w:rsid w:val="01C9720E"/>
    <w:rsid w:val="01ED22F2"/>
    <w:rsid w:val="02054CE7"/>
    <w:rsid w:val="025C0F7E"/>
    <w:rsid w:val="02903647"/>
    <w:rsid w:val="02BC436A"/>
    <w:rsid w:val="02BD3108"/>
    <w:rsid w:val="02CC3F27"/>
    <w:rsid w:val="02F73D26"/>
    <w:rsid w:val="034D4FEF"/>
    <w:rsid w:val="035D1785"/>
    <w:rsid w:val="036D64E1"/>
    <w:rsid w:val="03786273"/>
    <w:rsid w:val="039F47CE"/>
    <w:rsid w:val="03BD5310"/>
    <w:rsid w:val="03DA073C"/>
    <w:rsid w:val="03E05CE8"/>
    <w:rsid w:val="03F973EE"/>
    <w:rsid w:val="040B116A"/>
    <w:rsid w:val="04200323"/>
    <w:rsid w:val="043845A5"/>
    <w:rsid w:val="043E5B56"/>
    <w:rsid w:val="044116BC"/>
    <w:rsid w:val="044853A8"/>
    <w:rsid w:val="04706481"/>
    <w:rsid w:val="04AD5CEE"/>
    <w:rsid w:val="04B447F4"/>
    <w:rsid w:val="04C04386"/>
    <w:rsid w:val="04CA1464"/>
    <w:rsid w:val="04D1736D"/>
    <w:rsid w:val="04D96608"/>
    <w:rsid w:val="04F210E4"/>
    <w:rsid w:val="04FA68C4"/>
    <w:rsid w:val="051069DF"/>
    <w:rsid w:val="053F5AE6"/>
    <w:rsid w:val="057C0B0F"/>
    <w:rsid w:val="05C325CF"/>
    <w:rsid w:val="05EF4B48"/>
    <w:rsid w:val="05F76ECA"/>
    <w:rsid w:val="06183A24"/>
    <w:rsid w:val="0619144E"/>
    <w:rsid w:val="06342262"/>
    <w:rsid w:val="06792773"/>
    <w:rsid w:val="06E9431F"/>
    <w:rsid w:val="06FB55FB"/>
    <w:rsid w:val="06FD75CA"/>
    <w:rsid w:val="07093795"/>
    <w:rsid w:val="07706513"/>
    <w:rsid w:val="07804730"/>
    <w:rsid w:val="079052BE"/>
    <w:rsid w:val="07B2695D"/>
    <w:rsid w:val="07EB4CA4"/>
    <w:rsid w:val="08145C21"/>
    <w:rsid w:val="081E380C"/>
    <w:rsid w:val="08422688"/>
    <w:rsid w:val="08484B98"/>
    <w:rsid w:val="085854ED"/>
    <w:rsid w:val="086014B7"/>
    <w:rsid w:val="0879188F"/>
    <w:rsid w:val="08A0354D"/>
    <w:rsid w:val="08CD4C49"/>
    <w:rsid w:val="08EB1D0B"/>
    <w:rsid w:val="09114954"/>
    <w:rsid w:val="091469C5"/>
    <w:rsid w:val="095A5B83"/>
    <w:rsid w:val="096466E3"/>
    <w:rsid w:val="0968304D"/>
    <w:rsid w:val="09845F08"/>
    <w:rsid w:val="09AF3D17"/>
    <w:rsid w:val="0A18290F"/>
    <w:rsid w:val="0A7809B7"/>
    <w:rsid w:val="0A7B4867"/>
    <w:rsid w:val="0A840954"/>
    <w:rsid w:val="0A9928ED"/>
    <w:rsid w:val="0AA35586"/>
    <w:rsid w:val="0AAC5462"/>
    <w:rsid w:val="0AFF1430"/>
    <w:rsid w:val="0B166B3F"/>
    <w:rsid w:val="0B61769D"/>
    <w:rsid w:val="0B6C43BB"/>
    <w:rsid w:val="0B715599"/>
    <w:rsid w:val="0B8C3ECC"/>
    <w:rsid w:val="0B9269EE"/>
    <w:rsid w:val="0B9C639D"/>
    <w:rsid w:val="0BA60420"/>
    <w:rsid w:val="0BB052B2"/>
    <w:rsid w:val="0BD33FFC"/>
    <w:rsid w:val="0BE6515D"/>
    <w:rsid w:val="0BE97AC1"/>
    <w:rsid w:val="0BF43932"/>
    <w:rsid w:val="0C1C4780"/>
    <w:rsid w:val="0C3613A3"/>
    <w:rsid w:val="0C5E519C"/>
    <w:rsid w:val="0C7227A7"/>
    <w:rsid w:val="0C7A0C61"/>
    <w:rsid w:val="0CA52EE8"/>
    <w:rsid w:val="0CBD6988"/>
    <w:rsid w:val="0CC571B5"/>
    <w:rsid w:val="0CD208AC"/>
    <w:rsid w:val="0CDC2EB7"/>
    <w:rsid w:val="0D172DAA"/>
    <w:rsid w:val="0D4903E8"/>
    <w:rsid w:val="0D59502B"/>
    <w:rsid w:val="0D6C29EA"/>
    <w:rsid w:val="0D7A4A46"/>
    <w:rsid w:val="0D841798"/>
    <w:rsid w:val="0D89687D"/>
    <w:rsid w:val="0D8D5504"/>
    <w:rsid w:val="0DAA2210"/>
    <w:rsid w:val="0DB36729"/>
    <w:rsid w:val="0DB82731"/>
    <w:rsid w:val="0DC25CF5"/>
    <w:rsid w:val="0DE56570"/>
    <w:rsid w:val="0DED513D"/>
    <w:rsid w:val="0DF3525F"/>
    <w:rsid w:val="0E640559"/>
    <w:rsid w:val="0E6C5910"/>
    <w:rsid w:val="0E760F32"/>
    <w:rsid w:val="0E850F4F"/>
    <w:rsid w:val="0EBF65AE"/>
    <w:rsid w:val="0ED424B9"/>
    <w:rsid w:val="0F1113DA"/>
    <w:rsid w:val="0F645EEA"/>
    <w:rsid w:val="0F78534A"/>
    <w:rsid w:val="0F89358A"/>
    <w:rsid w:val="0F8C6D51"/>
    <w:rsid w:val="10055002"/>
    <w:rsid w:val="10284584"/>
    <w:rsid w:val="1039089D"/>
    <w:rsid w:val="105B0B5E"/>
    <w:rsid w:val="10651341"/>
    <w:rsid w:val="106C1A6C"/>
    <w:rsid w:val="108560E2"/>
    <w:rsid w:val="10A72F36"/>
    <w:rsid w:val="1117480F"/>
    <w:rsid w:val="112E58D0"/>
    <w:rsid w:val="11731CAC"/>
    <w:rsid w:val="119031E8"/>
    <w:rsid w:val="119500A0"/>
    <w:rsid w:val="11C0733B"/>
    <w:rsid w:val="11D50D17"/>
    <w:rsid w:val="11EA5151"/>
    <w:rsid w:val="120E0809"/>
    <w:rsid w:val="127F665A"/>
    <w:rsid w:val="12C13C49"/>
    <w:rsid w:val="12F7068C"/>
    <w:rsid w:val="12F87EEF"/>
    <w:rsid w:val="13F57886"/>
    <w:rsid w:val="14207DC0"/>
    <w:rsid w:val="14223541"/>
    <w:rsid w:val="142B310E"/>
    <w:rsid w:val="14887F39"/>
    <w:rsid w:val="14942113"/>
    <w:rsid w:val="14942183"/>
    <w:rsid w:val="149C28A5"/>
    <w:rsid w:val="14B932DA"/>
    <w:rsid w:val="15091C6D"/>
    <w:rsid w:val="150A66AF"/>
    <w:rsid w:val="15133353"/>
    <w:rsid w:val="154C1139"/>
    <w:rsid w:val="15591192"/>
    <w:rsid w:val="1573268B"/>
    <w:rsid w:val="158C5511"/>
    <w:rsid w:val="158C5B77"/>
    <w:rsid w:val="160D1149"/>
    <w:rsid w:val="1629467F"/>
    <w:rsid w:val="163563C0"/>
    <w:rsid w:val="164315EF"/>
    <w:rsid w:val="1654700B"/>
    <w:rsid w:val="16557DFE"/>
    <w:rsid w:val="167268FB"/>
    <w:rsid w:val="16770D0A"/>
    <w:rsid w:val="169A0039"/>
    <w:rsid w:val="16BC245C"/>
    <w:rsid w:val="16BF2EE9"/>
    <w:rsid w:val="16D50C50"/>
    <w:rsid w:val="16E120E1"/>
    <w:rsid w:val="17385A05"/>
    <w:rsid w:val="173B3901"/>
    <w:rsid w:val="176747F9"/>
    <w:rsid w:val="17747437"/>
    <w:rsid w:val="17954A6E"/>
    <w:rsid w:val="17BE2C86"/>
    <w:rsid w:val="180059E9"/>
    <w:rsid w:val="184510FD"/>
    <w:rsid w:val="18E227B7"/>
    <w:rsid w:val="18EE46C8"/>
    <w:rsid w:val="190648B0"/>
    <w:rsid w:val="19071D6C"/>
    <w:rsid w:val="191327B5"/>
    <w:rsid w:val="193237CA"/>
    <w:rsid w:val="19D26CD4"/>
    <w:rsid w:val="19D80782"/>
    <w:rsid w:val="19E60D19"/>
    <w:rsid w:val="19F22166"/>
    <w:rsid w:val="1A3E3450"/>
    <w:rsid w:val="1A6F6D3B"/>
    <w:rsid w:val="1A8369A2"/>
    <w:rsid w:val="1AD807E5"/>
    <w:rsid w:val="1B39345B"/>
    <w:rsid w:val="1B620FB8"/>
    <w:rsid w:val="1B9713C4"/>
    <w:rsid w:val="1BBD18A5"/>
    <w:rsid w:val="1BC874C5"/>
    <w:rsid w:val="1BCE1DAB"/>
    <w:rsid w:val="1BE8795D"/>
    <w:rsid w:val="1BFB2A1F"/>
    <w:rsid w:val="1C015D4A"/>
    <w:rsid w:val="1C290ED5"/>
    <w:rsid w:val="1C317E4F"/>
    <w:rsid w:val="1C472464"/>
    <w:rsid w:val="1CC67441"/>
    <w:rsid w:val="1CE646E3"/>
    <w:rsid w:val="1D22799A"/>
    <w:rsid w:val="1D4D104D"/>
    <w:rsid w:val="1D4F1D5D"/>
    <w:rsid w:val="1D531FA8"/>
    <w:rsid w:val="1D5C1A72"/>
    <w:rsid w:val="1DAF458D"/>
    <w:rsid w:val="1E086ACE"/>
    <w:rsid w:val="1E620D1A"/>
    <w:rsid w:val="1E62130A"/>
    <w:rsid w:val="1E960C88"/>
    <w:rsid w:val="1E97358B"/>
    <w:rsid w:val="1EAA4A5F"/>
    <w:rsid w:val="1EE869A7"/>
    <w:rsid w:val="1EEB7E9D"/>
    <w:rsid w:val="1F1170BC"/>
    <w:rsid w:val="1F3F37CF"/>
    <w:rsid w:val="1F6D1AB6"/>
    <w:rsid w:val="1FA15E62"/>
    <w:rsid w:val="1FC2069D"/>
    <w:rsid w:val="1FCE15CD"/>
    <w:rsid w:val="1FED69B6"/>
    <w:rsid w:val="2064678E"/>
    <w:rsid w:val="20716368"/>
    <w:rsid w:val="20CF19DE"/>
    <w:rsid w:val="20DC1AB9"/>
    <w:rsid w:val="20DD6197"/>
    <w:rsid w:val="20EB2BE6"/>
    <w:rsid w:val="20EE2729"/>
    <w:rsid w:val="212631E0"/>
    <w:rsid w:val="2138666F"/>
    <w:rsid w:val="21742080"/>
    <w:rsid w:val="21A53757"/>
    <w:rsid w:val="21B37ED4"/>
    <w:rsid w:val="21F879E1"/>
    <w:rsid w:val="21FC3DF2"/>
    <w:rsid w:val="22057BF0"/>
    <w:rsid w:val="221236C6"/>
    <w:rsid w:val="2236205E"/>
    <w:rsid w:val="223D0E92"/>
    <w:rsid w:val="227804B1"/>
    <w:rsid w:val="22AE12F4"/>
    <w:rsid w:val="22D7662C"/>
    <w:rsid w:val="22E11C16"/>
    <w:rsid w:val="23326B7F"/>
    <w:rsid w:val="234438AB"/>
    <w:rsid w:val="2380045B"/>
    <w:rsid w:val="239D30C3"/>
    <w:rsid w:val="23AA28AC"/>
    <w:rsid w:val="23BC04D2"/>
    <w:rsid w:val="23E34B09"/>
    <w:rsid w:val="23EF1892"/>
    <w:rsid w:val="2483647E"/>
    <w:rsid w:val="249D6CCC"/>
    <w:rsid w:val="24A32D55"/>
    <w:rsid w:val="24AB77EC"/>
    <w:rsid w:val="24CE6D9A"/>
    <w:rsid w:val="24F269A7"/>
    <w:rsid w:val="25292727"/>
    <w:rsid w:val="252E5CA9"/>
    <w:rsid w:val="256F7692"/>
    <w:rsid w:val="257722E4"/>
    <w:rsid w:val="25BA2154"/>
    <w:rsid w:val="25C8773F"/>
    <w:rsid w:val="25C94BDD"/>
    <w:rsid w:val="26235823"/>
    <w:rsid w:val="263C5ACB"/>
    <w:rsid w:val="264A7253"/>
    <w:rsid w:val="266B70CF"/>
    <w:rsid w:val="266E14C1"/>
    <w:rsid w:val="26744F53"/>
    <w:rsid w:val="269154C7"/>
    <w:rsid w:val="269A0CAA"/>
    <w:rsid w:val="26B534A4"/>
    <w:rsid w:val="26C068DA"/>
    <w:rsid w:val="26D1208D"/>
    <w:rsid w:val="26F0170C"/>
    <w:rsid w:val="26FE3B9A"/>
    <w:rsid w:val="26FE4A83"/>
    <w:rsid w:val="27201D62"/>
    <w:rsid w:val="27286E73"/>
    <w:rsid w:val="273C61AC"/>
    <w:rsid w:val="275B32F0"/>
    <w:rsid w:val="276F224D"/>
    <w:rsid w:val="27B77A2D"/>
    <w:rsid w:val="27CF2642"/>
    <w:rsid w:val="27E777F5"/>
    <w:rsid w:val="27EA1D4C"/>
    <w:rsid w:val="27EA2E41"/>
    <w:rsid w:val="282459E2"/>
    <w:rsid w:val="283A7FE5"/>
    <w:rsid w:val="285F51FF"/>
    <w:rsid w:val="287559D8"/>
    <w:rsid w:val="28B1218D"/>
    <w:rsid w:val="28C43266"/>
    <w:rsid w:val="28C813D5"/>
    <w:rsid w:val="28DA4193"/>
    <w:rsid w:val="28DF2665"/>
    <w:rsid w:val="29072599"/>
    <w:rsid w:val="291029F3"/>
    <w:rsid w:val="293349BE"/>
    <w:rsid w:val="29473A52"/>
    <w:rsid w:val="29CB58F0"/>
    <w:rsid w:val="29EC1495"/>
    <w:rsid w:val="2A053397"/>
    <w:rsid w:val="2A145E96"/>
    <w:rsid w:val="2A2131BB"/>
    <w:rsid w:val="2A6C057D"/>
    <w:rsid w:val="2AD669A4"/>
    <w:rsid w:val="2AF5378F"/>
    <w:rsid w:val="2AFA255E"/>
    <w:rsid w:val="2B0C2A28"/>
    <w:rsid w:val="2B805066"/>
    <w:rsid w:val="2BA91CBD"/>
    <w:rsid w:val="2BB94DBF"/>
    <w:rsid w:val="2BDB3625"/>
    <w:rsid w:val="2BF37410"/>
    <w:rsid w:val="2C0D66A0"/>
    <w:rsid w:val="2C393D2B"/>
    <w:rsid w:val="2C4F4EA6"/>
    <w:rsid w:val="2C5B0AFC"/>
    <w:rsid w:val="2C6F314E"/>
    <w:rsid w:val="2C705E38"/>
    <w:rsid w:val="2CBA60B2"/>
    <w:rsid w:val="2CC206BE"/>
    <w:rsid w:val="2CE5030B"/>
    <w:rsid w:val="2CFA286A"/>
    <w:rsid w:val="2D1136DF"/>
    <w:rsid w:val="2D1D36D4"/>
    <w:rsid w:val="2D20606D"/>
    <w:rsid w:val="2D356D89"/>
    <w:rsid w:val="2D6729FE"/>
    <w:rsid w:val="2D7D0CE9"/>
    <w:rsid w:val="2DB87198"/>
    <w:rsid w:val="2DB93C54"/>
    <w:rsid w:val="2E0B5322"/>
    <w:rsid w:val="2E3D144C"/>
    <w:rsid w:val="2E3D3C0D"/>
    <w:rsid w:val="2E4678EC"/>
    <w:rsid w:val="2E626F9E"/>
    <w:rsid w:val="2E891204"/>
    <w:rsid w:val="2E894E35"/>
    <w:rsid w:val="2E8D662B"/>
    <w:rsid w:val="2EA76AE1"/>
    <w:rsid w:val="2EE257DD"/>
    <w:rsid w:val="2F0C7F3D"/>
    <w:rsid w:val="2F3F0A28"/>
    <w:rsid w:val="2F6D204D"/>
    <w:rsid w:val="2F736706"/>
    <w:rsid w:val="2FAE7A69"/>
    <w:rsid w:val="2FBF7029"/>
    <w:rsid w:val="2FD0187F"/>
    <w:rsid w:val="2FD27414"/>
    <w:rsid w:val="2FFE4BB0"/>
    <w:rsid w:val="300B13BF"/>
    <w:rsid w:val="300E7B60"/>
    <w:rsid w:val="300F6E18"/>
    <w:rsid w:val="3078242D"/>
    <w:rsid w:val="30862F5F"/>
    <w:rsid w:val="30A4775A"/>
    <w:rsid w:val="30E041B5"/>
    <w:rsid w:val="314029C9"/>
    <w:rsid w:val="31506B62"/>
    <w:rsid w:val="315C79A0"/>
    <w:rsid w:val="31A639F6"/>
    <w:rsid w:val="31B719E7"/>
    <w:rsid w:val="31C63837"/>
    <w:rsid w:val="31C82E39"/>
    <w:rsid w:val="32013849"/>
    <w:rsid w:val="320E3ECA"/>
    <w:rsid w:val="32114B0F"/>
    <w:rsid w:val="32596912"/>
    <w:rsid w:val="32601BAD"/>
    <w:rsid w:val="32827B76"/>
    <w:rsid w:val="329F6389"/>
    <w:rsid w:val="32DC4104"/>
    <w:rsid w:val="334D1CB4"/>
    <w:rsid w:val="334F4E40"/>
    <w:rsid w:val="3368174D"/>
    <w:rsid w:val="3389023A"/>
    <w:rsid w:val="33B27F52"/>
    <w:rsid w:val="33CB74FA"/>
    <w:rsid w:val="33E008AC"/>
    <w:rsid w:val="33FE0493"/>
    <w:rsid w:val="343642F2"/>
    <w:rsid w:val="343F3010"/>
    <w:rsid w:val="34406F78"/>
    <w:rsid w:val="345D0A00"/>
    <w:rsid w:val="34713BFD"/>
    <w:rsid w:val="347302E7"/>
    <w:rsid w:val="347D24A8"/>
    <w:rsid w:val="34C13589"/>
    <w:rsid w:val="34C57CCC"/>
    <w:rsid w:val="34ED08DA"/>
    <w:rsid w:val="353369E3"/>
    <w:rsid w:val="35B21E0B"/>
    <w:rsid w:val="35B9712A"/>
    <w:rsid w:val="35E00D72"/>
    <w:rsid w:val="3610214E"/>
    <w:rsid w:val="36117453"/>
    <w:rsid w:val="36280204"/>
    <w:rsid w:val="363C3FBB"/>
    <w:rsid w:val="365014BD"/>
    <w:rsid w:val="36891257"/>
    <w:rsid w:val="36957BDF"/>
    <w:rsid w:val="36965B9D"/>
    <w:rsid w:val="369F60B9"/>
    <w:rsid w:val="36B63027"/>
    <w:rsid w:val="36C549FD"/>
    <w:rsid w:val="36D96FF7"/>
    <w:rsid w:val="36EE323E"/>
    <w:rsid w:val="374176A2"/>
    <w:rsid w:val="37707DD6"/>
    <w:rsid w:val="37A755DD"/>
    <w:rsid w:val="37AB0579"/>
    <w:rsid w:val="37BB3A3D"/>
    <w:rsid w:val="37F33BFE"/>
    <w:rsid w:val="37F94FA0"/>
    <w:rsid w:val="380D3381"/>
    <w:rsid w:val="38115B1F"/>
    <w:rsid w:val="381422F1"/>
    <w:rsid w:val="383F3394"/>
    <w:rsid w:val="385E3AC3"/>
    <w:rsid w:val="386B078A"/>
    <w:rsid w:val="387D6B9E"/>
    <w:rsid w:val="387F6DEA"/>
    <w:rsid w:val="388E0537"/>
    <w:rsid w:val="38B75FF0"/>
    <w:rsid w:val="38C46CC1"/>
    <w:rsid w:val="38D45016"/>
    <w:rsid w:val="38D90432"/>
    <w:rsid w:val="39062684"/>
    <w:rsid w:val="39111A91"/>
    <w:rsid w:val="3914510A"/>
    <w:rsid w:val="3920606F"/>
    <w:rsid w:val="3926770B"/>
    <w:rsid w:val="3982065B"/>
    <w:rsid w:val="398D3668"/>
    <w:rsid w:val="39DA0497"/>
    <w:rsid w:val="3A087B13"/>
    <w:rsid w:val="3A676A7F"/>
    <w:rsid w:val="3A893816"/>
    <w:rsid w:val="3A893B6D"/>
    <w:rsid w:val="3AB327A6"/>
    <w:rsid w:val="3AD1763A"/>
    <w:rsid w:val="3B196883"/>
    <w:rsid w:val="3B6716E3"/>
    <w:rsid w:val="3B6C6B2D"/>
    <w:rsid w:val="3B8D65F9"/>
    <w:rsid w:val="3B9840C3"/>
    <w:rsid w:val="3BDC63B6"/>
    <w:rsid w:val="3C0F40AD"/>
    <w:rsid w:val="3C242659"/>
    <w:rsid w:val="3C4474DD"/>
    <w:rsid w:val="3C96719C"/>
    <w:rsid w:val="3CA72BE8"/>
    <w:rsid w:val="3CDC1E1E"/>
    <w:rsid w:val="3CF37F8C"/>
    <w:rsid w:val="3D137554"/>
    <w:rsid w:val="3D237900"/>
    <w:rsid w:val="3D342BB3"/>
    <w:rsid w:val="3D383017"/>
    <w:rsid w:val="3D5275AC"/>
    <w:rsid w:val="3D620759"/>
    <w:rsid w:val="3DCC2473"/>
    <w:rsid w:val="3DEB0883"/>
    <w:rsid w:val="3DF1450B"/>
    <w:rsid w:val="3E2527BF"/>
    <w:rsid w:val="3E70484C"/>
    <w:rsid w:val="3E731662"/>
    <w:rsid w:val="3E8168DD"/>
    <w:rsid w:val="3E88456C"/>
    <w:rsid w:val="3EA7725F"/>
    <w:rsid w:val="3EB03713"/>
    <w:rsid w:val="3EBF1A11"/>
    <w:rsid w:val="3EC52607"/>
    <w:rsid w:val="3ED43BA1"/>
    <w:rsid w:val="3EE95FFF"/>
    <w:rsid w:val="3EEC6CEF"/>
    <w:rsid w:val="3EF37146"/>
    <w:rsid w:val="3F183429"/>
    <w:rsid w:val="3F3D6468"/>
    <w:rsid w:val="3F423A05"/>
    <w:rsid w:val="3FB77A1D"/>
    <w:rsid w:val="3FD47CC8"/>
    <w:rsid w:val="3FDC3674"/>
    <w:rsid w:val="3FED7F8A"/>
    <w:rsid w:val="40094AEF"/>
    <w:rsid w:val="405470BD"/>
    <w:rsid w:val="40794A29"/>
    <w:rsid w:val="40834692"/>
    <w:rsid w:val="40855517"/>
    <w:rsid w:val="40D01404"/>
    <w:rsid w:val="40DC2B9C"/>
    <w:rsid w:val="40F30D7A"/>
    <w:rsid w:val="41431AD5"/>
    <w:rsid w:val="414B3C0F"/>
    <w:rsid w:val="416026DA"/>
    <w:rsid w:val="417C1CE7"/>
    <w:rsid w:val="418A5423"/>
    <w:rsid w:val="41900018"/>
    <w:rsid w:val="41935529"/>
    <w:rsid w:val="41944406"/>
    <w:rsid w:val="41C31178"/>
    <w:rsid w:val="41CE128F"/>
    <w:rsid w:val="41DA6F12"/>
    <w:rsid w:val="41EB7108"/>
    <w:rsid w:val="42171FB1"/>
    <w:rsid w:val="426F10B3"/>
    <w:rsid w:val="42C10D7B"/>
    <w:rsid w:val="42CE49E8"/>
    <w:rsid w:val="42D46202"/>
    <w:rsid w:val="43034049"/>
    <w:rsid w:val="430D6425"/>
    <w:rsid w:val="430E1A28"/>
    <w:rsid w:val="43243FF8"/>
    <w:rsid w:val="434E6957"/>
    <w:rsid w:val="435007EA"/>
    <w:rsid w:val="43692893"/>
    <w:rsid w:val="43BA0E31"/>
    <w:rsid w:val="43C15147"/>
    <w:rsid w:val="43DE292B"/>
    <w:rsid w:val="43E14DD2"/>
    <w:rsid w:val="43F800E9"/>
    <w:rsid w:val="443A7E4B"/>
    <w:rsid w:val="444A7D08"/>
    <w:rsid w:val="446927DF"/>
    <w:rsid w:val="446E6AC0"/>
    <w:rsid w:val="449108D6"/>
    <w:rsid w:val="44BB4763"/>
    <w:rsid w:val="44C9139C"/>
    <w:rsid w:val="45034140"/>
    <w:rsid w:val="452F5B3A"/>
    <w:rsid w:val="454E7FD2"/>
    <w:rsid w:val="456509D2"/>
    <w:rsid w:val="45B2633F"/>
    <w:rsid w:val="46061BDC"/>
    <w:rsid w:val="461404F8"/>
    <w:rsid w:val="463305F0"/>
    <w:rsid w:val="46413018"/>
    <w:rsid w:val="4645631C"/>
    <w:rsid w:val="464B7E04"/>
    <w:rsid w:val="4663501D"/>
    <w:rsid w:val="468041AA"/>
    <w:rsid w:val="468123C6"/>
    <w:rsid w:val="46901EEE"/>
    <w:rsid w:val="469C74D2"/>
    <w:rsid w:val="469D36C9"/>
    <w:rsid w:val="46CE3063"/>
    <w:rsid w:val="46D43713"/>
    <w:rsid w:val="46E45669"/>
    <w:rsid w:val="47445515"/>
    <w:rsid w:val="474B4782"/>
    <w:rsid w:val="47AE37E2"/>
    <w:rsid w:val="47D90D14"/>
    <w:rsid w:val="47DE1152"/>
    <w:rsid w:val="480B0260"/>
    <w:rsid w:val="48387FB0"/>
    <w:rsid w:val="483A6114"/>
    <w:rsid w:val="484357DE"/>
    <w:rsid w:val="488727DB"/>
    <w:rsid w:val="489F2C7F"/>
    <w:rsid w:val="48B82268"/>
    <w:rsid w:val="48C354B3"/>
    <w:rsid w:val="493D58B5"/>
    <w:rsid w:val="494A7A04"/>
    <w:rsid w:val="494C338A"/>
    <w:rsid w:val="49605EF7"/>
    <w:rsid w:val="49C65C1C"/>
    <w:rsid w:val="49C863D5"/>
    <w:rsid w:val="4A0A26D2"/>
    <w:rsid w:val="4A0B720C"/>
    <w:rsid w:val="4A2019A5"/>
    <w:rsid w:val="4A241A0B"/>
    <w:rsid w:val="4A5C2BD7"/>
    <w:rsid w:val="4A7B2875"/>
    <w:rsid w:val="4A934476"/>
    <w:rsid w:val="4AAA220A"/>
    <w:rsid w:val="4AE12E67"/>
    <w:rsid w:val="4B213207"/>
    <w:rsid w:val="4B3C2D6C"/>
    <w:rsid w:val="4B4C0111"/>
    <w:rsid w:val="4B820084"/>
    <w:rsid w:val="4B8553A9"/>
    <w:rsid w:val="4BAF0288"/>
    <w:rsid w:val="4BDB3730"/>
    <w:rsid w:val="4C200F7A"/>
    <w:rsid w:val="4C6C5292"/>
    <w:rsid w:val="4CB57CEE"/>
    <w:rsid w:val="4CEE3180"/>
    <w:rsid w:val="4CF26DA5"/>
    <w:rsid w:val="4D0F4AF6"/>
    <w:rsid w:val="4D45673B"/>
    <w:rsid w:val="4D5F628D"/>
    <w:rsid w:val="4D6434BF"/>
    <w:rsid w:val="4DE31EE4"/>
    <w:rsid w:val="4DF94F37"/>
    <w:rsid w:val="4E0A1DD5"/>
    <w:rsid w:val="4E213B15"/>
    <w:rsid w:val="4E3160E5"/>
    <w:rsid w:val="4E4D37AF"/>
    <w:rsid w:val="4E8560E3"/>
    <w:rsid w:val="4E8C6496"/>
    <w:rsid w:val="4EBD5ECD"/>
    <w:rsid w:val="4EBE4CF9"/>
    <w:rsid w:val="4EF6699C"/>
    <w:rsid w:val="4EFD18DE"/>
    <w:rsid w:val="4F144236"/>
    <w:rsid w:val="4F156639"/>
    <w:rsid w:val="4F663C87"/>
    <w:rsid w:val="4F7E29A8"/>
    <w:rsid w:val="4F9E1FFC"/>
    <w:rsid w:val="4FF46805"/>
    <w:rsid w:val="50447CC2"/>
    <w:rsid w:val="50874A7C"/>
    <w:rsid w:val="50895EE7"/>
    <w:rsid w:val="50921B9D"/>
    <w:rsid w:val="5096193A"/>
    <w:rsid w:val="50B41CD8"/>
    <w:rsid w:val="50CD1AFB"/>
    <w:rsid w:val="50D16158"/>
    <w:rsid w:val="50DB5F45"/>
    <w:rsid w:val="51025EB1"/>
    <w:rsid w:val="510E0058"/>
    <w:rsid w:val="51141503"/>
    <w:rsid w:val="513C450E"/>
    <w:rsid w:val="51437C37"/>
    <w:rsid w:val="517C08A3"/>
    <w:rsid w:val="518D0ED5"/>
    <w:rsid w:val="519A1854"/>
    <w:rsid w:val="519A39EB"/>
    <w:rsid w:val="51E2328F"/>
    <w:rsid w:val="51FF712A"/>
    <w:rsid w:val="525C687F"/>
    <w:rsid w:val="529A5554"/>
    <w:rsid w:val="529C6627"/>
    <w:rsid w:val="52A3740A"/>
    <w:rsid w:val="52A72495"/>
    <w:rsid w:val="52CC0156"/>
    <w:rsid w:val="52F647F7"/>
    <w:rsid w:val="52F92565"/>
    <w:rsid w:val="53931C39"/>
    <w:rsid w:val="53AE735E"/>
    <w:rsid w:val="53D03877"/>
    <w:rsid w:val="542F73CA"/>
    <w:rsid w:val="5430786D"/>
    <w:rsid w:val="543F7C6E"/>
    <w:rsid w:val="544C27A3"/>
    <w:rsid w:val="545A1D2A"/>
    <w:rsid w:val="545D56D1"/>
    <w:rsid w:val="5484312F"/>
    <w:rsid w:val="54C811C0"/>
    <w:rsid w:val="54EB4E57"/>
    <w:rsid w:val="54F96008"/>
    <w:rsid w:val="551B0B7B"/>
    <w:rsid w:val="556A442D"/>
    <w:rsid w:val="55784F9F"/>
    <w:rsid w:val="55A215EE"/>
    <w:rsid w:val="55DA564E"/>
    <w:rsid w:val="55E816A3"/>
    <w:rsid w:val="5604127D"/>
    <w:rsid w:val="56044E6C"/>
    <w:rsid w:val="56166703"/>
    <w:rsid w:val="563C00DC"/>
    <w:rsid w:val="56510474"/>
    <w:rsid w:val="566C0CD4"/>
    <w:rsid w:val="56861525"/>
    <w:rsid w:val="568F17B2"/>
    <w:rsid w:val="56A82113"/>
    <w:rsid w:val="56A93273"/>
    <w:rsid w:val="56BD550C"/>
    <w:rsid w:val="56C04968"/>
    <w:rsid w:val="56E07045"/>
    <w:rsid w:val="56FF28AF"/>
    <w:rsid w:val="572A5DA4"/>
    <w:rsid w:val="574E0D5C"/>
    <w:rsid w:val="57540E7D"/>
    <w:rsid w:val="5754429C"/>
    <w:rsid w:val="577B4878"/>
    <w:rsid w:val="57926973"/>
    <w:rsid w:val="57D1482F"/>
    <w:rsid w:val="57FA6285"/>
    <w:rsid w:val="58175352"/>
    <w:rsid w:val="581F2200"/>
    <w:rsid w:val="583059FA"/>
    <w:rsid w:val="584A0929"/>
    <w:rsid w:val="58502C03"/>
    <w:rsid w:val="586B2DAD"/>
    <w:rsid w:val="58CD2491"/>
    <w:rsid w:val="591B41B2"/>
    <w:rsid w:val="5923228C"/>
    <w:rsid w:val="59254A26"/>
    <w:rsid w:val="59272D1B"/>
    <w:rsid w:val="59326325"/>
    <w:rsid w:val="594C4B9B"/>
    <w:rsid w:val="595C505B"/>
    <w:rsid w:val="595E55C3"/>
    <w:rsid w:val="596E7E20"/>
    <w:rsid w:val="5A096AAF"/>
    <w:rsid w:val="5A5D23AA"/>
    <w:rsid w:val="5A60780B"/>
    <w:rsid w:val="5A620EDA"/>
    <w:rsid w:val="5AA41033"/>
    <w:rsid w:val="5AB34579"/>
    <w:rsid w:val="5AB40E78"/>
    <w:rsid w:val="5AEC4C24"/>
    <w:rsid w:val="5AF80B40"/>
    <w:rsid w:val="5AFC6609"/>
    <w:rsid w:val="5B113480"/>
    <w:rsid w:val="5B434785"/>
    <w:rsid w:val="5B5E4B58"/>
    <w:rsid w:val="5BA56A09"/>
    <w:rsid w:val="5BAE6A56"/>
    <w:rsid w:val="5BD456CE"/>
    <w:rsid w:val="5BE17EAA"/>
    <w:rsid w:val="5C0A0318"/>
    <w:rsid w:val="5C0D1F49"/>
    <w:rsid w:val="5C605FF3"/>
    <w:rsid w:val="5CBB0CE2"/>
    <w:rsid w:val="5CC17177"/>
    <w:rsid w:val="5CC94A31"/>
    <w:rsid w:val="5CE42945"/>
    <w:rsid w:val="5CF27B2E"/>
    <w:rsid w:val="5CF306BC"/>
    <w:rsid w:val="5D3752A4"/>
    <w:rsid w:val="5D3F3D64"/>
    <w:rsid w:val="5D833043"/>
    <w:rsid w:val="5D9D61B6"/>
    <w:rsid w:val="5DA33F59"/>
    <w:rsid w:val="5DD92690"/>
    <w:rsid w:val="5DDB1CFD"/>
    <w:rsid w:val="5DEB1EE0"/>
    <w:rsid w:val="5E106761"/>
    <w:rsid w:val="5E6905C1"/>
    <w:rsid w:val="5E6E72FC"/>
    <w:rsid w:val="5E7E6D93"/>
    <w:rsid w:val="5E82459B"/>
    <w:rsid w:val="5ED44800"/>
    <w:rsid w:val="5F21729D"/>
    <w:rsid w:val="5F350BDE"/>
    <w:rsid w:val="5F61632C"/>
    <w:rsid w:val="5FA055CC"/>
    <w:rsid w:val="5FA17648"/>
    <w:rsid w:val="5FB62798"/>
    <w:rsid w:val="5FE705CB"/>
    <w:rsid w:val="5FE86515"/>
    <w:rsid w:val="6007714E"/>
    <w:rsid w:val="60253602"/>
    <w:rsid w:val="603D5080"/>
    <w:rsid w:val="606842D0"/>
    <w:rsid w:val="606B6891"/>
    <w:rsid w:val="607B522B"/>
    <w:rsid w:val="60975F5E"/>
    <w:rsid w:val="60D0261B"/>
    <w:rsid w:val="611240B5"/>
    <w:rsid w:val="61184D28"/>
    <w:rsid w:val="618E3791"/>
    <w:rsid w:val="61947DCA"/>
    <w:rsid w:val="61A46A97"/>
    <w:rsid w:val="61AF2C6E"/>
    <w:rsid w:val="61D1382F"/>
    <w:rsid w:val="61EF68A0"/>
    <w:rsid w:val="61F114A2"/>
    <w:rsid w:val="61FF1C5E"/>
    <w:rsid w:val="622B0ABA"/>
    <w:rsid w:val="62512BB4"/>
    <w:rsid w:val="625D7D1A"/>
    <w:rsid w:val="62660469"/>
    <w:rsid w:val="62DD7D21"/>
    <w:rsid w:val="62F95052"/>
    <w:rsid w:val="63400D63"/>
    <w:rsid w:val="634516EF"/>
    <w:rsid w:val="636F45C5"/>
    <w:rsid w:val="637D586B"/>
    <w:rsid w:val="639B534C"/>
    <w:rsid w:val="63A5560B"/>
    <w:rsid w:val="63E9091F"/>
    <w:rsid w:val="64322AF9"/>
    <w:rsid w:val="644136C8"/>
    <w:rsid w:val="645C3C2D"/>
    <w:rsid w:val="64B93AD1"/>
    <w:rsid w:val="64D17362"/>
    <w:rsid w:val="64D6010D"/>
    <w:rsid w:val="64D82665"/>
    <w:rsid w:val="64E47C96"/>
    <w:rsid w:val="651E5741"/>
    <w:rsid w:val="6534322D"/>
    <w:rsid w:val="655D7702"/>
    <w:rsid w:val="656816F2"/>
    <w:rsid w:val="65887F94"/>
    <w:rsid w:val="658A4877"/>
    <w:rsid w:val="659D28C5"/>
    <w:rsid w:val="65A00902"/>
    <w:rsid w:val="65AC6EDD"/>
    <w:rsid w:val="65C63BEA"/>
    <w:rsid w:val="65D97752"/>
    <w:rsid w:val="65E9128D"/>
    <w:rsid w:val="65EC420C"/>
    <w:rsid w:val="65F404BE"/>
    <w:rsid w:val="66085536"/>
    <w:rsid w:val="66105BF7"/>
    <w:rsid w:val="66150023"/>
    <w:rsid w:val="661F047A"/>
    <w:rsid w:val="6628010D"/>
    <w:rsid w:val="66804A77"/>
    <w:rsid w:val="669B4528"/>
    <w:rsid w:val="66CC12D7"/>
    <w:rsid w:val="67134CEF"/>
    <w:rsid w:val="671F1ABD"/>
    <w:rsid w:val="67504E8E"/>
    <w:rsid w:val="67521A59"/>
    <w:rsid w:val="678D7381"/>
    <w:rsid w:val="67B36BD8"/>
    <w:rsid w:val="67B942E3"/>
    <w:rsid w:val="67C304AB"/>
    <w:rsid w:val="68011DD8"/>
    <w:rsid w:val="682E1B85"/>
    <w:rsid w:val="683F0658"/>
    <w:rsid w:val="68981EA2"/>
    <w:rsid w:val="689C6793"/>
    <w:rsid w:val="68DB0208"/>
    <w:rsid w:val="68F914DB"/>
    <w:rsid w:val="68FB170C"/>
    <w:rsid w:val="68FC1306"/>
    <w:rsid w:val="691B3D98"/>
    <w:rsid w:val="692C0A0A"/>
    <w:rsid w:val="693748F0"/>
    <w:rsid w:val="697C4B69"/>
    <w:rsid w:val="69846A0E"/>
    <w:rsid w:val="69860154"/>
    <w:rsid w:val="69AA1366"/>
    <w:rsid w:val="69AD798C"/>
    <w:rsid w:val="69D005C0"/>
    <w:rsid w:val="69D80B96"/>
    <w:rsid w:val="69F47AD7"/>
    <w:rsid w:val="6A2C39D4"/>
    <w:rsid w:val="6A4A0320"/>
    <w:rsid w:val="6ACB6F08"/>
    <w:rsid w:val="6AD842CC"/>
    <w:rsid w:val="6AFA04E7"/>
    <w:rsid w:val="6B68175F"/>
    <w:rsid w:val="6BFD799F"/>
    <w:rsid w:val="6C194BC7"/>
    <w:rsid w:val="6C1C78ED"/>
    <w:rsid w:val="6C4A2E5A"/>
    <w:rsid w:val="6C7119DE"/>
    <w:rsid w:val="6C8138D0"/>
    <w:rsid w:val="6C9B0263"/>
    <w:rsid w:val="6CA772A7"/>
    <w:rsid w:val="6CB22BE9"/>
    <w:rsid w:val="6CDE48E8"/>
    <w:rsid w:val="6CEB641C"/>
    <w:rsid w:val="6CEF0725"/>
    <w:rsid w:val="6D285948"/>
    <w:rsid w:val="6D4314DA"/>
    <w:rsid w:val="6D4B2604"/>
    <w:rsid w:val="6D77358F"/>
    <w:rsid w:val="6D8030E4"/>
    <w:rsid w:val="6D8545DB"/>
    <w:rsid w:val="6DB31507"/>
    <w:rsid w:val="6DD92618"/>
    <w:rsid w:val="6E0E35C4"/>
    <w:rsid w:val="6E0F7A08"/>
    <w:rsid w:val="6E2C3E99"/>
    <w:rsid w:val="6E3947F5"/>
    <w:rsid w:val="6E48301B"/>
    <w:rsid w:val="6E6733A0"/>
    <w:rsid w:val="6E6E3938"/>
    <w:rsid w:val="6E9C74ED"/>
    <w:rsid w:val="6ECD049A"/>
    <w:rsid w:val="6EF72976"/>
    <w:rsid w:val="6F1372F4"/>
    <w:rsid w:val="6F2621A2"/>
    <w:rsid w:val="6F4044B9"/>
    <w:rsid w:val="6F62547C"/>
    <w:rsid w:val="6F795A80"/>
    <w:rsid w:val="6F7C1D2E"/>
    <w:rsid w:val="6F8E0407"/>
    <w:rsid w:val="6F9B52BF"/>
    <w:rsid w:val="6FDD069F"/>
    <w:rsid w:val="702B4D16"/>
    <w:rsid w:val="70410F93"/>
    <w:rsid w:val="70AA6621"/>
    <w:rsid w:val="7111480F"/>
    <w:rsid w:val="71261F49"/>
    <w:rsid w:val="712E6956"/>
    <w:rsid w:val="71473612"/>
    <w:rsid w:val="71504F32"/>
    <w:rsid w:val="7152309F"/>
    <w:rsid w:val="718834D2"/>
    <w:rsid w:val="718F7F65"/>
    <w:rsid w:val="71DA6992"/>
    <w:rsid w:val="71E23B6C"/>
    <w:rsid w:val="72117BB7"/>
    <w:rsid w:val="727B234E"/>
    <w:rsid w:val="728A58B0"/>
    <w:rsid w:val="72D02C18"/>
    <w:rsid w:val="72D068C7"/>
    <w:rsid w:val="72E42ED8"/>
    <w:rsid w:val="72FC34C3"/>
    <w:rsid w:val="73513834"/>
    <w:rsid w:val="735F4CB9"/>
    <w:rsid w:val="73674C62"/>
    <w:rsid w:val="73845865"/>
    <w:rsid w:val="739B6D9E"/>
    <w:rsid w:val="739E0655"/>
    <w:rsid w:val="739F2D10"/>
    <w:rsid w:val="73BC1D76"/>
    <w:rsid w:val="73E426B3"/>
    <w:rsid w:val="73FB6630"/>
    <w:rsid w:val="748D790E"/>
    <w:rsid w:val="749820CC"/>
    <w:rsid w:val="74A21596"/>
    <w:rsid w:val="74A2491E"/>
    <w:rsid w:val="74CE04EC"/>
    <w:rsid w:val="74E65C1B"/>
    <w:rsid w:val="74E76DCD"/>
    <w:rsid w:val="750A42F6"/>
    <w:rsid w:val="751D7C0A"/>
    <w:rsid w:val="7543354D"/>
    <w:rsid w:val="755B1635"/>
    <w:rsid w:val="75722D56"/>
    <w:rsid w:val="75DB5477"/>
    <w:rsid w:val="75F06B7E"/>
    <w:rsid w:val="75FC6AC3"/>
    <w:rsid w:val="76081660"/>
    <w:rsid w:val="761141B6"/>
    <w:rsid w:val="7616619B"/>
    <w:rsid w:val="761C3C7D"/>
    <w:rsid w:val="76533D1D"/>
    <w:rsid w:val="76660D7C"/>
    <w:rsid w:val="766C5968"/>
    <w:rsid w:val="76B7728C"/>
    <w:rsid w:val="76BE0C8F"/>
    <w:rsid w:val="76CD53B2"/>
    <w:rsid w:val="76E6594C"/>
    <w:rsid w:val="770719AC"/>
    <w:rsid w:val="772B2916"/>
    <w:rsid w:val="774516EC"/>
    <w:rsid w:val="774A5D48"/>
    <w:rsid w:val="776526CC"/>
    <w:rsid w:val="7774400A"/>
    <w:rsid w:val="779208CC"/>
    <w:rsid w:val="77A262E1"/>
    <w:rsid w:val="77B13C33"/>
    <w:rsid w:val="77D01D1A"/>
    <w:rsid w:val="77DC095A"/>
    <w:rsid w:val="77ED6F44"/>
    <w:rsid w:val="77F45548"/>
    <w:rsid w:val="77FC440B"/>
    <w:rsid w:val="784E7CA6"/>
    <w:rsid w:val="78574801"/>
    <w:rsid w:val="7873527F"/>
    <w:rsid w:val="78736BA5"/>
    <w:rsid w:val="78A320F2"/>
    <w:rsid w:val="78BE1D0D"/>
    <w:rsid w:val="78CE2C91"/>
    <w:rsid w:val="78F0516D"/>
    <w:rsid w:val="7901456B"/>
    <w:rsid w:val="790A6425"/>
    <w:rsid w:val="790E2D96"/>
    <w:rsid w:val="79113FBE"/>
    <w:rsid w:val="791B54B2"/>
    <w:rsid w:val="793C0F89"/>
    <w:rsid w:val="795A0A34"/>
    <w:rsid w:val="797339C3"/>
    <w:rsid w:val="797F7D67"/>
    <w:rsid w:val="79B33710"/>
    <w:rsid w:val="79D57D57"/>
    <w:rsid w:val="79E644F4"/>
    <w:rsid w:val="79F00650"/>
    <w:rsid w:val="7A10652B"/>
    <w:rsid w:val="7A297711"/>
    <w:rsid w:val="7A5515AB"/>
    <w:rsid w:val="7A6242BF"/>
    <w:rsid w:val="7A794513"/>
    <w:rsid w:val="7A9B3811"/>
    <w:rsid w:val="7AB467DA"/>
    <w:rsid w:val="7AB9318D"/>
    <w:rsid w:val="7AE952D2"/>
    <w:rsid w:val="7B315B13"/>
    <w:rsid w:val="7B9F26AF"/>
    <w:rsid w:val="7BB607FE"/>
    <w:rsid w:val="7BC86D42"/>
    <w:rsid w:val="7BCD33D2"/>
    <w:rsid w:val="7C7248A0"/>
    <w:rsid w:val="7C976D69"/>
    <w:rsid w:val="7CD752DA"/>
    <w:rsid w:val="7CDE40AB"/>
    <w:rsid w:val="7CF057E2"/>
    <w:rsid w:val="7CF1101F"/>
    <w:rsid w:val="7CFD541F"/>
    <w:rsid w:val="7D1548B5"/>
    <w:rsid w:val="7D5B06FA"/>
    <w:rsid w:val="7D6156F6"/>
    <w:rsid w:val="7DE534CF"/>
    <w:rsid w:val="7DF84014"/>
    <w:rsid w:val="7E207949"/>
    <w:rsid w:val="7E3276C2"/>
    <w:rsid w:val="7E423978"/>
    <w:rsid w:val="7E5C0A47"/>
    <w:rsid w:val="7E5E070C"/>
    <w:rsid w:val="7E670C75"/>
    <w:rsid w:val="7E7E5702"/>
    <w:rsid w:val="7EE24272"/>
    <w:rsid w:val="7EE73239"/>
    <w:rsid w:val="7EEA6053"/>
    <w:rsid w:val="7F02360E"/>
    <w:rsid w:val="7F2652F7"/>
    <w:rsid w:val="7F473FCC"/>
    <w:rsid w:val="7F487C04"/>
    <w:rsid w:val="7F611CBA"/>
    <w:rsid w:val="7F8270C4"/>
    <w:rsid w:val="7F851241"/>
    <w:rsid w:val="7FB45F21"/>
    <w:rsid w:val="7FD26E2D"/>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afterLines="0"/>
      <w:ind w:left="420" w:leftChars="200"/>
    </w:pPr>
  </w:style>
  <w:style w:type="paragraph" w:styleId="4">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6526</Words>
  <Characters>7348</Characters>
  <Lines>0</Lines>
  <Paragraphs>0</Paragraphs>
  <TotalTime>1</TotalTime>
  <ScaleCrop>false</ScaleCrop>
  <LinksUpToDate>false</LinksUpToDate>
  <CharactersWithSpaces>7389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2025-04-10T11:12:51Z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