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塔城地区</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w:t>
      </w:r>
      <w:r>
        <w:rPr>
          <w:rFonts w:hint="eastAsia" w:ascii="方正小标宋简体" w:hAnsi="黑体" w:eastAsia="方正小标宋简体" w:cs="黑体"/>
          <w:bCs/>
          <w:color w:val="FF0000"/>
          <w:sz w:val="48"/>
          <w:szCs w:val="48"/>
          <w:lang w:val="en-US" w:eastAsia="zh-CN"/>
        </w:rPr>
        <w:t>购置道路交通专用信号灯及相关设备</w:t>
      </w:r>
      <w:r>
        <w:rPr>
          <w:rFonts w:hint="eastAsia" w:ascii="方正小标宋简体" w:hAnsi="黑体" w:eastAsia="方正小标宋简体" w:cs="黑体"/>
          <w:bCs/>
          <w:sz w:val="48"/>
          <w:szCs w:val="48"/>
        </w:rPr>
        <w:t>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lang w:val="en-US" w:eastAsia="zh-CN"/>
        </w:rPr>
        <w:t>3</w:t>
      </w:r>
      <w:r>
        <w:rPr>
          <w:rFonts w:hint="eastAsia" w:ascii="黑体" w:hAnsi="黑体" w:eastAsia="黑体" w:cs="仿宋_GB2312"/>
          <w:sz w:val="30"/>
          <w:szCs w:val="30"/>
        </w:rPr>
        <w:t>年项目</w:t>
      </w:r>
      <w:bookmarkEnd w:id="0"/>
    </w:p>
    <w:p>
      <w:pPr>
        <w:ind w:firstLine="1200" w:firstLineChars="400"/>
        <w:rPr>
          <w:rFonts w:hint="eastAsia" w:ascii="黑体" w:hAnsi="黑体" w:eastAsia="黑体" w:cs="宋体"/>
          <w:sz w:val="30"/>
          <w:szCs w:val="30"/>
          <w:lang w:eastAsia="zh-CN"/>
        </w:rPr>
      </w:pPr>
      <w:r>
        <w:rPr>
          <w:rFonts w:ascii="黑体" w:hAnsi="黑体" w:eastAsia="黑体" w:cs="宋体"/>
          <w:sz w:val="30"/>
          <w:szCs w:val="30"/>
        </w:rPr>
        <w:t>项目单位：</w:t>
      </w:r>
      <w:r>
        <w:rPr>
          <w:rFonts w:hint="eastAsia" w:ascii="黑体" w:hAnsi="黑体" w:eastAsia="黑体" w:cs="宋体"/>
          <w:sz w:val="30"/>
          <w:szCs w:val="30"/>
          <w:lang w:eastAsia="zh-CN"/>
        </w:rPr>
        <w:t>沙湾市公安局</w:t>
      </w:r>
    </w:p>
    <w:p>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宋体"/>
          <w:sz w:val="30"/>
          <w:szCs w:val="30"/>
          <w:lang w:eastAsia="zh-CN"/>
        </w:rPr>
        <w:t>沙湾市公安局</w:t>
      </w:r>
    </w:p>
    <w:p>
      <w:pPr>
        <w:ind w:firstLine="1200" w:firstLineChars="400"/>
        <w:rPr>
          <w:rFonts w:hint="eastAsia" w:ascii="黑体" w:hAnsi="黑体" w:eastAsia="黑体" w:cs="宋体"/>
          <w:sz w:val="30"/>
          <w:szCs w:val="30"/>
          <w:lang w:val="en-US"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lang w:eastAsia="zh-CN"/>
        </w:rPr>
        <w:t>刘咏梅</w:t>
      </w:r>
      <w:bookmarkStart w:id="19" w:name="_GoBack"/>
      <w:bookmarkEnd w:id="19"/>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lang w:val="en-US" w:eastAsia="zh-CN"/>
        </w:rPr>
        <w:t>4</w:t>
      </w:r>
      <w:r>
        <w:rPr>
          <w:rFonts w:hint="eastAsia" w:ascii="黑体" w:hAnsi="黑体" w:eastAsia="黑体" w:cs="宋体"/>
          <w:sz w:val="30"/>
          <w:szCs w:val="30"/>
        </w:rPr>
        <w:t>年</w:t>
      </w:r>
      <w:r>
        <w:rPr>
          <w:rFonts w:hint="eastAsia" w:ascii="黑体" w:hAnsi="黑体" w:eastAsia="黑体" w:cs="仿宋_GB2312"/>
          <w:color w:val="FF0000"/>
          <w:sz w:val="30"/>
          <w:szCs w:val="30"/>
          <w:lang w:val="en-US" w:eastAsia="zh-CN"/>
        </w:rPr>
        <w:t>1</w:t>
      </w:r>
      <w:r>
        <w:rPr>
          <w:rFonts w:hint="eastAsia" w:ascii="黑体" w:hAnsi="黑体" w:eastAsia="黑体" w:cs="宋体"/>
          <w:sz w:val="30"/>
          <w:szCs w:val="30"/>
        </w:rPr>
        <w:t>月</w:t>
      </w:r>
      <w:r>
        <w:rPr>
          <w:rFonts w:hint="eastAsia" w:ascii="黑体" w:hAnsi="黑体" w:eastAsia="黑体" w:cs="仿宋_GB2312"/>
          <w:color w:val="FF0000"/>
          <w:sz w:val="30"/>
          <w:szCs w:val="30"/>
          <w:lang w:val="en-US" w:eastAsia="zh-CN"/>
        </w:rPr>
        <w:t>30</w:t>
      </w:r>
      <w:r>
        <w:rPr>
          <w:rFonts w:hint="eastAsia" w:ascii="黑体" w:hAnsi="黑体" w:eastAsia="黑体" w:cs="仿宋_GB2312"/>
          <w:color w:val="000000" w:themeColor="text1"/>
          <w:sz w:val="30"/>
          <w:szCs w:val="30"/>
          <w14:textFill>
            <w14:solidFill>
              <w14:schemeClr w14:val="tx1"/>
            </w14:solidFill>
          </w14:textFill>
        </w:rPr>
        <w:t>日</w:t>
      </w:r>
    </w:p>
    <w:p>
      <w:pPr>
        <w:spacing w:after="100" w:afterAutospacing="1" w:line="360" w:lineRule="auto"/>
        <w:ind w:firstLine="88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塔城地区2023年购置道路交通专用信号灯及相关设备</w:t>
      </w:r>
      <w:r>
        <w:rPr>
          <w:rFonts w:hint="eastAsia" w:ascii="方正小标宋_GBK" w:hAnsi="黑体" w:eastAsia="方正小标宋_GBK" w:cs="黑体"/>
          <w:bCs/>
          <w:sz w:val="44"/>
          <w:szCs w:val="44"/>
        </w:rPr>
        <w:t>项目支出绩效评价报告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spacing w:line="600" w:lineRule="exact"/>
        <w:ind w:firstLine="640"/>
        <w:rPr>
          <w:rFonts w:hint="eastAsia"/>
          <w:color w:val="auto"/>
          <w:sz w:val="32"/>
          <w:szCs w:val="32"/>
        </w:rPr>
      </w:pPr>
      <w:r>
        <w:rPr>
          <w:rFonts w:hint="eastAsia"/>
          <w:color w:val="auto"/>
          <w:sz w:val="32"/>
          <w:szCs w:val="32"/>
          <w:lang w:val="en-US" w:eastAsia="zh-CN"/>
        </w:rPr>
        <w:t>2023年预算</w:t>
      </w:r>
      <w:r>
        <w:rPr>
          <w:rFonts w:hint="eastAsia"/>
          <w:color w:val="auto"/>
          <w:sz w:val="32"/>
          <w:szCs w:val="32"/>
        </w:rPr>
        <w:t>20.32万元，用于采购太阳能移动红绿灯28台、太阳能爆闪灯266套、反光锥筒200套等交通管制设备，设备购置合格率100%，通过项目的实施主要为排除道路交通事故风险隐患，保障我市道路交通秩序持续向好。</w:t>
      </w:r>
    </w:p>
    <w:p>
      <w:pPr>
        <w:bidi w:val="0"/>
        <w:rPr>
          <w:rFonts w:hint="eastAsia"/>
          <w:color w:val="auto"/>
          <w:sz w:val="32"/>
          <w:szCs w:val="32"/>
          <w:lang w:val="en-US" w:eastAsia="zh-CN"/>
        </w:rPr>
      </w:pPr>
      <w:r>
        <w:rPr>
          <w:rFonts w:hint="eastAsia"/>
          <w:color w:val="auto"/>
          <w:sz w:val="32"/>
          <w:szCs w:val="32"/>
          <w:lang w:val="en-US" w:eastAsia="zh-CN"/>
        </w:rPr>
        <w:t>根据沙湾市辖区2023年以来因缺少交通信号灯及警示灯具造成2起亡人事故的特点，我局迅速对全市道路开展风险隐患排查，发现不同程度地存在因红绿灯及警示灯具缺少而造成人车混行的情况，道路交通事故风险隐患持续加大。</w:t>
      </w:r>
    </w:p>
    <w:p>
      <w:pPr>
        <w:bidi w:val="0"/>
        <w:rPr>
          <w:rFonts w:hint="default" w:eastAsia="仿宋_GB2312"/>
          <w:color w:val="auto"/>
          <w:sz w:val="32"/>
          <w:szCs w:val="32"/>
          <w:lang w:val="en-US" w:eastAsia="zh-CN"/>
        </w:rPr>
      </w:pPr>
      <w:r>
        <w:rPr>
          <w:color w:val="auto"/>
          <w:sz w:val="32"/>
          <w:szCs w:val="32"/>
        </w:rPr>
        <w:t>202</w:t>
      </w:r>
      <w:r>
        <w:rPr>
          <w:rFonts w:hint="eastAsia"/>
          <w:color w:val="auto"/>
          <w:sz w:val="32"/>
          <w:szCs w:val="32"/>
          <w:lang w:val="en-US" w:eastAsia="zh-CN"/>
        </w:rPr>
        <w:t>3</w:t>
      </w:r>
      <w:r>
        <w:rPr>
          <w:rFonts w:hint="eastAsia"/>
          <w:color w:val="auto"/>
          <w:sz w:val="32"/>
          <w:szCs w:val="32"/>
        </w:rPr>
        <w:t>年</w:t>
      </w:r>
      <w:r>
        <w:rPr>
          <w:color w:val="auto"/>
          <w:sz w:val="32"/>
          <w:szCs w:val="32"/>
        </w:rPr>
        <w:t>，</w:t>
      </w:r>
      <w:r>
        <w:rPr>
          <w:rFonts w:hint="eastAsia"/>
          <w:color w:val="auto"/>
          <w:sz w:val="32"/>
          <w:szCs w:val="32"/>
          <w:lang w:val="en-US" w:eastAsia="zh-CN"/>
        </w:rPr>
        <w:t>根据市局主要领导指示精神，我局相关部门立即统计全市范围内需要补点的交通信号灯及警示灯具等，通过进一步补充交通信号灯及警示灯具，有效改善我市部门道路交通持续，进一步减少交通事故引发的人员及财产损失。</w:t>
      </w:r>
    </w:p>
    <w:p>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spacing w:line="600" w:lineRule="exact"/>
        <w:ind w:firstLine="640"/>
        <w:rPr>
          <w:color w:val="auto"/>
          <w:sz w:val="32"/>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auto"/>
          <w:sz w:val="32"/>
          <w:szCs w:val="32"/>
          <w:lang w:eastAsia="zh-CN"/>
        </w:rPr>
        <w:t>：</w:t>
      </w:r>
      <w:r>
        <w:rPr>
          <w:rFonts w:hint="eastAsia"/>
          <w:color w:val="auto"/>
          <w:sz w:val="32"/>
          <w:szCs w:val="32"/>
          <w:lang w:val="en-US" w:eastAsia="zh-CN"/>
        </w:rPr>
        <w:t>2023年预算市级资金</w:t>
      </w:r>
      <w:r>
        <w:rPr>
          <w:rFonts w:hint="eastAsia"/>
          <w:color w:val="auto"/>
          <w:sz w:val="32"/>
          <w:szCs w:val="32"/>
        </w:rPr>
        <w:t>20.32万元，用于采购太阳能移动红绿灯28台、太阳能爆闪灯266套、反光锥筒200套等交通管制设备，设备购置合格率100%，通过项目的实施主要为排除道路交通事故风险隐患，保障我市道路交通秩序持续向好。</w:t>
      </w:r>
    </w:p>
    <w:p>
      <w:pPr>
        <w:bidi w:val="0"/>
        <w:rPr>
          <w:rFonts w:hint="eastAsia"/>
          <w:b/>
          <w:bCs/>
          <w:color w:val="auto"/>
          <w:sz w:val="32"/>
          <w:szCs w:val="32"/>
        </w:rPr>
      </w:pPr>
      <w:r>
        <w:rPr>
          <w:rFonts w:hint="eastAsia"/>
          <w:b/>
          <w:bCs/>
          <w:color w:val="auto"/>
          <w:sz w:val="32"/>
          <w:szCs w:val="32"/>
        </w:rPr>
        <w:t>3.项目实施主体</w:t>
      </w:r>
    </w:p>
    <w:p>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eastAsia="zh-Hans"/>
        </w:rPr>
        <w:t>2023年公安局购置道路交通专用信号灯及相关设备项目</w:t>
      </w:r>
      <w:r>
        <w:rPr>
          <w:rFonts w:hint="eastAsia" w:ascii="仿宋_GB2312" w:hAnsi="仿宋_GB2312" w:cs="仿宋_GB2312"/>
          <w:color w:val="auto"/>
          <w:sz w:val="32"/>
          <w:szCs w:val="32"/>
          <w:lang w:eastAsia="zh-Hans"/>
        </w:rPr>
        <w:t>的实施主体为</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val="en-US" w:eastAsia="zh-CN"/>
        </w:rPr>
        <w:t>沙湾市公安局</w:t>
      </w:r>
      <w:r>
        <w:rPr>
          <w:rFonts w:hint="eastAsia"/>
          <w:color w:val="auto"/>
          <w:sz w:val="32"/>
          <w:szCs w:val="32"/>
          <w:lang w:eastAsia="zh-Hans"/>
        </w:rPr>
        <w:t>。</w:t>
      </w:r>
    </w:p>
    <w:p>
      <w:pPr>
        <w:bidi w:val="0"/>
        <w:rPr>
          <w:rFonts w:hint="eastAsia"/>
          <w:b/>
          <w:bCs/>
          <w:color w:val="auto"/>
          <w:sz w:val="32"/>
          <w:szCs w:val="32"/>
        </w:rPr>
      </w:pPr>
      <w:r>
        <w:rPr>
          <w:rFonts w:hint="eastAsia"/>
          <w:b/>
          <w:bCs/>
          <w:color w:val="auto"/>
          <w:sz w:val="32"/>
          <w:szCs w:val="32"/>
        </w:rPr>
        <w:t>4. 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eastAsia="zh-Hans"/>
        </w:rPr>
        <w:t>2023年公安局购置道路交通专用信号灯及相关设备</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20.32</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20.32</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20.32</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20.32</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r>
        <w:rPr>
          <w:rFonts w:hint="eastAsia" w:ascii="仿宋_GB2312"/>
          <w:color w:val="auto"/>
          <w:sz w:val="32"/>
          <w:szCs w:val="32"/>
          <w:lang w:eastAsia="zh-CN"/>
        </w:rPr>
        <w:t>。</w:t>
      </w:r>
      <w:r>
        <w:rPr>
          <w:rFonts w:hint="eastAsia" w:ascii="仿宋_GB2312"/>
          <w:color w:val="auto"/>
          <w:sz w:val="32"/>
          <w:szCs w:val="32"/>
        </w:rPr>
        <w:t>项目资金主要用于支付</w:t>
      </w:r>
      <w:r>
        <w:rPr>
          <w:rFonts w:hint="eastAsia" w:ascii="仿宋_GB2312"/>
          <w:color w:val="auto"/>
          <w:sz w:val="32"/>
          <w:szCs w:val="32"/>
          <w:lang w:val="en-US" w:eastAsia="zh-CN"/>
        </w:rPr>
        <w:t>办公费</w:t>
      </w:r>
      <w:r>
        <w:rPr>
          <w:rFonts w:hint="eastAsia" w:ascii="仿宋_GB2312"/>
          <w:color w:val="auto"/>
          <w:sz w:val="32"/>
          <w:szCs w:val="32"/>
        </w:rPr>
        <w:t>费用</w:t>
      </w:r>
      <w:r>
        <w:rPr>
          <w:rFonts w:hint="eastAsia" w:ascii="仿宋_GB2312"/>
          <w:color w:val="auto"/>
          <w:sz w:val="32"/>
          <w:szCs w:val="32"/>
          <w:lang w:val="en-US" w:eastAsia="zh-CN"/>
        </w:rPr>
        <w:t>7.72</w:t>
      </w:r>
      <w:r>
        <w:rPr>
          <w:rFonts w:hint="eastAsia" w:ascii="仿宋_GB2312"/>
          <w:color w:val="auto"/>
          <w:sz w:val="32"/>
          <w:szCs w:val="32"/>
        </w:rPr>
        <w:t>万元、</w:t>
      </w:r>
      <w:r>
        <w:rPr>
          <w:rFonts w:hint="eastAsia" w:ascii="仿宋_GB2312"/>
          <w:color w:val="auto"/>
          <w:sz w:val="32"/>
          <w:szCs w:val="32"/>
          <w:lang w:val="en-US" w:eastAsia="zh-CN"/>
        </w:rPr>
        <w:t>专用设备购置</w:t>
      </w:r>
      <w:r>
        <w:rPr>
          <w:rFonts w:hint="eastAsia" w:ascii="仿宋_GB2312"/>
          <w:color w:val="auto"/>
          <w:sz w:val="32"/>
          <w:szCs w:val="32"/>
        </w:rPr>
        <w:t>费用</w:t>
      </w:r>
      <w:r>
        <w:rPr>
          <w:rFonts w:hint="eastAsia" w:ascii="仿宋_GB2312"/>
          <w:color w:val="auto"/>
          <w:sz w:val="32"/>
          <w:szCs w:val="32"/>
          <w:lang w:val="en-US" w:eastAsia="zh-CN"/>
        </w:rPr>
        <w:t>12.6</w:t>
      </w:r>
      <w:r>
        <w:rPr>
          <w:rFonts w:hint="eastAsia" w:ascii="仿宋_GB2312"/>
          <w:color w:val="auto"/>
          <w:sz w:val="32"/>
          <w:szCs w:val="32"/>
        </w:rPr>
        <w:t>万元。</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bidi w:val="0"/>
        <w:rPr>
          <w:rFonts w:hint="eastAsia"/>
          <w:color w:val="auto"/>
          <w:sz w:val="32"/>
          <w:szCs w:val="32"/>
        </w:rPr>
      </w:pPr>
      <w:r>
        <w:rPr>
          <w:rFonts w:hint="eastAsia"/>
          <w:color w:val="auto"/>
          <w:sz w:val="32"/>
          <w:szCs w:val="32"/>
        </w:rPr>
        <w:t>2023年12月20日前完成支付20.32万元，用于采购太阳能移动红绿灯28台、太阳能爆闪灯266套、反光锥筒200套等交通管制设备，设备购置合格率100%，通过项目的实施主要为排除道路交通事故风险隐患，保障我市道路交通秩序持续向好。</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购买交通信号灯</w:t>
      </w:r>
      <w:r>
        <w:rPr>
          <w:rFonts w:hint="eastAsia"/>
          <w:color w:val="auto"/>
          <w:sz w:val="32"/>
          <w:szCs w:val="32"/>
        </w:rPr>
        <w:t>”指标，预期指标值为“</w:t>
      </w:r>
      <w:r>
        <w:rPr>
          <w:rFonts w:hint="eastAsia" w:ascii="仿宋_GB2312"/>
          <w:color w:val="auto"/>
          <w:sz w:val="32"/>
          <w:szCs w:val="32"/>
          <w:lang w:val="en-US" w:eastAsia="zh-CN"/>
        </w:rPr>
        <w:t>=28台</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购置太阳能爆闪灯</w:t>
      </w:r>
      <w:r>
        <w:rPr>
          <w:rFonts w:hint="eastAsia"/>
          <w:color w:val="auto"/>
          <w:sz w:val="32"/>
          <w:szCs w:val="32"/>
        </w:rPr>
        <w:t>”指标，预期指标值为“</w:t>
      </w:r>
      <w:r>
        <w:rPr>
          <w:rFonts w:hint="eastAsia" w:ascii="仿宋_GB2312"/>
          <w:color w:val="auto"/>
          <w:sz w:val="32"/>
          <w:szCs w:val="32"/>
          <w:lang w:val="en-US" w:eastAsia="zh-CN"/>
        </w:rPr>
        <w:t>=266套</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购置反光锥筒</w:t>
      </w:r>
      <w:r>
        <w:rPr>
          <w:rFonts w:hint="eastAsia"/>
          <w:color w:val="auto"/>
          <w:sz w:val="32"/>
          <w:szCs w:val="32"/>
        </w:rPr>
        <w:t>”指标，预期指标值为“</w:t>
      </w:r>
      <w:r>
        <w:rPr>
          <w:rFonts w:hint="eastAsia" w:ascii="仿宋_GB2312"/>
          <w:color w:val="auto"/>
          <w:sz w:val="32"/>
          <w:szCs w:val="32"/>
          <w:lang w:val="en-US" w:eastAsia="zh-CN"/>
        </w:rPr>
        <w:t>≥200套</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设备购置合格率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项目完成时效</w:t>
      </w:r>
      <w:r>
        <w:rPr>
          <w:rFonts w:hint="eastAsia"/>
          <w:color w:val="auto"/>
          <w:sz w:val="32"/>
          <w:szCs w:val="32"/>
        </w:rPr>
        <w:t>”指标，预期指标值为“</w:t>
      </w:r>
      <w:r>
        <w:rPr>
          <w:rFonts w:hint="eastAsia" w:ascii="仿宋_GB2312"/>
          <w:color w:val="auto"/>
          <w:sz w:val="32"/>
          <w:szCs w:val="32"/>
          <w:lang w:val="en-US" w:eastAsia="zh-CN"/>
        </w:rPr>
        <w:t>2023年12月20日</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资金支付及时率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移动红绿灯采购成本</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≤12.88万元</w:t>
      </w:r>
      <w:r>
        <w:rPr>
          <w:rFonts w:hint="eastAsia"/>
          <w:color w:val="auto"/>
          <w:sz w:val="32"/>
          <w:szCs w:val="32"/>
          <w:highlight w:val="none"/>
        </w:rPr>
        <w:t>”；</w:t>
      </w:r>
    </w:p>
    <w:p>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反光锥筒采购成本</w:t>
      </w:r>
      <w:r>
        <w:rPr>
          <w:rFonts w:hint="eastAsia"/>
          <w:color w:val="auto"/>
          <w:sz w:val="32"/>
          <w:szCs w:val="32"/>
          <w:highlight w:val="none"/>
        </w:rPr>
        <w:t>”指标，预期指标值为“</w:t>
      </w:r>
      <w:r>
        <w:rPr>
          <w:rFonts w:hint="eastAsia" w:ascii="仿宋_GB2312"/>
          <w:color w:val="auto"/>
          <w:sz w:val="32"/>
          <w:szCs w:val="32"/>
          <w:highlight w:val="none"/>
          <w:lang w:val="en-US" w:eastAsia="zh-CN"/>
        </w:rPr>
        <w:t>≤4万元</w:t>
      </w:r>
      <w:r>
        <w:rPr>
          <w:rFonts w:hint="eastAsia"/>
          <w:color w:val="auto"/>
          <w:sz w:val="32"/>
          <w:szCs w:val="32"/>
          <w:highlight w:val="none"/>
        </w:rPr>
        <w:t>”。</w:t>
      </w:r>
    </w:p>
    <w:p>
      <w:pPr>
        <w:spacing w:line="600" w:lineRule="exact"/>
        <w:ind w:firstLine="640"/>
        <w:rPr>
          <w:color w:val="auto"/>
        </w:rPr>
      </w:pPr>
      <w:r>
        <w:rPr>
          <w:rFonts w:hint="eastAsia"/>
          <w:color w:val="auto"/>
          <w:sz w:val="32"/>
          <w:szCs w:val="32"/>
          <w:highlight w:val="none"/>
        </w:rPr>
        <w:t>“</w:t>
      </w:r>
      <w:r>
        <w:rPr>
          <w:rFonts w:hint="eastAsia" w:ascii="仿宋_GB2312"/>
          <w:color w:val="auto"/>
          <w:sz w:val="32"/>
          <w:szCs w:val="32"/>
          <w:highlight w:val="none"/>
          <w:lang w:eastAsia="zh-Hans"/>
        </w:rPr>
        <w:t>太阳能爆闪灯采购成本</w:t>
      </w:r>
      <w:r>
        <w:rPr>
          <w:rFonts w:hint="eastAsia"/>
          <w:color w:val="auto"/>
          <w:sz w:val="32"/>
          <w:szCs w:val="32"/>
          <w:highlight w:val="none"/>
        </w:rPr>
        <w:t>”指标，预期指标值为“</w:t>
      </w:r>
      <w:r>
        <w:rPr>
          <w:rFonts w:hint="eastAsia" w:ascii="仿宋_GB2312"/>
          <w:color w:val="auto"/>
          <w:sz w:val="32"/>
          <w:szCs w:val="32"/>
          <w:highlight w:val="none"/>
          <w:lang w:val="en-US" w:eastAsia="zh-CN"/>
        </w:rPr>
        <w:t>≤3.72万元</w:t>
      </w:r>
      <w:r>
        <w:rPr>
          <w:rFonts w:hint="eastAsia"/>
          <w:color w:val="auto"/>
          <w:sz w:val="32"/>
          <w:szCs w:val="32"/>
          <w:highlight w:val="none"/>
        </w:rPr>
        <w:t>”。</w:t>
      </w:r>
    </w:p>
    <w:p>
      <w:pPr>
        <w:spacing w:line="600" w:lineRule="exact"/>
        <w:ind w:firstLine="64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pPr>
        <w:spacing w:line="600" w:lineRule="exact"/>
        <w:ind w:firstLine="640"/>
        <w:rPr>
          <w:rFonts w:hint="eastAsia"/>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pPr>
        <w:spacing w:line="600" w:lineRule="exact"/>
        <w:ind w:firstLine="640"/>
        <w:rPr>
          <w:rFonts w:hint="eastAsia"/>
          <w:color w:val="auto"/>
          <w:sz w:val="32"/>
          <w:szCs w:val="32"/>
          <w:lang w:val="en-US" w:eastAsia="zh-CN"/>
        </w:rPr>
      </w:pPr>
      <w:r>
        <w:rPr>
          <w:rFonts w:hint="eastAsia"/>
          <w:color w:val="auto"/>
          <w:sz w:val="32"/>
          <w:szCs w:val="32"/>
          <w:lang w:val="en-US" w:eastAsia="zh-CN"/>
        </w:rPr>
        <w:t>无此项指标</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rFonts w:hint="eastAsia"/>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保障我市交通秩序持续向好</w:t>
      </w:r>
      <w:r>
        <w:rPr>
          <w:rFonts w:hint="eastAsia"/>
          <w:color w:val="auto"/>
          <w:sz w:val="32"/>
          <w:szCs w:val="32"/>
        </w:rPr>
        <w:t>”指标，预期指标值为“</w:t>
      </w:r>
      <w:r>
        <w:rPr>
          <w:rFonts w:hint="eastAsia" w:ascii="仿宋_GB2312"/>
          <w:color w:val="auto"/>
          <w:sz w:val="32"/>
          <w:szCs w:val="32"/>
          <w:lang w:val="en-US" w:eastAsia="zh-CN"/>
        </w:rPr>
        <w:t>有效保障</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color w:val="auto"/>
          <w:sz w:val="32"/>
          <w:szCs w:val="32"/>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eastAsia="zh-Hans"/>
        </w:rPr>
        <w:t>群众满意度</w:t>
      </w:r>
      <w:r>
        <w:rPr>
          <w:rFonts w:hint="eastAsia"/>
          <w:color w:val="auto"/>
          <w:sz w:val="32"/>
          <w:szCs w:val="32"/>
        </w:rPr>
        <w:t>”指标，预期指标值为“</w:t>
      </w:r>
      <w:r>
        <w:rPr>
          <w:rFonts w:hint="eastAsia" w:ascii="仿宋_GB2312"/>
          <w:color w:val="auto"/>
          <w:sz w:val="32"/>
          <w:szCs w:val="32"/>
          <w:lang w:val="en-US" w:eastAsia="zh-CN"/>
        </w:rPr>
        <w:t>≥95%</w:t>
      </w:r>
      <w:r>
        <w:rPr>
          <w:rFonts w:hint="eastAsia"/>
          <w:color w:val="auto"/>
          <w:sz w:val="32"/>
          <w:szCs w:val="32"/>
        </w:rPr>
        <w:t>”</w:t>
      </w:r>
      <w:r>
        <w:rPr>
          <w:rFonts w:hint="eastAsia"/>
          <w:color w:val="auto"/>
          <w:sz w:val="32"/>
          <w:szCs w:val="32"/>
          <w:lang w:eastAsia="zh-CN"/>
        </w:rPr>
        <w:t>。</w:t>
      </w:r>
    </w:p>
    <w:p>
      <w:pPr>
        <w:pStyle w:val="3"/>
        <w:spacing w:line="600" w:lineRule="exact"/>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1" w:name="_Toc5258"/>
      <w:bookmarkStart w:id="2" w:name="_Toc480473081"/>
      <w:bookmarkStart w:id="3" w:name="_Toc26632"/>
      <w:bookmarkStart w:id="4" w:name="_Toc22922"/>
      <w:bookmarkStart w:id="5" w:name="_Toc22169_WPSOffice_Level2"/>
      <w:bookmarkStart w:id="6" w:name="_Toc12868"/>
      <w:bookmarkStart w:id="7" w:name="_Toc21664"/>
      <w:bookmarkStart w:id="8" w:name="_Toc5462343"/>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color w:val="auto"/>
          <w:sz w:val="32"/>
          <w:szCs w:val="32"/>
          <w:lang w:eastAsia="zh-Hans"/>
        </w:rPr>
        <w:t>2023年公安局购置道路交通专用信号灯及相关设备</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color w:val="auto"/>
          <w:sz w:val="32"/>
          <w:szCs w:val="32"/>
          <w:lang w:eastAsia="zh-Hans"/>
        </w:rPr>
        <w:t>2023年公安局购置道路交通专用信号灯及相关设备</w:t>
      </w:r>
      <w:r>
        <w:rPr>
          <w:rFonts w:hint="eastAsia" w:ascii="仿宋_GB2312"/>
          <w:color w:val="auto"/>
          <w:sz w:val="32"/>
          <w:szCs w:val="32"/>
        </w:rPr>
        <w:t>项目</w:t>
      </w:r>
      <w:r>
        <w:rPr>
          <w:rFonts w:hint="eastAsia"/>
          <w:color w:val="auto"/>
          <w:sz w:val="32"/>
          <w:szCs w:val="32"/>
        </w:rPr>
        <w:t>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428278230"/>
      <w:bookmarkStart w:id="10" w:name="_Toc419984722"/>
      <w:bookmarkStart w:id="11" w:name="_Toc26131"/>
      <w:bookmarkStart w:id="12" w:name="_Toc1913"/>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color w:val="auto"/>
          <w:sz w:val="32"/>
          <w:szCs w:val="32"/>
        </w:rPr>
        <w:t>成本、</w:t>
      </w:r>
      <w:r>
        <w:rPr>
          <w:rFonts w:hint="eastAsia" w:ascii="仿宋_GB2312"/>
          <w:color w:val="auto"/>
          <w:sz w:val="32"/>
          <w:szCs w:val="32"/>
          <w:highlight w:val="yellow"/>
          <w:lang w:val="en-US" w:eastAsia="zh-CN"/>
        </w:rPr>
        <w:t>社会成本、生态环境成本、</w:t>
      </w:r>
      <w:r>
        <w:rPr>
          <w:rFonts w:hint="eastAsia" w:ascii="仿宋_GB2312"/>
          <w:color w:val="auto"/>
          <w:sz w:val="32"/>
          <w:szCs w:val="32"/>
        </w:rPr>
        <w:t>项目效益。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w:t>
      </w:r>
      <w:r>
        <w:rPr>
          <w:rFonts w:hint="eastAsia" w:ascii="仿宋_GB2312"/>
          <w:color w:val="auto"/>
          <w:sz w:val="32"/>
          <w:szCs w:val="32"/>
          <w:highlight w:val="yellow"/>
        </w:rPr>
        <w:t>成本节约率、</w:t>
      </w:r>
      <w:r>
        <w:rPr>
          <w:rFonts w:hint="eastAsia" w:ascii="仿宋_GB2312"/>
          <w:color w:val="auto"/>
          <w:sz w:val="32"/>
          <w:szCs w:val="32"/>
        </w:rPr>
        <w:t>社会效益、生态效益、可持续影响、服务对象满意度。</w:t>
      </w:r>
    </w:p>
    <w:p>
      <w:pPr>
        <w:bidi w:val="0"/>
        <w:rPr>
          <w:rFonts w:hint="eastAsia"/>
          <w:b/>
          <w:bCs/>
          <w:color w:val="auto"/>
          <w:sz w:val="32"/>
          <w:szCs w:val="32"/>
        </w:rPr>
      </w:pPr>
      <w:r>
        <w:rPr>
          <w:rFonts w:hint="eastAsia"/>
          <w:b/>
          <w:bCs/>
          <w:color w:val="auto"/>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刘咏梅副局长</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李贵宾主任</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王璐</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3"/>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ascii="仿宋_GB2312"/>
          <w:color w:val="auto"/>
          <w:sz w:val="32"/>
          <w:szCs w:val="32"/>
        </w:rPr>
      </w:pPr>
      <w:r>
        <w:rPr>
          <w:rFonts w:hint="eastAsia" w:ascii="仿宋_GB2312"/>
          <w:color w:val="auto"/>
          <w:sz w:val="32"/>
          <w:szCs w:val="32"/>
        </w:rPr>
        <w:t>通过</w:t>
      </w:r>
      <w:r>
        <w:rPr>
          <w:rFonts w:hint="eastAsia"/>
          <w:color w:val="auto"/>
          <w:sz w:val="32"/>
          <w:szCs w:val="32"/>
          <w:lang w:eastAsia="zh-Hans"/>
        </w:rPr>
        <w:t>2023年公安局购置道路交通专用信号灯及相关设备</w:t>
      </w:r>
      <w:r>
        <w:rPr>
          <w:rFonts w:hint="eastAsia" w:ascii="仿宋_GB2312"/>
          <w:color w:val="auto"/>
          <w:sz w:val="32"/>
          <w:szCs w:val="32"/>
        </w:rPr>
        <w:t>项目的实施，解决了</w:t>
      </w:r>
      <w:r>
        <w:rPr>
          <w:rFonts w:hint="eastAsia" w:ascii="仿宋_GB2312"/>
          <w:color w:val="auto"/>
          <w:sz w:val="32"/>
          <w:szCs w:val="32"/>
          <w:lang w:val="en-US" w:eastAsia="zh-CN"/>
        </w:rPr>
        <w:t>我市道路交通信号灯及警示灯具不全的</w:t>
      </w:r>
      <w:r>
        <w:rPr>
          <w:rFonts w:hint="eastAsia" w:ascii="仿宋_GB2312"/>
          <w:color w:val="auto"/>
          <w:sz w:val="32"/>
          <w:szCs w:val="32"/>
        </w:rPr>
        <w:t>问题，实现了</w:t>
      </w:r>
      <w:r>
        <w:rPr>
          <w:rFonts w:hint="eastAsia"/>
          <w:color w:val="auto"/>
          <w:sz w:val="32"/>
          <w:szCs w:val="32"/>
        </w:rPr>
        <w:t>排除道路交通事故风险隐患，保障我市道路交通秩序持续向好</w:t>
      </w:r>
      <w:r>
        <w:rPr>
          <w:rFonts w:hint="eastAsia"/>
          <w:color w:val="auto"/>
          <w:sz w:val="32"/>
          <w:szCs w:val="32"/>
          <w:lang w:val="en-US" w:eastAsia="zh-CN"/>
        </w:rPr>
        <w:t>的</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color w:val="auto"/>
          <w:sz w:val="32"/>
          <w:szCs w:val="32"/>
          <w:lang w:eastAsia="zh-Hans"/>
        </w:rPr>
        <w:t>2023年公安局购置道路交通专用信号灯及相关设备</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s="仿宋_GB2312"/>
          <w:color w:val="auto"/>
          <w:sz w:val="32"/>
          <w:szCs w:val="32"/>
          <w:lang w:val="en-US" w:eastAsia="zh-CN"/>
        </w:rPr>
        <w:t>1</w:t>
      </w:r>
      <w:r>
        <w:rPr>
          <w:rFonts w:hint="eastAsia" w:ascii="仿宋_GB2312"/>
          <w:color w:val="auto"/>
          <w:sz w:val="32"/>
          <w:szCs w:val="32"/>
          <w:lang w:val="en-US" w:eastAsia="zh-CN"/>
        </w:rPr>
        <w:t>5</w:t>
      </w:r>
      <w:r>
        <w:rPr>
          <w:rFonts w:hint="eastAsia" w:ascii="仿宋_GB2312" w:cs="仿宋_GB2312"/>
          <w:color w:val="auto"/>
          <w:sz w:val="32"/>
          <w:szCs w:val="32"/>
        </w:rPr>
        <w:t>分、项目过程</w:t>
      </w:r>
      <w:r>
        <w:rPr>
          <w:rFonts w:hint="eastAsia" w:ascii="仿宋_GB2312" w:cs="仿宋_GB2312"/>
          <w:color w:val="auto"/>
          <w:sz w:val="32"/>
          <w:szCs w:val="32"/>
          <w:lang w:val="en-US" w:eastAsia="zh-CN"/>
        </w:rPr>
        <w:t>1</w:t>
      </w:r>
      <w:r>
        <w:rPr>
          <w:rFonts w:hint="eastAsia" w:ascii="仿宋_GB2312"/>
          <w:color w:val="auto"/>
          <w:sz w:val="32"/>
          <w:szCs w:val="32"/>
          <w:lang w:val="en-US" w:eastAsia="zh-CN"/>
        </w:rPr>
        <w:t>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numPr>
          <w:ilvl w:val="0"/>
          <w:numId w:val="6"/>
        </w:numPr>
        <w:spacing w:line="600" w:lineRule="exact"/>
        <w:ind w:firstLine="736"/>
        <w:rPr>
          <w:rFonts w:hint="eastAsia" w:cs="仿宋_GB2312"/>
          <w:color w:val="auto"/>
        </w:rPr>
      </w:pPr>
      <w:r>
        <w:rPr>
          <w:rFonts w:hint="eastAsia" w:cs="仿宋_GB2312"/>
          <w:b/>
          <w:bCs/>
          <w:color w:val="auto"/>
        </w:rPr>
        <w:t>立项依据充分性：</w:t>
      </w:r>
      <w:r>
        <w:rPr>
          <w:rFonts w:hint="eastAsia" w:cs="仿宋_GB2312"/>
          <w:color w:val="auto"/>
          <w:lang w:eastAsia="zh-Hans"/>
        </w:rPr>
        <w:t>本项目是由</w:t>
      </w:r>
      <w:r>
        <w:rPr>
          <w:rFonts w:hint="eastAsia" w:cs="仿宋_GB2312"/>
          <w:color w:val="auto"/>
          <w:lang w:val="en-US" w:eastAsia="zh-CN"/>
        </w:rPr>
        <w:t>沙湾市公安局</w:t>
      </w:r>
      <w:r>
        <w:rPr>
          <w:rFonts w:hint="eastAsia" w:cs="仿宋_GB2312"/>
          <w:color w:val="auto"/>
          <w:lang w:eastAsia="zh-Hans"/>
        </w:rPr>
        <w:t>单位提出申报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6</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cs="仿宋_GB2312"/>
          <w:color w:val="auto"/>
          <w:lang w:val="en-US" w:eastAsia="zh-CN"/>
        </w:rPr>
        <w:t>实际</w:t>
      </w:r>
      <w:r>
        <w:rPr>
          <w:rFonts w:hint="eastAsia" w:cs="仿宋_GB2312"/>
          <w:color w:val="auto"/>
          <w:lang w:eastAsia="zh-Hans"/>
        </w:rPr>
        <w:t>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numPr>
          <w:ilvl w:val="0"/>
          <w:numId w:val="0"/>
        </w:numPr>
        <w:spacing w:line="600" w:lineRule="exact"/>
        <w:ind w:firstLine="667" w:firstLineChars="200"/>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20.32</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20.32</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eastAsia="zh-Hans"/>
        </w:rPr>
        <w:t>未执行完写原因</w:t>
      </w:r>
      <w:r>
        <w:rPr>
          <w:rFonts w:hint="eastAsia" w:ascii="仿宋_GB2312" w:cs="仿宋_GB2312"/>
          <w:color w:val="auto"/>
          <w:sz w:val="32"/>
          <w:szCs w:val="32"/>
        </w:rPr>
        <w:t>，并按标准扣分），根据评分标准，该指标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沙湾市公安局内控管理制度</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沙湾市公安局项目管理制度</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11</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“购买交通信号灯”指标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=28台</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国库支付记录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交通信号灯采购</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购置太阳能爆闪灯</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266套</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国库支付记录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太阳能爆闪灯采购</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spacing w:line="600" w:lineRule="exact"/>
        <w:ind w:firstLine="640"/>
        <w:rPr>
          <w:color w:val="auto"/>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购置反光锥筒</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200套</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国库支付记录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反光锥筒采购</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设备购置合格率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”，根据现场核查</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目前交通信号灯等使用情况良好</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交通秩序</w:t>
      </w:r>
      <w:r>
        <w:rPr>
          <w:rFonts w:hint="eastAsia" w:ascii="仿宋_GB2312" w:hAnsi="仿宋_GB2312" w:cs="仿宋_GB2312"/>
          <w:color w:val="auto"/>
          <w:sz w:val="32"/>
          <w:szCs w:val="32"/>
          <w:lang w:eastAsia="zh-Hans"/>
        </w:rPr>
        <w:t>得到了有效</w:t>
      </w:r>
      <w:r>
        <w:rPr>
          <w:rFonts w:hint="eastAsia" w:ascii="仿宋_GB2312" w:hAnsi="仿宋_GB2312" w:cs="仿宋_GB2312"/>
          <w:color w:val="auto"/>
          <w:sz w:val="32"/>
          <w:szCs w:val="32"/>
          <w:lang w:val="en-US" w:eastAsia="zh-CN"/>
        </w:rPr>
        <w:t>改善</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有效利用</w:t>
      </w:r>
      <w:r>
        <w:rPr>
          <w:rFonts w:hint="eastAsia" w:ascii="仿宋_GB2312" w:hAnsi="仿宋_GB2312" w:cs="仿宋_GB2312"/>
          <w:color w:val="auto"/>
          <w:sz w:val="32"/>
          <w:szCs w:val="32"/>
          <w:lang w:eastAsia="zh-Hans"/>
        </w:rPr>
        <w:t>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color w:val="auto"/>
          <w:sz w:val="32"/>
          <w:szCs w:val="32"/>
          <w:lang w:val="en-US" w:eastAsia="zh-CN"/>
        </w:rPr>
        <w:t>10</w:t>
      </w:r>
      <w:r>
        <w:rPr>
          <w:rFonts w:hint="eastAsia" w:ascii="仿宋_GB2312" w:hAnsi="仿宋_GB2312" w:cs="仿宋_GB2312"/>
          <w:color w:val="auto"/>
          <w:sz w:val="32"/>
          <w:szCs w:val="32"/>
        </w:rPr>
        <w:t>分。</w:t>
      </w:r>
    </w:p>
    <w:p>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项目完成时效</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2023年12月20日</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rPr>
        <w:t>月完成竣工验收，按合同约定，</w:t>
      </w:r>
      <w:r>
        <w:rPr>
          <w:rFonts w:hint="eastAsia" w:ascii="仿宋_GB2312" w:cs="仿宋_GB2312"/>
          <w:b w:val="0"/>
          <w:color w:val="auto"/>
          <w:sz w:val="32"/>
          <w:szCs w:val="32"/>
          <w:lang w:eastAsia="zh-Hans"/>
        </w:rPr>
        <w:t>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lang w:eastAsia="zh-Hans"/>
        </w:rPr>
        <w:t>月全部支付完毕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2</w:t>
      </w:r>
      <w:r>
        <w:rPr>
          <w:rFonts w:hint="eastAsia" w:ascii="仿宋_GB2312" w:cs="仿宋_GB2312"/>
          <w:b w:val="0"/>
          <w:color w:val="auto"/>
          <w:sz w:val="32"/>
          <w:szCs w:val="32"/>
        </w:rPr>
        <w:t>分，得</w:t>
      </w:r>
      <w:r>
        <w:rPr>
          <w:rFonts w:hint="eastAsia" w:ascii="仿宋_GB2312"/>
          <w:color w:val="auto"/>
          <w:sz w:val="32"/>
          <w:szCs w:val="32"/>
          <w:lang w:val="en-US" w:eastAsia="zh-CN"/>
        </w:rPr>
        <w:t>2</w:t>
      </w:r>
      <w:r>
        <w:rPr>
          <w:rFonts w:hint="eastAsia" w:ascii="仿宋_GB2312" w:cs="仿宋_GB2312"/>
          <w:b w:val="0"/>
          <w:color w:val="auto"/>
          <w:sz w:val="32"/>
          <w:szCs w:val="32"/>
        </w:rPr>
        <w:t>分。</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资金支付及时率</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2</w:t>
      </w:r>
      <w:r>
        <w:rPr>
          <w:rFonts w:hint="eastAsia" w:ascii="仿宋_GB2312" w:cs="仿宋_GB2312"/>
          <w:b w:val="0"/>
          <w:color w:val="auto"/>
          <w:sz w:val="32"/>
          <w:szCs w:val="32"/>
        </w:rPr>
        <w:t>分，得</w:t>
      </w:r>
      <w:r>
        <w:rPr>
          <w:rFonts w:hint="eastAsia" w:ascii="仿宋_GB2312"/>
          <w:color w:val="auto"/>
          <w:sz w:val="32"/>
          <w:szCs w:val="32"/>
          <w:lang w:val="en-US" w:eastAsia="zh-CN"/>
        </w:rPr>
        <w:t>2</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移动红绿灯采购成本</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仿宋_GB2312" w:eastAsia="宋体" w:cs="仿宋_GB2312"/>
          <w:color w:val="auto"/>
          <w:sz w:val="32"/>
          <w:szCs w:val="32"/>
          <w:lang w:val="en-US" w:eastAsia="zh-CN"/>
        </w:rPr>
        <w:t>12.88</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年共计支付工程款</w:t>
      </w:r>
      <w:r>
        <w:rPr>
          <w:rFonts w:hint="eastAsia" w:ascii="仿宋_GB2312" w:cs="仿宋_GB2312"/>
          <w:color w:val="auto"/>
          <w:sz w:val="32"/>
          <w:szCs w:val="32"/>
          <w:lang w:val="en-US" w:eastAsia="zh-CN"/>
        </w:rPr>
        <w:t>12.88</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反光锥筒采购成本</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仿宋_GB2312" w:eastAsia="宋体" w:cs="仿宋_GB2312"/>
          <w:color w:val="auto"/>
          <w:sz w:val="32"/>
          <w:szCs w:val="32"/>
          <w:lang w:val="en-US" w:eastAsia="zh-CN"/>
        </w:rPr>
        <w:t>4</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年共计支付工程款</w:t>
      </w:r>
      <w:r>
        <w:rPr>
          <w:rFonts w:hint="eastAsia" w:ascii="仿宋_GB2312" w:cs="仿宋_GB2312"/>
          <w:color w:val="auto"/>
          <w:sz w:val="32"/>
          <w:szCs w:val="32"/>
          <w:lang w:val="en-US" w:eastAsia="zh-CN"/>
        </w:rPr>
        <w:t>4</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太阳能爆闪灯采购成本</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仿宋_GB2312" w:eastAsia="宋体" w:cs="仿宋_GB2312"/>
          <w:color w:val="auto"/>
          <w:sz w:val="32"/>
          <w:szCs w:val="32"/>
          <w:lang w:val="en-US" w:eastAsia="zh-CN"/>
        </w:rPr>
        <w:t>3.72</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设备款3.72</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社会效益等1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rPr>
        <w:t>保障我市交通秩序持续向好</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val="en-US" w:eastAsia="zh-CN"/>
        </w:rPr>
        <w:t>保障</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本单位年度考核情况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3"/>
        <w:rPr>
          <w:rFonts w:hint="eastAsia" w:ascii="仿宋_GB2312" w:eastAsia="仿宋_GB2312"/>
          <w:color w:val="auto"/>
          <w:sz w:val="32"/>
          <w:szCs w:val="32"/>
          <w:lang w:val="en-US"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r>
        <w:rPr>
          <w:rFonts w:hint="eastAsia" w:ascii="仿宋_GB2312"/>
          <w:color w:val="auto"/>
          <w:sz w:val="32"/>
          <w:szCs w:val="32"/>
          <w:lang w:eastAsia="zh-CN"/>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群众</w:t>
      </w:r>
      <w:r>
        <w:rPr>
          <w:rFonts w:hint="eastAsia" w:ascii="仿宋_GB2312" w:cs="仿宋_GB2312"/>
          <w:color w:val="auto"/>
          <w:kern w:val="2"/>
          <w:sz w:val="32"/>
          <w:szCs w:val="32"/>
          <w:lang w:eastAsia="zh-Hans"/>
        </w:rPr>
        <w:t>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Hans"/>
        </w:rPr>
        <w:t>≥</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val="en-US" w:eastAsia="zh-CN"/>
        </w:rPr>
        <w:t>提供设备及货物的商家</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商家</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100</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7"/>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color w:val="auto"/>
          <w:sz w:val="32"/>
          <w:szCs w:val="32"/>
          <w:lang w:eastAsia="zh-Hans"/>
        </w:rPr>
        <w:t>2023年公安局购置道路交通专用信号灯及相关设备</w:t>
      </w:r>
      <w:r>
        <w:rPr>
          <w:rFonts w:hint="eastAsia" w:ascii="仿宋_GB2312"/>
          <w:color w:val="auto"/>
          <w:sz w:val="32"/>
          <w:szCs w:val="32"/>
          <w:lang w:eastAsia="zh-Hans"/>
        </w:rPr>
        <w:t>项目预算金额</w:t>
      </w:r>
      <w:r>
        <w:rPr>
          <w:rFonts w:hint="eastAsia" w:ascii="仿宋_GB2312"/>
          <w:color w:val="auto"/>
          <w:sz w:val="32"/>
          <w:szCs w:val="32"/>
          <w:lang w:val="en-US" w:eastAsia="zh-CN"/>
        </w:rPr>
        <w:t>20.32</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20.32</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20.32</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7"/>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color w:val="auto"/>
          <w:sz w:val="32"/>
          <w:szCs w:val="32"/>
          <w:lang w:eastAsia="zh-Hans"/>
        </w:rPr>
        <w:t>2023年公安局购置道路交通专用信号灯及相关设备</w:t>
      </w:r>
      <w:r>
        <w:rPr>
          <w:rFonts w:hint="eastAsia" w:ascii="仿宋_GB2312"/>
          <w:color w:val="auto"/>
          <w:sz w:val="32"/>
          <w:szCs w:val="32"/>
        </w:rPr>
        <w:t>项目的绩效目标及指标已经全部达成，不存在偏差情况。</w:t>
      </w:r>
    </w:p>
    <w:bookmarkEnd w:id="16"/>
    <w:bookmarkEnd w:id="17"/>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w:t>
      </w:r>
      <w:r>
        <w:rPr>
          <w:rFonts w:hint="eastAsia" w:ascii="仿宋_GB2312" w:hAnsi="仿宋_GB2312" w:cs="仿宋_GB2312"/>
          <w:b/>
          <w:bCs/>
          <w:color w:val="auto"/>
          <w:sz w:val="32"/>
          <w:szCs w:val="32"/>
          <w:lang w:eastAsia="zh-CN"/>
        </w:rPr>
        <w:t>监督</w:t>
      </w:r>
      <w:r>
        <w:rPr>
          <w:rFonts w:hint="eastAsia" w:ascii="仿宋_GB2312" w:hAnsi="仿宋_GB2312" w:cs="仿宋_GB2312"/>
          <w:b/>
          <w:bCs/>
          <w:color w:val="auto"/>
          <w:sz w:val="32"/>
          <w:szCs w:val="32"/>
        </w:rPr>
        <w:t>，提高资金效益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w:t>
      </w:r>
      <w:r>
        <w:rPr>
          <w:rFonts w:hint="eastAsia" w:ascii="仿宋_GB2312" w:hAnsi="仿宋_GB2312" w:cs="仿宋_GB2312"/>
          <w:color w:val="auto"/>
          <w:sz w:val="32"/>
          <w:szCs w:val="32"/>
          <w:lang w:eastAsia="zh-CN"/>
        </w:rPr>
        <w:t>监督</w:t>
      </w:r>
      <w:r>
        <w:rPr>
          <w:rFonts w:hint="eastAsia" w:ascii="仿宋_GB2312" w:hAnsi="仿宋_GB2312" w:cs="仿宋_GB2312"/>
          <w:color w:val="auto"/>
          <w:sz w:val="32"/>
          <w:szCs w:val="32"/>
        </w:rPr>
        <w:t>，提高资金使用效益。坚持以问题为导向，以财政部门的绩效</w:t>
      </w:r>
      <w:r>
        <w:rPr>
          <w:rFonts w:hint="eastAsia" w:ascii="仿宋_GB2312" w:hAnsi="仿宋_GB2312" w:cs="仿宋_GB2312"/>
          <w:color w:val="auto"/>
          <w:sz w:val="32"/>
          <w:szCs w:val="32"/>
          <w:lang w:eastAsia="zh-CN"/>
        </w:rPr>
        <w:t>监督</w:t>
      </w:r>
      <w:r>
        <w:rPr>
          <w:rFonts w:hint="eastAsia" w:ascii="仿宋_GB2312" w:hAnsi="仿宋_GB2312" w:cs="仿宋_GB2312"/>
          <w:color w:val="auto"/>
          <w:sz w:val="32"/>
          <w:szCs w:val="32"/>
        </w:rPr>
        <w:t>为契机，通过资料审核对资金执行进度及绩效目标实现程度开展审核，对绩效</w:t>
      </w:r>
      <w:r>
        <w:rPr>
          <w:rFonts w:hint="eastAsia" w:ascii="仿宋_GB2312" w:hAnsi="仿宋_GB2312" w:cs="仿宋_GB2312"/>
          <w:color w:val="auto"/>
          <w:sz w:val="32"/>
          <w:szCs w:val="32"/>
          <w:lang w:eastAsia="zh-CN"/>
        </w:rPr>
        <w:t>监督</w:t>
      </w:r>
      <w:r>
        <w:rPr>
          <w:rFonts w:hint="eastAsia" w:ascii="仿宋_GB2312" w:hAnsi="仿宋_GB2312" w:cs="仿宋_GB2312"/>
          <w:color w:val="auto"/>
          <w:sz w:val="32"/>
          <w:szCs w:val="32"/>
        </w:rPr>
        <w:t>中发现的问题及时整改，强化资金使用过程管理，有效了降低资金偏离政策目标的风险，提高了资金使用效益。</w:t>
      </w:r>
    </w:p>
    <w:p>
      <w:pPr>
        <w:pStyle w:val="21"/>
        <w:spacing w:line="600" w:lineRule="exact"/>
        <w:ind w:firstLine="643"/>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sz w:val="32"/>
          <w:szCs w:val="32"/>
        </w:rPr>
      </w:pPr>
      <w:r>
        <w:rPr>
          <w:rFonts w:hint="eastAsia" w:ascii="仿宋_GB2312"/>
          <w:b/>
          <w:bCs/>
          <w:sz w:val="32"/>
          <w:szCs w:val="32"/>
        </w:rPr>
        <w:t>3. 高度重视，加强领导</w:t>
      </w:r>
    </w:p>
    <w:p>
      <w:pPr>
        <w:pStyle w:val="21"/>
        <w:spacing w:line="600" w:lineRule="exact"/>
        <w:ind w:firstLine="640"/>
        <w:rPr>
          <w:rFonts w:hint="eastAsia" w:ascii="仿宋_GB2312" w:hAnsi="仿宋_GB2312" w:cs="仿宋_GB2312"/>
          <w:sz w:val="32"/>
          <w:szCs w:val="32"/>
        </w:rPr>
      </w:pPr>
      <w:r>
        <w:rPr>
          <w:rFonts w:hint="eastAsia" w:ascii="仿宋_GB2312"/>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pStyle w:val="21"/>
        <w:spacing w:line="600" w:lineRule="exact"/>
        <w:ind w:firstLine="643"/>
        <w:rPr>
          <w:rFonts w:hint="default" w:ascii="仿宋_GB2312"/>
          <w:b/>
          <w:bCs/>
          <w:sz w:val="32"/>
          <w:szCs w:val="32"/>
        </w:rPr>
      </w:pPr>
      <w:r>
        <w:rPr>
          <w:rFonts w:hint="eastAsia" w:ascii="仿宋_GB2312"/>
          <w:b/>
          <w:bCs/>
          <w:sz w:val="32"/>
          <w:szCs w:val="32"/>
          <w:lang w:val="en-US" w:eastAsia="zh-CN"/>
        </w:rPr>
        <w:t>4.</w:t>
      </w:r>
      <w:r>
        <w:rPr>
          <w:rFonts w:hint="default" w:ascii="仿宋_GB2312"/>
          <w:b/>
          <w:bCs/>
          <w:sz w:val="32"/>
          <w:szCs w:val="32"/>
        </w:rPr>
        <w:t>加大宣传力度，强化绩效理念</w:t>
      </w:r>
    </w:p>
    <w:p>
      <w:pPr>
        <w:pStyle w:val="21"/>
        <w:spacing w:line="600" w:lineRule="exact"/>
        <w:ind w:firstLine="640"/>
        <w:rPr>
          <w:rFonts w:hint="eastAsia" w:ascii="仿宋_GB2312"/>
          <w:sz w:val="32"/>
          <w:szCs w:val="32"/>
        </w:rPr>
      </w:pPr>
      <w:r>
        <w:rPr>
          <w:rFonts w:hint="default"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8"/>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加强业务培训，提升专业能力</w:t>
      </w:r>
    </w:p>
    <w:p>
      <w:pPr>
        <w:pStyle w:val="21"/>
        <w:spacing w:line="600" w:lineRule="exact"/>
        <w:ind w:firstLine="640"/>
        <w:rPr>
          <w:rFonts w:hint="default" w:ascii="仿宋_GB2312"/>
          <w:sz w:val="32"/>
          <w:szCs w:val="32"/>
        </w:rPr>
      </w:pPr>
      <w:r>
        <w:rPr>
          <w:rFonts w:hint="default"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8"/>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健全管理机制，促进深度融合</w:t>
      </w:r>
    </w:p>
    <w:p>
      <w:pPr>
        <w:pStyle w:val="21"/>
        <w:spacing w:line="600" w:lineRule="exact"/>
        <w:ind w:firstLine="640"/>
        <w:rPr>
          <w:rFonts w:hint="default" w:ascii="仿宋_GB2312"/>
          <w:sz w:val="32"/>
          <w:szCs w:val="32"/>
        </w:rPr>
      </w:pPr>
      <w:r>
        <w:rPr>
          <w:rFonts w:hint="default" w:ascii="仿宋_GB2312"/>
          <w:sz w:val="32"/>
          <w:szCs w:val="32"/>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szCs w:val="32"/>
        </w:rPr>
      </w:pPr>
      <w:r>
        <w:rPr>
          <w:rFonts w:hint="eastAsia"/>
          <w:szCs w:val="32"/>
        </w:rPr>
        <w:t>八、其他需要说明的问题</w:t>
      </w:r>
    </w:p>
    <w:p>
      <w:pPr>
        <w:pStyle w:val="21"/>
        <w:spacing w:line="600" w:lineRule="exact"/>
        <w:ind w:firstLine="624"/>
        <w:rPr>
          <w:rFonts w:hint="eastAsia" w:ascii="仿宋_GB2312" w:eastAsia="仿宋_GB2312"/>
          <w:sz w:val="32"/>
          <w:szCs w:val="32"/>
          <w:lang w:eastAsia="zh-CN"/>
        </w:rPr>
      </w:pPr>
      <w:r>
        <w:rPr>
          <w:rFonts w:hint="eastAsia" w:ascii="仿宋_GB2312"/>
          <w:color w:val="000000" w:themeColor="text1"/>
          <w:sz w:val="32"/>
          <w:szCs w:val="32"/>
          <w14:textFill>
            <w14:solidFill>
              <w14:schemeClr w14:val="tx1"/>
            </w14:solidFill>
          </w14:textFill>
        </w:rPr>
        <w:t>本单位对上述项目支出绩效评价报告内反映内容的真实性、完整性负责，并接受上级部门及社会公众监督</w:t>
      </w:r>
      <w:r>
        <w:rPr>
          <w:rFonts w:hint="eastAsia" w:ascii="仿宋_GB2312"/>
          <w:color w:val="000000" w:themeColor="text1"/>
          <w:sz w:val="32"/>
          <w:szCs w:val="32"/>
          <w:lang w:eastAsia="zh-CN"/>
          <w14:textFill>
            <w14:solidFill>
              <w14:schemeClr w14:val="tx1"/>
            </w14:solidFill>
          </w14:textFill>
        </w:rPr>
        <w:t>。</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8A13ED8A"/>
    <w:multiLevelType w:val="singleLevel"/>
    <w:tmpl w:val="8A13ED8A"/>
    <w:lvl w:ilvl="0" w:tentative="0">
      <w:start w:val="1"/>
      <w:numFmt w:val="decimal"/>
      <w:lvlText w:val="%1."/>
      <w:lvlJc w:val="left"/>
      <w:pPr>
        <w:tabs>
          <w:tab w:val="left" w:pos="312"/>
        </w:tabs>
      </w:pPr>
    </w:lvl>
  </w:abstractNum>
  <w:abstractNum w:abstractNumId="2">
    <w:nsid w:val="A02AEF92"/>
    <w:multiLevelType w:val="singleLevel"/>
    <w:tmpl w:val="A02AEF92"/>
    <w:lvl w:ilvl="0" w:tentative="0">
      <w:start w:val="1"/>
      <w:numFmt w:val="decimal"/>
      <w:suff w:val="nothing"/>
      <w:lvlText w:val="（%1）"/>
      <w:lvlJc w:val="left"/>
    </w:lvl>
  </w:abstractNum>
  <w:abstractNum w:abstractNumId="3">
    <w:nsid w:val="EF96AD33"/>
    <w:multiLevelType w:val="singleLevel"/>
    <w:tmpl w:val="EF96AD33"/>
    <w:lvl w:ilvl="0" w:tentative="0">
      <w:start w:val="5"/>
      <w:numFmt w:val="decimal"/>
      <w:lvlText w:val="%1."/>
      <w:lvlJc w:val="left"/>
      <w:pPr>
        <w:tabs>
          <w:tab w:val="left" w:pos="312"/>
        </w:tabs>
      </w:pPr>
    </w:lvl>
  </w:abstractNum>
  <w:abstractNum w:abstractNumId="4">
    <w:nsid w:val="F8E64B2D"/>
    <w:multiLevelType w:val="singleLevel"/>
    <w:tmpl w:val="F8E64B2D"/>
    <w:lvl w:ilvl="0" w:tentative="0">
      <w:start w:val="3"/>
      <w:numFmt w:val="chineseCounting"/>
      <w:suff w:val="nothing"/>
      <w:lvlText w:val="%1、"/>
      <w:lvlJc w:val="left"/>
      <w:rPr>
        <w:rFonts w:hint="eastAsia"/>
      </w:rPr>
    </w:lvl>
  </w:abstractNum>
  <w:abstractNum w:abstractNumId="5">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num w:numId="1">
    <w:abstractNumId w:val="6"/>
  </w:num>
  <w:num w:numId="2">
    <w:abstractNumId w:val="0"/>
  </w:num>
  <w:num w:numId="3">
    <w:abstractNumId w:val="2"/>
  </w:num>
  <w:num w:numId="4">
    <w:abstractNumId w:val="5"/>
  </w:num>
  <w:num w:numId="5">
    <w:abstractNumId w:val="4"/>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8F621E"/>
    <w:rsid w:val="030207AF"/>
    <w:rsid w:val="03DA0D31"/>
    <w:rsid w:val="04DE2A7B"/>
    <w:rsid w:val="12F1313F"/>
    <w:rsid w:val="141055C8"/>
    <w:rsid w:val="1868651B"/>
    <w:rsid w:val="1F5B1F3C"/>
    <w:rsid w:val="245E1E24"/>
    <w:rsid w:val="26A27F51"/>
    <w:rsid w:val="288A772E"/>
    <w:rsid w:val="2AF76D06"/>
    <w:rsid w:val="2E483E7E"/>
    <w:rsid w:val="2FF22A22"/>
    <w:rsid w:val="33944516"/>
    <w:rsid w:val="33D17BFD"/>
    <w:rsid w:val="395C003A"/>
    <w:rsid w:val="3AE92084"/>
    <w:rsid w:val="3E2D1506"/>
    <w:rsid w:val="45CA0F4E"/>
    <w:rsid w:val="48D63242"/>
    <w:rsid w:val="49A75425"/>
    <w:rsid w:val="49AD60EC"/>
    <w:rsid w:val="4C8E1ED0"/>
    <w:rsid w:val="4D411769"/>
    <w:rsid w:val="52BF36FC"/>
    <w:rsid w:val="55371A9C"/>
    <w:rsid w:val="5C3B428F"/>
    <w:rsid w:val="5C644D0A"/>
    <w:rsid w:val="5D7317A1"/>
    <w:rsid w:val="5EDF9208"/>
    <w:rsid w:val="5FAFB075"/>
    <w:rsid w:val="5FE36982"/>
    <w:rsid w:val="6118194D"/>
    <w:rsid w:val="68291A1A"/>
    <w:rsid w:val="69090FE4"/>
    <w:rsid w:val="691B1594"/>
    <w:rsid w:val="6F0D6C22"/>
    <w:rsid w:val="6FD35114"/>
    <w:rsid w:val="6FE70C15"/>
    <w:rsid w:val="6FF38B9B"/>
    <w:rsid w:val="736244D5"/>
    <w:rsid w:val="73D9A77D"/>
    <w:rsid w:val="73F90A54"/>
    <w:rsid w:val="75D12B63"/>
    <w:rsid w:val="7657F55C"/>
    <w:rsid w:val="76D2301A"/>
    <w:rsid w:val="77115DA2"/>
    <w:rsid w:val="77861774"/>
    <w:rsid w:val="77978BBA"/>
    <w:rsid w:val="77FD56A3"/>
    <w:rsid w:val="786D3A99"/>
    <w:rsid w:val="79300B45"/>
    <w:rsid w:val="7AFFA044"/>
    <w:rsid w:val="7C55A6FE"/>
    <w:rsid w:val="7C7F22A6"/>
    <w:rsid w:val="7E9F4A63"/>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0</TotalTime>
  <ScaleCrop>false</ScaleCrop>
  <LinksUpToDate>false</LinksUpToDate>
  <CharactersWithSpaces>8796</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备注</cp:lastModifiedBy>
  <cp:lastPrinted>2021-03-04T11:49:00Z</cp:lastPrinted>
  <dcterms:modified xsi:type="dcterms:W3CDTF">2025-04-02T10:28:13Z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y fmtid="{D5CDD505-2E9C-101B-9397-08002B2CF9AE}" pid="3" name="ICV">
    <vt:lpwstr>235B44973DA9A7007EC2D165511795CE_42</vt:lpwstr>
  </property>
</Properties>
</file>