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沙湾市公安局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 xml:space="preserve"> 2023年度部门决算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widowControl/>
        <w:spacing w:line="540" w:lineRule="exact"/>
        <w:ind w:firstLine="640"/>
        <w:jc w:val="left"/>
        <w:rPr>
          <w:rFonts w:hint="eastAsia" w:ascii="仿宋_GB2312" w:hAnsi="黑体" w:eastAsia="仿宋_GB2312" w:cs="宋体"/>
          <w:bCs/>
          <w:kern w:val="0"/>
          <w:sz w:val="32"/>
          <w:szCs w:val="32"/>
          <w:highlight w:val="none"/>
        </w:rPr>
      </w:pPr>
      <w:bookmarkStart w:id="4" w:name="_Toc31238"/>
      <w:bookmarkStart w:id="5" w:name="_Toc2151"/>
      <w:r>
        <w:rPr>
          <w:rFonts w:hint="eastAsia" w:ascii="仿宋_GB2312" w:hAnsi="黑体" w:eastAsia="仿宋_GB2312" w:cs="宋体"/>
          <w:bCs/>
          <w:kern w:val="0"/>
          <w:sz w:val="32"/>
          <w:szCs w:val="32"/>
          <w:highlight w:val="none"/>
        </w:rPr>
        <w:t>1.贯彻落实党中央、国务院和自治区党委、自治区人民政府以及公安部指定的额有关公安工作路线、方针、政策、法规、规章；研究制定符合本</w:t>
      </w:r>
      <w:r>
        <w:rPr>
          <w:rFonts w:hint="eastAsia" w:ascii="仿宋_GB2312" w:hAnsi="黑体" w:eastAsia="仿宋_GB2312" w:cs="宋体"/>
          <w:bCs/>
          <w:kern w:val="0"/>
          <w:sz w:val="32"/>
          <w:szCs w:val="32"/>
          <w:highlight w:val="none"/>
          <w:lang w:eastAsia="zh-CN"/>
        </w:rPr>
        <w:t>市</w:t>
      </w:r>
      <w:r>
        <w:rPr>
          <w:rFonts w:hint="eastAsia" w:ascii="仿宋_GB2312" w:hAnsi="黑体" w:eastAsia="仿宋_GB2312" w:cs="宋体"/>
          <w:bCs/>
          <w:kern w:val="0"/>
          <w:sz w:val="32"/>
          <w:szCs w:val="32"/>
          <w:highlight w:val="none"/>
        </w:rPr>
        <w:t>实际的有关公安政治工作的制度，指导、部署、检查、督促全市公安工作；</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2.掌握情况，分析形式，制定对策；</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3.负责接报警和指挥处警工作；</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4.负责授权的警务指挥协调工作；</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5.负责刑事侦查、负责刑事科学技术工作；</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6.依法查处对社会无益的管理行为；</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7.依法管理道路交通安全管理工作；</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8.开展食品药品、知识产权、生态环境、森林草原、生物安全等领域的案件侦办工作</w:t>
      </w:r>
      <w:r>
        <w:rPr>
          <w:rFonts w:hint="eastAsia" w:ascii="仿宋_GB2312" w:hAnsi="黑体" w:eastAsia="仿宋_GB2312" w:cs="宋体"/>
          <w:bCs/>
          <w:kern w:val="0"/>
          <w:sz w:val="32"/>
          <w:szCs w:val="32"/>
          <w:highlight w:val="none"/>
          <w:lang w:eastAsia="zh-CN"/>
        </w:rPr>
        <w:t>；</w:t>
      </w:r>
      <w:r>
        <w:rPr>
          <w:rFonts w:hint="eastAsia" w:ascii="仿宋_GB2312" w:hAnsi="黑体" w:eastAsia="仿宋_GB2312" w:cs="宋体"/>
          <w:bCs/>
          <w:kern w:val="0"/>
          <w:sz w:val="32"/>
          <w:szCs w:val="32"/>
          <w:highlight w:val="none"/>
        </w:rPr>
        <w:t xml:space="preserve"> </w:t>
      </w:r>
    </w:p>
    <w:p>
      <w:pPr>
        <w:widowControl/>
        <w:spacing w:line="540" w:lineRule="exact"/>
        <w:ind w:firstLine="640"/>
        <w:jc w:val="left"/>
        <w:rPr>
          <w:rFonts w:hint="eastAsia" w:ascii="仿宋_GB2312" w:hAnsi="黑体" w:eastAsia="仿宋_GB2312" w:cs="宋体"/>
          <w:bCs/>
          <w:kern w:val="0"/>
          <w:sz w:val="32"/>
          <w:szCs w:val="32"/>
          <w:highlight w:val="none"/>
          <w:lang w:val="en-US" w:eastAsia="zh-CN"/>
        </w:rPr>
      </w:pPr>
      <w:r>
        <w:rPr>
          <w:rFonts w:hint="eastAsia" w:ascii="仿宋_GB2312" w:hAnsi="黑体" w:eastAsia="仿宋_GB2312" w:cs="宋体"/>
          <w:bCs/>
          <w:kern w:val="0"/>
          <w:sz w:val="32"/>
          <w:szCs w:val="32"/>
          <w:highlight w:val="none"/>
          <w:lang w:val="en-US" w:eastAsia="zh-CN"/>
        </w:rPr>
        <w:t>9.预防、制止和侦察违法犯罪活动；</w:t>
      </w:r>
    </w:p>
    <w:p>
      <w:pPr>
        <w:widowControl/>
        <w:spacing w:line="540" w:lineRule="exact"/>
        <w:ind w:firstLine="640"/>
        <w:jc w:val="left"/>
        <w:rPr>
          <w:rFonts w:hint="eastAsia" w:ascii="仿宋_GB2312" w:hAnsi="黑体" w:eastAsia="仿宋_GB2312" w:cs="宋体"/>
          <w:bCs/>
          <w:kern w:val="0"/>
          <w:sz w:val="32"/>
          <w:szCs w:val="32"/>
          <w:highlight w:val="none"/>
          <w:lang w:val="en-US" w:eastAsia="zh-CN"/>
        </w:rPr>
      </w:pPr>
      <w:r>
        <w:rPr>
          <w:rFonts w:hint="eastAsia" w:ascii="仿宋_GB2312" w:hAnsi="黑体" w:eastAsia="仿宋_GB2312" w:cs="宋体"/>
          <w:bCs/>
          <w:kern w:val="0"/>
          <w:sz w:val="32"/>
          <w:szCs w:val="32"/>
          <w:highlight w:val="none"/>
          <w:lang w:val="en-US" w:eastAsia="zh-CN"/>
        </w:rPr>
        <w:t>10.维护社会治安秩序，制止危害社会治安秩序的行为；</w:t>
      </w:r>
    </w:p>
    <w:p>
      <w:pPr>
        <w:widowControl/>
        <w:spacing w:line="540" w:lineRule="exact"/>
        <w:ind w:firstLine="640"/>
        <w:jc w:val="left"/>
        <w:rPr>
          <w:rFonts w:hint="eastAsia" w:ascii="仿宋_GB2312" w:hAnsi="黑体" w:eastAsia="仿宋_GB2312" w:cs="宋体"/>
          <w:bCs/>
          <w:kern w:val="0"/>
          <w:sz w:val="32"/>
          <w:szCs w:val="32"/>
          <w:highlight w:val="none"/>
          <w:lang w:val="en-US" w:eastAsia="zh-CN"/>
        </w:rPr>
      </w:pPr>
      <w:r>
        <w:rPr>
          <w:rFonts w:hint="eastAsia" w:ascii="仿宋_GB2312" w:hAnsi="黑体" w:eastAsia="仿宋_GB2312" w:cs="宋体"/>
          <w:bCs/>
          <w:kern w:val="0"/>
          <w:sz w:val="32"/>
          <w:szCs w:val="32"/>
          <w:highlight w:val="none"/>
          <w:lang w:val="en-US" w:eastAsia="zh-CN"/>
        </w:rPr>
        <w:t>11.组织、实施消防工作，实施消防监督；</w:t>
      </w:r>
    </w:p>
    <w:p>
      <w:pPr>
        <w:widowControl/>
        <w:spacing w:line="540" w:lineRule="exact"/>
        <w:ind w:firstLine="640"/>
        <w:jc w:val="left"/>
        <w:rPr>
          <w:rFonts w:hint="eastAsia" w:ascii="仿宋_GB2312" w:hAnsi="黑体" w:eastAsia="仿宋_GB2312" w:cs="宋体"/>
          <w:bCs/>
          <w:kern w:val="0"/>
          <w:sz w:val="32"/>
          <w:szCs w:val="32"/>
          <w:highlight w:val="none"/>
          <w:lang w:val="en-US" w:eastAsia="zh-CN"/>
        </w:rPr>
      </w:pPr>
      <w:r>
        <w:rPr>
          <w:rFonts w:hint="eastAsia" w:ascii="仿宋_GB2312" w:hAnsi="黑体" w:eastAsia="仿宋_GB2312" w:cs="宋体"/>
          <w:bCs/>
          <w:kern w:val="0"/>
          <w:sz w:val="32"/>
          <w:szCs w:val="32"/>
          <w:highlight w:val="none"/>
          <w:lang w:val="en-US" w:eastAsia="zh-CN"/>
        </w:rPr>
        <w:t>12.管理枪支弹药、管制刀具和易燃易爆、剧毒、放射性等危险物品；</w:t>
      </w:r>
    </w:p>
    <w:p>
      <w:pPr>
        <w:widowControl/>
        <w:spacing w:line="540" w:lineRule="exact"/>
        <w:ind w:firstLine="640"/>
        <w:jc w:val="left"/>
        <w:rPr>
          <w:rFonts w:hint="eastAsia" w:ascii="仿宋_GB2312" w:hAnsi="黑体" w:eastAsia="仿宋_GB2312" w:cs="宋体"/>
          <w:bCs/>
          <w:kern w:val="0"/>
          <w:sz w:val="32"/>
          <w:szCs w:val="32"/>
          <w:highlight w:val="none"/>
          <w:lang w:val="en-US" w:eastAsia="zh-CN"/>
        </w:rPr>
      </w:pPr>
      <w:r>
        <w:rPr>
          <w:rFonts w:hint="eastAsia" w:ascii="仿宋_GB2312" w:hAnsi="黑体" w:eastAsia="仿宋_GB2312" w:cs="宋体"/>
          <w:bCs/>
          <w:kern w:val="0"/>
          <w:sz w:val="32"/>
          <w:szCs w:val="32"/>
          <w:highlight w:val="none"/>
          <w:lang w:val="en-US" w:eastAsia="zh-CN"/>
        </w:rPr>
        <w:t>13.对法律、法规规定的特种行业进行管理；</w:t>
      </w:r>
    </w:p>
    <w:p>
      <w:pPr>
        <w:widowControl/>
        <w:spacing w:line="540" w:lineRule="exact"/>
        <w:ind w:firstLine="640"/>
        <w:jc w:val="left"/>
        <w:rPr>
          <w:rFonts w:hint="eastAsia" w:ascii="仿宋_GB2312" w:hAnsi="黑体" w:eastAsia="仿宋_GB2312" w:cs="宋体"/>
          <w:bCs/>
          <w:kern w:val="0"/>
          <w:sz w:val="32"/>
          <w:szCs w:val="32"/>
          <w:highlight w:val="none"/>
          <w:lang w:val="en-US" w:eastAsia="zh-CN"/>
        </w:rPr>
      </w:pPr>
      <w:r>
        <w:rPr>
          <w:rFonts w:hint="eastAsia" w:ascii="仿宋_GB2312" w:hAnsi="黑体" w:eastAsia="仿宋_GB2312" w:cs="宋体"/>
          <w:bCs/>
          <w:kern w:val="0"/>
          <w:sz w:val="32"/>
          <w:szCs w:val="32"/>
          <w:highlight w:val="none"/>
          <w:lang w:val="en-US" w:eastAsia="zh-CN"/>
        </w:rPr>
        <w:t>14.警卫国家规定的特定人员，守卫重要的场所和设施；</w:t>
      </w:r>
    </w:p>
    <w:p>
      <w:pPr>
        <w:widowControl/>
        <w:spacing w:line="540" w:lineRule="exact"/>
        <w:ind w:firstLine="640"/>
        <w:jc w:val="left"/>
        <w:rPr>
          <w:rFonts w:hint="eastAsia" w:ascii="仿宋_GB2312" w:hAnsi="黑体" w:eastAsia="仿宋_GB2312" w:cs="宋体"/>
          <w:bCs/>
          <w:kern w:val="0"/>
          <w:sz w:val="32"/>
          <w:szCs w:val="32"/>
          <w:highlight w:val="none"/>
          <w:lang w:val="en-US" w:eastAsia="zh-CN"/>
        </w:rPr>
      </w:pPr>
      <w:r>
        <w:rPr>
          <w:rFonts w:hint="eastAsia" w:ascii="仿宋_GB2312" w:hAnsi="黑体" w:eastAsia="仿宋_GB2312" w:cs="宋体"/>
          <w:bCs/>
          <w:kern w:val="0"/>
          <w:sz w:val="32"/>
          <w:szCs w:val="32"/>
          <w:highlight w:val="none"/>
          <w:lang w:val="en-US" w:eastAsia="zh-CN"/>
        </w:rPr>
        <w:t>15.管理集会、游行、示威活动；</w:t>
      </w:r>
    </w:p>
    <w:p>
      <w:pPr>
        <w:widowControl/>
        <w:spacing w:line="540" w:lineRule="exact"/>
        <w:ind w:firstLine="640"/>
        <w:jc w:val="left"/>
        <w:rPr>
          <w:rFonts w:hint="eastAsia" w:ascii="仿宋_GB2312" w:hAnsi="黑体" w:eastAsia="仿宋_GB2312" w:cs="宋体"/>
          <w:bCs/>
          <w:kern w:val="0"/>
          <w:sz w:val="32"/>
          <w:szCs w:val="32"/>
          <w:highlight w:val="none"/>
          <w:lang w:val="en-US" w:eastAsia="zh-CN"/>
        </w:rPr>
      </w:pPr>
      <w:r>
        <w:rPr>
          <w:rFonts w:hint="eastAsia" w:ascii="仿宋_GB2312" w:hAnsi="黑体" w:eastAsia="仿宋_GB2312" w:cs="宋体"/>
          <w:bCs/>
          <w:kern w:val="0"/>
          <w:sz w:val="32"/>
          <w:szCs w:val="32"/>
          <w:highlight w:val="none"/>
          <w:lang w:val="en-US" w:eastAsia="zh-CN"/>
        </w:rPr>
        <w:t>16.管理户政、国籍、入境出境事务和外国人在中国境内居留、旅行的有关事务；</w:t>
      </w:r>
    </w:p>
    <w:p>
      <w:pPr>
        <w:widowControl/>
        <w:spacing w:line="540" w:lineRule="exact"/>
        <w:ind w:firstLine="640"/>
        <w:jc w:val="left"/>
        <w:rPr>
          <w:rFonts w:hint="default" w:ascii="仿宋_GB2312" w:hAnsi="黑体" w:eastAsia="仿宋_GB2312" w:cs="宋体"/>
          <w:bCs/>
          <w:kern w:val="0"/>
          <w:sz w:val="32"/>
          <w:szCs w:val="32"/>
          <w:highlight w:val="none"/>
          <w:lang w:val="en-US" w:eastAsia="zh-CN"/>
        </w:rPr>
      </w:pPr>
      <w:r>
        <w:rPr>
          <w:rFonts w:hint="eastAsia" w:ascii="仿宋_GB2312" w:hAnsi="黑体" w:eastAsia="仿宋_GB2312" w:cs="宋体"/>
          <w:bCs/>
          <w:kern w:val="0"/>
          <w:sz w:val="32"/>
          <w:szCs w:val="32"/>
          <w:highlight w:val="none"/>
          <w:lang w:val="en-US" w:eastAsia="zh-CN"/>
        </w:rPr>
        <w:t>17.法律、法规规定的其他职责。</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沙湾市公安局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552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428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124</w:t>
      </w:r>
      <w:r>
        <w:rPr>
          <w:rFonts w:hint="eastAsia" w:ascii="仿宋_GB2312" w:eastAsia="仿宋_GB2312"/>
          <w:color w:val="auto"/>
          <w:sz w:val="32"/>
          <w:szCs w:val="32"/>
          <w:highlight w:val="none"/>
        </w:rPr>
        <w:t>人。</w:t>
      </w:r>
    </w:p>
    <w:p>
      <w:pPr>
        <w:widowControl/>
        <w:spacing w:line="560" w:lineRule="exact"/>
        <w:ind w:firstLine="640"/>
        <w:jc w:val="left"/>
        <w:rPr>
          <w:rFonts w:ascii="仿宋_GB2312" w:hAnsi="宋体" w:eastAsia="仿宋_GB2312" w:cs="宋体"/>
          <w:color w:val="auto"/>
          <w:kern w:val="0"/>
          <w:sz w:val="32"/>
          <w:szCs w:val="32"/>
          <w:highlight w:val="red"/>
        </w:rPr>
      </w:pPr>
      <w:bookmarkStart w:id="6" w:name="_Toc29374"/>
      <w:bookmarkStart w:id="7" w:name="_Toc3092"/>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31</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val="en-US" w:eastAsia="zh-CN"/>
        </w:rPr>
        <w:t>科</w:t>
      </w:r>
      <w:r>
        <w:rPr>
          <w:rFonts w:hint="eastAsia" w:ascii="仿宋_GB2312" w:hAnsi="黑体" w:eastAsia="仿宋_GB2312" w:cs="宋体"/>
          <w:bCs/>
          <w:color w:val="auto"/>
          <w:kern w:val="0"/>
          <w:sz w:val="32"/>
          <w:szCs w:val="32"/>
          <w:highlight w:val="none"/>
        </w:rPr>
        <w:t>室，分别是：</w:t>
      </w:r>
      <w:r>
        <w:rPr>
          <w:rFonts w:hint="eastAsia" w:ascii="仿宋_GB2312" w:hAnsi="黑体" w:eastAsia="仿宋_GB2312" w:cs="宋体"/>
          <w:bCs/>
          <w:kern w:val="0"/>
          <w:sz w:val="32"/>
          <w:szCs w:val="32"/>
          <w:highlight w:val="none"/>
        </w:rPr>
        <w:t>指挥中心、政工监督室、纪检监察室、督查大队、警务保障室、看守所、行政拘留所、治安大队、刑事侦</w:t>
      </w:r>
      <w:r>
        <w:rPr>
          <w:rFonts w:hint="eastAsia" w:ascii="仿宋_GB2312" w:hAnsi="黑体" w:eastAsia="仿宋_GB2312" w:cs="宋体"/>
          <w:bCs/>
          <w:kern w:val="0"/>
          <w:sz w:val="32"/>
          <w:szCs w:val="32"/>
        </w:rPr>
        <w:t>查大队、交通警察大队、法制大队、经济侦查大队、禁毒大队、食品药品环境犯罪侦查大队、巡逻防控大队、广场路派出所、建设路派出所、大泉派出所、金沟河派出所、安集海派出所、乌兰乌苏派出所、博尔通古牧场派出所、老沙湾派出所、柳毛湾派出所、四道河子派出所、商户地派出所、东湾派出所、西戈壁派出所、博尔通古派出所、牛圈子牧场派出所、南山派出所</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20,264.36万元，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20,264.36万元，使用非财政拨款结余0.00万元，年初结转和结余0.00万元。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20,264.36万元，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20,264.36万元，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减少937.55万元</w:t>
      </w:r>
      <w:r>
        <w:rPr>
          <w:rFonts w:hint="eastAsia" w:ascii="仿宋_GB2312" w:eastAsia="仿宋_GB2312"/>
          <w:color w:val="auto"/>
          <w:spacing w:val="0"/>
          <w:sz w:val="32"/>
          <w:szCs w:val="32"/>
          <w:highlight w:val="none"/>
          <w:lang w:eastAsia="zh-CN"/>
        </w:rPr>
        <w:t>，下降4.42%，主要原因是：2022年疫情及二十大安保等工作</w:t>
      </w:r>
      <w:r>
        <w:rPr>
          <w:rFonts w:hint="eastAsia" w:ascii="仿宋_GB2312" w:eastAsia="仿宋_GB2312"/>
          <w:color w:val="auto"/>
          <w:spacing w:val="0"/>
          <w:sz w:val="32"/>
          <w:szCs w:val="32"/>
          <w:highlight w:val="none"/>
          <w:lang w:val="en-US" w:eastAsia="zh-CN"/>
        </w:rPr>
        <w:t>任务多</w:t>
      </w:r>
      <w:r>
        <w:rPr>
          <w:rFonts w:hint="eastAsia" w:ascii="仿宋_GB2312" w:eastAsia="仿宋_GB2312"/>
          <w:color w:val="auto"/>
          <w:spacing w:val="0"/>
          <w:sz w:val="32"/>
          <w:szCs w:val="32"/>
          <w:highlight w:val="none"/>
          <w:lang w:eastAsia="zh-CN"/>
        </w:rPr>
        <w:t>，各项支出</w:t>
      </w:r>
      <w:r>
        <w:rPr>
          <w:rFonts w:hint="eastAsia" w:ascii="仿宋_GB2312" w:eastAsia="仿宋_GB2312"/>
          <w:color w:val="auto"/>
          <w:spacing w:val="0"/>
          <w:sz w:val="32"/>
          <w:szCs w:val="32"/>
          <w:highlight w:val="none"/>
          <w:lang w:val="en-US" w:eastAsia="zh-CN"/>
        </w:rPr>
        <w:t>大</w:t>
      </w:r>
      <w:r>
        <w:rPr>
          <w:rFonts w:hint="eastAsia" w:ascii="仿宋_GB2312" w:eastAsia="仿宋_GB2312"/>
          <w:color w:val="auto"/>
          <w:spacing w:val="0"/>
          <w:sz w:val="32"/>
          <w:szCs w:val="32"/>
          <w:highlight w:val="none"/>
          <w:lang w:eastAsia="zh-CN"/>
        </w:rPr>
        <w:t>。2023年</w:t>
      </w:r>
      <w:r>
        <w:rPr>
          <w:rFonts w:hint="eastAsia" w:ascii="仿宋_GB2312" w:eastAsia="仿宋_GB2312"/>
          <w:color w:val="auto"/>
          <w:spacing w:val="0"/>
          <w:sz w:val="32"/>
          <w:szCs w:val="32"/>
          <w:highlight w:val="none"/>
          <w:lang w:val="en-US" w:eastAsia="zh-CN"/>
        </w:rPr>
        <w:t>无疫情防控支出、工作任务较上年减少、</w:t>
      </w:r>
      <w:r>
        <w:rPr>
          <w:rFonts w:hint="eastAsia" w:ascii="仿宋_GB2312" w:eastAsia="仿宋_GB2312"/>
          <w:color w:val="auto"/>
          <w:spacing w:val="0"/>
          <w:sz w:val="32"/>
          <w:szCs w:val="32"/>
          <w:highlight w:val="none"/>
          <w:lang w:eastAsia="zh-CN"/>
        </w:rPr>
        <w:t>人员减少，支出下降。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20,264.36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20,197.77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99.67%</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66.59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0.33%</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本年支出20,264.36万元，其中：基本支出16,749.22万元，占82.65%；项目支出3,515.13万元，占17.35%；上缴上级支出0.00万元，占0.00%；经营支出0.00万元，占0.00%；对附属单位补助支出0.00万元，占0.00%。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20,197.77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20,197.77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20,197.77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20,197.77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减少973.39万元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下降4.60%,</w:t>
      </w:r>
      <w:r>
        <w:rPr>
          <w:rFonts w:hint="eastAsia" w:ascii="仿宋_GB2312" w:eastAsia="仿宋_GB2312"/>
          <w:color w:val="auto"/>
          <w:spacing w:val="0"/>
          <w:sz w:val="32"/>
          <w:szCs w:val="32"/>
          <w:highlight w:val="none"/>
          <w:lang w:eastAsia="zh-CN"/>
        </w:rPr>
        <w:t>主要原因是：2022年疫情及二十大安保等工作</w:t>
      </w:r>
      <w:r>
        <w:rPr>
          <w:rFonts w:hint="eastAsia" w:ascii="仿宋_GB2312" w:eastAsia="仿宋_GB2312"/>
          <w:color w:val="auto"/>
          <w:spacing w:val="0"/>
          <w:sz w:val="32"/>
          <w:szCs w:val="32"/>
          <w:highlight w:val="none"/>
          <w:lang w:val="en-US" w:eastAsia="zh-CN"/>
        </w:rPr>
        <w:t>任务多</w:t>
      </w:r>
      <w:r>
        <w:rPr>
          <w:rFonts w:hint="eastAsia" w:ascii="仿宋_GB2312" w:eastAsia="仿宋_GB2312"/>
          <w:color w:val="auto"/>
          <w:spacing w:val="0"/>
          <w:sz w:val="32"/>
          <w:szCs w:val="32"/>
          <w:highlight w:val="none"/>
          <w:lang w:eastAsia="zh-CN"/>
        </w:rPr>
        <w:t>，各项支出</w:t>
      </w:r>
      <w:r>
        <w:rPr>
          <w:rFonts w:hint="eastAsia" w:ascii="仿宋_GB2312" w:eastAsia="仿宋_GB2312"/>
          <w:color w:val="auto"/>
          <w:spacing w:val="0"/>
          <w:sz w:val="32"/>
          <w:szCs w:val="32"/>
          <w:highlight w:val="none"/>
          <w:lang w:val="en-US" w:eastAsia="zh-CN"/>
        </w:rPr>
        <w:t>大</w:t>
      </w:r>
      <w:r>
        <w:rPr>
          <w:rFonts w:hint="eastAsia" w:ascii="仿宋_GB2312" w:eastAsia="仿宋_GB2312"/>
          <w:color w:val="auto"/>
          <w:spacing w:val="0"/>
          <w:sz w:val="32"/>
          <w:szCs w:val="32"/>
          <w:highlight w:val="none"/>
          <w:lang w:eastAsia="zh-CN"/>
        </w:rPr>
        <w:t>。2023年</w:t>
      </w:r>
      <w:r>
        <w:rPr>
          <w:rFonts w:hint="eastAsia" w:ascii="仿宋_GB2312" w:eastAsia="仿宋_GB2312"/>
          <w:color w:val="auto"/>
          <w:spacing w:val="0"/>
          <w:sz w:val="32"/>
          <w:szCs w:val="32"/>
          <w:highlight w:val="none"/>
          <w:lang w:val="en-US" w:eastAsia="zh-CN"/>
        </w:rPr>
        <w:t>无疫情防控支出、工作任务较上年减少、</w:t>
      </w:r>
      <w:r>
        <w:rPr>
          <w:rFonts w:hint="eastAsia" w:ascii="仿宋_GB2312" w:eastAsia="仿宋_GB2312"/>
          <w:color w:val="auto"/>
          <w:spacing w:val="0"/>
          <w:sz w:val="32"/>
          <w:szCs w:val="32"/>
          <w:highlight w:val="none"/>
          <w:lang w:eastAsia="zh-CN"/>
        </w:rPr>
        <w:t>人员减少，支出下降。与年初预算相比，年初预算数</w:t>
      </w:r>
      <w:r>
        <w:rPr>
          <w:rFonts w:hint="eastAsia" w:ascii="仿宋_GB2312" w:eastAsia="仿宋_GB2312"/>
          <w:color w:val="auto"/>
          <w:spacing w:val="0"/>
          <w:sz w:val="32"/>
          <w:szCs w:val="32"/>
          <w:highlight w:val="none"/>
          <w:lang w:val="zh-CN" w:eastAsia="zh-CN"/>
        </w:rPr>
        <w:t>20,914.99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20,197.77</w:t>
      </w:r>
      <w:r>
        <w:rPr>
          <w:rFonts w:hint="eastAsia" w:ascii="仿宋_GB2312" w:eastAsia="仿宋_GB2312"/>
          <w:color w:val="auto"/>
          <w:spacing w:val="0"/>
          <w:sz w:val="32"/>
          <w:szCs w:val="32"/>
          <w:highlight w:val="none"/>
          <w:lang w:eastAsia="zh-CN"/>
        </w:rPr>
        <w:t>万元，预决算差异率-3.43%，主要原因是：</w:t>
      </w:r>
      <w:r>
        <w:rPr>
          <w:rFonts w:hint="eastAsia" w:ascii="仿宋_GB2312" w:hAnsi="仿宋" w:eastAsia="仿宋_GB2312" w:cs="Times New Roman"/>
          <w:sz w:val="32"/>
          <w:szCs w:val="32"/>
          <w:highlight w:val="none"/>
          <w:lang w:val="en-US" w:eastAsia="zh-CN"/>
        </w:rPr>
        <w:t>本年度人员减少，人员支出减少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2023年度一般公共预算财政拨款支出20,197.77万元，占本年支出合计的</w:t>
      </w:r>
      <w:r>
        <w:rPr>
          <w:rFonts w:hint="eastAsia" w:ascii="仿宋_GB2312" w:eastAsia="仿宋_GB2312"/>
          <w:color w:val="auto"/>
          <w:spacing w:val="0"/>
          <w:sz w:val="32"/>
          <w:szCs w:val="32"/>
          <w:highlight w:val="none"/>
          <w:lang w:val="zh-CN" w:eastAsia="zh-CN"/>
        </w:rPr>
        <w:t>99.67%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减少973.39万元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下降4.60%,</w:t>
      </w:r>
      <w:r>
        <w:rPr>
          <w:rFonts w:hint="eastAsia" w:ascii="仿宋_GB2312" w:eastAsia="仿宋_GB2312"/>
          <w:color w:val="auto"/>
          <w:spacing w:val="0"/>
          <w:sz w:val="32"/>
          <w:szCs w:val="32"/>
          <w:highlight w:val="none"/>
          <w:lang w:eastAsia="zh-CN"/>
        </w:rPr>
        <w:t>主要原因是：2022年疫情及二十大安保等工作</w:t>
      </w:r>
      <w:r>
        <w:rPr>
          <w:rFonts w:hint="eastAsia" w:ascii="仿宋_GB2312" w:eastAsia="仿宋_GB2312"/>
          <w:color w:val="auto"/>
          <w:spacing w:val="0"/>
          <w:sz w:val="32"/>
          <w:szCs w:val="32"/>
          <w:highlight w:val="none"/>
          <w:lang w:val="en-US" w:eastAsia="zh-CN"/>
        </w:rPr>
        <w:t>任务多</w:t>
      </w:r>
      <w:r>
        <w:rPr>
          <w:rFonts w:hint="eastAsia" w:ascii="仿宋_GB2312" w:eastAsia="仿宋_GB2312"/>
          <w:color w:val="auto"/>
          <w:spacing w:val="0"/>
          <w:sz w:val="32"/>
          <w:szCs w:val="32"/>
          <w:highlight w:val="none"/>
          <w:lang w:eastAsia="zh-CN"/>
        </w:rPr>
        <w:t>，各项支出</w:t>
      </w:r>
      <w:r>
        <w:rPr>
          <w:rFonts w:hint="eastAsia" w:ascii="仿宋_GB2312" w:eastAsia="仿宋_GB2312"/>
          <w:color w:val="auto"/>
          <w:spacing w:val="0"/>
          <w:sz w:val="32"/>
          <w:szCs w:val="32"/>
          <w:highlight w:val="none"/>
          <w:lang w:val="en-US" w:eastAsia="zh-CN"/>
        </w:rPr>
        <w:t>大</w:t>
      </w:r>
      <w:r>
        <w:rPr>
          <w:rFonts w:hint="eastAsia" w:ascii="仿宋_GB2312" w:eastAsia="仿宋_GB2312"/>
          <w:color w:val="auto"/>
          <w:spacing w:val="0"/>
          <w:sz w:val="32"/>
          <w:szCs w:val="32"/>
          <w:highlight w:val="none"/>
          <w:lang w:eastAsia="zh-CN"/>
        </w:rPr>
        <w:t>。2023年</w:t>
      </w:r>
      <w:r>
        <w:rPr>
          <w:rFonts w:hint="eastAsia" w:ascii="仿宋_GB2312" w:eastAsia="仿宋_GB2312"/>
          <w:color w:val="auto"/>
          <w:spacing w:val="0"/>
          <w:sz w:val="32"/>
          <w:szCs w:val="32"/>
          <w:highlight w:val="none"/>
          <w:lang w:val="en-US" w:eastAsia="zh-CN"/>
        </w:rPr>
        <w:t>无疫情防控支出、工作任务较上年减少、</w:t>
      </w:r>
      <w:r>
        <w:rPr>
          <w:rFonts w:hint="eastAsia" w:ascii="仿宋_GB2312" w:eastAsia="仿宋_GB2312"/>
          <w:color w:val="auto"/>
          <w:spacing w:val="0"/>
          <w:sz w:val="32"/>
          <w:szCs w:val="32"/>
          <w:highlight w:val="none"/>
          <w:lang w:eastAsia="zh-CN"/>
        </w:rPr>
        <w:t>人员减少，支出下降。与年初预算相比，年初预算数</w:t>
      </w:r>
      <w:r>
        <w:rPr>
          <w:rFonts w:hint="eastAsia" w:ascii="仿宋_GB2312" w:eastAsia="仿宋_GB2312"/>
          <w:color w:val="auto"/>
          <w:spacing w:val="0"/>
          <w:sz w:val="32"/>
          <w:szCs w:val="32"/>
          <w:highlight w:val="none"/>
          <w:lang w:val="zh-CN" w:eastAsia="zh-CN"/>
        </w:rPr>
        <w:t>20,914.99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20,197.77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-3.43%</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sz w:val="32"/>
          <w:szCs w:val="32"/>
          <w:highlight w:val="none"/>
          <w:lang w:val="en-US" w:eastAsia="zh-CN"/>
        </w:rPr>
        <w:t>本年度人员减少，人员支出减少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shd w:val="clear" w:color="auto" w:fill="auto"/>
          <w:lang w:val="zh-CN" w:eastAsia="zh-CN" w:bidi="ar-SA"/>
        </w:rPr>
      </w:pPr>
      <w:r>
        <w:rPr>
          <w:rFonts w:hint="eastAsia" w:ascii="仿宋_GB2312" w:eastAsia="仿宋_GB2312" w:cs="Times New Roman"/>
          <w:color w:val="auto"/>
          <w:spacing w:val="0"/>
          <w:kern w:val="2"/>
          <w:sz w:val="32"/>
          <w:szCs w:val="32"/>
          <w:highlight w:val="none"/>
          <w:shd w:val="clear" w:color="auto" w:fill="auto"/>
          <w:lang w:val="en-US" w:eastAsia="zh-CN" w:bidi="ar-SA"/>
        </w:rPr>
        <w:t>1</w:t>
      </w:r>
      <w:r>
        <w:rPr>
          <w:rFonts w:hint="default" w:ascii="仿宋_GB2312" w:hAnsi="Times New Roman" w:eastAsia="仿宋_GB2312" w:cs="Times New Roman"/>
          <w:color w:val="auto"/>
          <w:spacing w:val="0"/>
          <w:kern w:val="2"/>
          <w:sz w:val="32"/>
          <w:szCs w:val="32"/>
          <w:highlight w:val="none"/>
          <w:shd w:val="clear" w:color="auto" w:fill="auto"/>
          <w:lang w:val="zh-CN" w:eastAsia="zh-CN" w:bidi="ar-SA"/>
        </w:rPr>
        <w:t>.公共安全类支出（类）</w:t>
      </w:r>
      <w:r>
        <w:rPr>
          <w:rFonts w:hint="eastAsia" w:ascii="仿宋_GB2312" w:hAnsi="Times New Roman" w:eastAsia="仿宋_GB2312" w:cs="Times New Roman"/>
          <w:color w:val="auto"/>
          <w:spacing w:val="0"/>
          <w:kern w:val="2"/>
          <w:sz w:val="32"/>
          <w:szCs w:val="32"/>
          <w:highlight w:val="none"/>
          <w:shd w:val="clear" w:color="auto" w:fill="auto"/>
          <w:lang w:val="zh-CN" w:eastAsia="zh-CN" w:bidi="ar-SA"/>
        </w:rPr>
        <w:t>18,312.43</w:t>
      </w:r>
      <w:r>
        <w:rPr>
          <w:rFonts w:hint="default" w:ascii="仿宋_GB2312" w:hAnsi="Times New Roman" w:eastAsia="仿宋_GB2312" w:cs="Times New Roman"/>
          <w:color w:val="auto"/>
          <w:spacing w:val="0"/>
          <w:kern w:val="2"/>
          <w:sz w:val="32"/>
          <w:szCs w:val="32"/>
          <w:highlight w:val="none"/>
          <w:shd w:val="clear" w:color="auto" w:fill="auto"/>
          <w:lang w:val="zh-CN" w:eastAsia="zh-CN" w:bidi="ar-SA"/>
        </w:rPr>
        <w:t>万元，占</w:t>
      </w:r>
      <w:r>
        <w:rPr>
          <w:rFonts w:hint="eastAsia" w:ascii="仿宋_GB2312" w:eastAsia="仿宋_GB2312" w:cs="Times New Roman"/>
          <w:color w:val="auto"/>
          <w:spacing w:val="0"/>
          <w:kern w:val="2"/>
          <w:sz w:val="32"/>
          <w:szCs w:val="32"/>
          <w:highlight w:val="none"/>
          <w:shd w:val="clear" w:color="auto" w:fill="auto"/>
          <w:lang w:val="zh-CN" w:eastAsia="zh-CN" w:bidi="ar-SA"/>
        </w:rPr>
        <w:t>90.67%</w:t>
      </w:r>
      <w:r>
        <w:rPr>
          <w:rFonts w:hint="default" w:ascii="仿宋_GB2312" w:hAnsi="Times New Roman" w:eastAsia="仿宋_GB2312" w:cs="Times New Roman"/>
          <w:color w:val="auto"/>
          <w:spacing w:val="0"/>
          <w:kern w:val="2"/>
          <w:sz w:val="32"/>
          <w:szCs w:val="32"/>
          <w:highlight w:val="none"/>
          <w:shd w:val="clear" w:color="auto" w:fill="auto"/>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shd w:val="clear" w:color="auto" w:fill="auto"/>
          <w:lang w:val="zh-CN" w:eastAsia="zh-CN" w:bidi="ar-SA"/>
        </w:rPr>
      </w:pPr>
      <w:r>
        <w:rPr>
          <w:rFonts w:hint="eastAsia" w:ascii="仿宋_GB2312" w:eastAsia="仿宋_GB2312" w:cs="Times New Roman"/>
          <w:color w:val="auto"/>
          <w:spacing w:val="0"/>
          <w:kern w:val="2"/>
          <w:sz w:val="32"/>
          <w:szCs w:val="32"/>
          <w:highlight w:val="none"/>
          <w:shd w:val="clear" w:color="auto" w:fill="auto"/>
          <w:lang w:val="en-US" w:eastAsia="zh-CN" w:bidi="ar-SA"/>
        </w:rPr>
        <w:t>2</w:t>
      </w:r>
      <w:r>
        <w:rPr>
          <w:rFonts w:hint="default" w:ascii="仿宋_GB2312" w:hAnsi="Times New Roman" w:eastAsia="仿宋_GB2312" w:cs="Times New Roman"/>
          <w:color w:val="auto"/>
          <w:spacing w:val="0"/>
          <w:kern w:val="2"/>
          <w:sz w:val="32"/>
          <w:szCs w:val="32"/>
          <w:highlight w:val="none"/>
          <w:shd w:val="clear" w:color="auto" w:fill="auto"/>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shd w:val="clear" w:color="auto" w:fill="auto"/>
          <w:lang w:val="zh-CN" w:eastAsia="zh-CN" w:bidi="ar-SA"/>
        </w:rPr>
        <w:t>857.96</w:t>
      </w:r>
      <w:r>
        <w:rPr>
          <w:rFonts w:hint="default" w:ascii="仿宋_GB2312" w:hAnsi="Times New Roman" w:eastAsia="仿宋_GB2312" w:cs="Times New Roman"/>
          <w:color w:val="auto"/>
          <w:spacing w:val="0"/>
          <w:kern w:val="2"/>
          <w:sz w:val="32"/>
          <w:szCs w:val="32"/>
          <w:highlight w:val="none"/>
          <w:shd w:val="clear" w:color="auto" w:fill="auto"/>
          <w:lang w:val="zh-CN" w:eastAsia="zh-CN" w:bidi="ar-SA"/>
        </w:rPr>
        <w:t>万元，占</w:t>
      </w:r>
      <w:r>
        <w:rPr>
          <w:rFonts w:hint="eastAsia" w:ascii="仿宋_GB2312" w:eastAsia="仿宋_GB2312" w:cs="Times New Roman"/>
          <w:color w:val="auto"/>
          <w:spacing w:val="0"/>
          <w:kern w:val="2"/>
          <w:sz w:val="32"/>
          <w:szCs w:val="32"/>
          <w:highlight w:val="none"/>
          <w:shd w:val="clear" w:color="auto" w:fill="auto"/>
          <w:lang w:val="zh-CN" w:eastAsia="zh-CN" w:bidi="ar-SA"/>
        </w:rPr>
        <w:t>4.25%</w:t>
      </w:r>
      <w:r>
        <w:rPr>
          <w:rFonts w:hint="default" w:ascii="仿宋_GB2312" w:hAnsi="Times New Roman" w:eastAsia="仿宋_GB2312" w:cs="Times New Roman"/>
          <w:color w:val="auto"/>
          <w:spacing w:val="0"/>
          <w:kern w:val="2"/>
          <w:sz w:val="32"/>
          <w:szCs w:val="32"/>
          <w:highlight w:val="none"/>
          <w:shd w:val="clear" w:color="auto" w:fill="auto"/>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shd w:val="clear" w:color="auto" w:fill="auto"/>
          <w:lang w:val="zh-CN" w:eastAsia="zh-CN" w:bidi="ar-SA"/>
        </w:rPr>
      </w:pPr>
      <w:r>
        <w:rPr>
          <w:rFonts w:hint="eastAsia" w:ascii="仿宋_GB2312" w:eastAsia="仿宋_GB2312" w:cs="Times New Roman"/>
          <w:color w:val="auto"/>
          <w:spacing w:val="0"/>
          <w:kern w:val="2"/>
          <w:sz w:val="32"/>
          <w:szCs w:val="32"/>
          <w:highlight w:val="none"/>
          <w:shd w:val="clear" w:color="auto" w:fill="auto"/>
          <w:lang w:val="en-US" w:eastAsia="zh-CN" w:bidi="ar-SA"/>
        </w:rPr>
        <w:t>3</w:t>
      </w:r>
      <w:r>
        <w:rPr>
          <w:rFonts w:hint="default" w:ascii="仿宋_GB2312" w:hAnsi="Times New Roman" w:eastAsia="仿宋_GB2312" w:cs="Times New Roman"/>
          <w:color w:val="auto"/>
          <w:spacing w:val="0"/>
          <w:kern w:val="2"/>
          <w:sz w:val="32"/>
          <w:szCs w:val="32"/>
          <w:highlight w:val="none"/>
          <w:shd w:val="clear" w:color="auto" w:fill="auto"/>
          <w:lang w:val="zh-CN" w:eastAsia="zh-CN" w:bidi="ar-SA"/>
        </w:rPr>
        <w:t>.卫生健康支出（类）</w:t>
      </w:r>
      <w:r>
        <w:rPr>
          <w:rFonts w:hint="eastAsia" w:ascii="仿宋_GB2312" w:hAnsi="Times New Roman" w:eastAsia="仿宋_GB2312" w:cs="Times New Roman"/>
          <w:color w:val="auto"/>
          <w:spacing w:val="0"/>
          <w:kern w:val="2"/>
          <w:sz w:val="32"/>
          <w:szCs w:val="32"/>
          <w:highlight w:val="none"/>
          <w:shd w:val="clear" w:color="auto" w:fill="auto"/>
          <w:lang w:val="zh-CN" w:eastAsia="zh-CN" w:bidi="ar-SA"/>
        </w:rPr>
        <w:t>430.01</w:t>
      </w:r>
      <w:r>
        <w:rPr>
          <w:rFonts w:hint="default" w:ascii="仿宋_GB2312" w:hAnsi="Times New Roman" w:eastAsia="仿宋_GB2312" w:cs="Times New Roman"/>
          <w:color w:val="auto"/>
          <w:spacing w:val="0"/>
          <w:kern w:val="2"/>
          <w:sz w:val="32"/>
          <w:szCs w:val="32"/>
          <w:highlight w:val="none"/>
          <w:shd w:val="clear" w:color="auto" w:fill="auto"/>
          <w:lang w:val="zh-CN" w:eastAsia="zh-CN" w:bidi="ar-SA"/>
        </w:rPr>
        <w:t>万元，占</w:t>
      </w:r>
      <w:r>
        <w:rPr>
          <w:rFonts w:hint="eastAsia" w:ascii="仿宋_GB2312" w:eastAsia="仿宋_GB2312" w:cs="Times New Roman"/>
          <w:color w:val="auto"/>
          <w:spacing w:val="0"/>
          <w:kern w:val="2"/>
          <w:sz w:val="32"/>
          <w:szCs w:val="32"/>
          <w:highlight w:val="none"/>
          <w:shd w:val="clear" w:color="auto" w:fill="auto"/>
          <w:lang w:val="zh-CN" w:eastAsia="zh-CN" w:bidi="ar-SA"/>
        </w:rPr>
        <w:t>2.13%</w:t>
      </w:r>
      <w:r>
        <w:rPr>
          <w:rFonts w:hint="default" w:ascii="仿宋_GB2312" w:hAnsi="Times New Roman" w:eastAsia="仿宋_GB2312" w:cs="Times New Roman"/>
          <w:color w:val="auto"/>
          <w:spacing w:val="0"/>
          <w:kern w:val="2"/>
          <w:sz w:val="32"/>
          <w:szCs w:val="32"/>
          <w:highlight w:val="none"/>
          <w:shd w:val="clear" w:color="auto" w:fill="auto"/>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shd w:val="clear" w:color="auto" w:fill="auto"/>
          <w:lang w:val="zh-CN" w:eastAsia="zh-CN" w:bidi="ar-SA"/>
        </w:rPr>
      </w:pPr>
      <w:r>
        <w:rPr>
          <w:rFonts w:hint="eastAsia" w:ascii="仿宋_GB2312" w:eastAsia="仿宋_GB2312" w:cs="Times New Roman"/>
          <w:color w:val="auto"/>
          <w:spacing w:val="0"/>
          <w:kern w:val="2"/>
          <w:sz w:val="32"/>
          <w:szCs w:val="32"/>
          <w:highlight w:val="none"/>
          <w:shd w:val="clear" w:color="auto" w:fill="auto"/>
          <w:lang w:val="en-US" w:eastAsia="zh-CN" w:bidi="ar-SA"/>
        </w:rPr>
        <w:t>4</w:t>
      </w:r>
      <w:r>
        <w:rPr>
          <w:rFonts w:hint="default" w:ascii="仿宋_GB2312" w:hAnsi="Times New Roman" w:eastAsia="仿宋_GB2312" w:cs="Times New Roman"/>
          <w:color w:val="auto"/>
          <w:spacing w:val="0"/>
          <w:kern w:val="2"/>
          <w:sz w:val="32"/>
          <w:szCs w:val="32"/>
          <w:highlight w:val="none"/>
          <w:shd w:val="clear" w:color="auto" w:fill="auto"/>
          <w:lang w:val="zh-CN" w:eastAsia="zh-CN" w:bidi="ar-SA"/>
        </w:rPr>
        <w:t>.住房保障支出（类）</w:t>
      </w:r>
      <w:r>
        <w:rPr>
          <w:rFonts w:hint="eastAsia" w:ascii="仿宋_GB2312" w:hAnsi="Times New Roman" w:eastAsia="仿宋_GB2312" w:cs="Times New Roman"/>
          <w:color w:val="auto"/>
          <w:spacing w:val="0"/>
          <w:kern w:val="2"/>
          <w:sz w:val="32"/>
          <w:szCs w:val="32"/>
          <w:highlight w:val="none"/>
          <w:shd w:val="clear" w:color="auto" w:fill="auto"/>
          <w:lang w:val="zh-CN" w:eastAsia="zh-CN" w:bidi="ar-SA"/>
        </w:rPr>
        <w:t>588.18</w:t>
      </w:r>
      <w:r>
        <w:rPr>
          <w:rFonts w:hint="default" w:ascii="仿宋_GB2312" w:hAnsi="Times New Roman" w:eastAsia="仿宋_GB2312" w:cs="Times New Roman"/>
          <w:color w:val="auto"/>
          <w:spacing w:val="0"/>
          <w:kern w:val="2"/>
          <w:sz w:val="32"/>
          <w:szCs w:val="32"/>
          <w:highlight w:val="none"/>
          <w:shd w:val="clear" w:color="auto" w:fill="auto"/>
          <w:lang w:val="zh-CN" w:eastAsia="zh-CN" w:bidi="ar-SA"/>
        </w:rPr>
        <w:t>万元，占</w:t>
      </w:r>
      <w:r>
        <w:rPr>
          <w:rFonts w:hint="eastAsia" w:ascii="仿宋_GB2312" w:eastAsia="仿宋_GB2312" w:cs="Times New Roman"/>
          <w:color w:val="auto"/>
          <w:spacing w:val="0"/>
          <w:kern w:val="2"/>
          <w:sz w:val="32"/>
          <w:szCs w:val="32"/>
          <w:highlight w:val="none"/>
          <w:shd w:val="clear" w:color="auto" w:fill="auto"/>
          <w:lang w:val="zh-CN" w:eastAsia="zh-CN" w:bidi="ar-SA"/>
        </w:rPr>
        <w:t>2.91%</w:t>
      </w:r>
      <w:r>
        <w:rPr>
          <w:rFonts w:hint="default" w:ascii="仿宋_GB2312" w:hAnsi="Times New Roman" w:eastAsia="仿宋_GB2312" w:cs="Times New Roman"/>
          <w:color w:val="auto"/>
          <w:spacing w:val="0"/>
          <w:kern w:val="2"/>
          <w:sz w:val="32"/>
          <w:szCs w:val="32"/>
          <w:highlight w:val="none"/>
          <w:shd w:val="clear" w:color="auto" w:fill="auto"/>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shd w:val="clear" w:color="auto" w:fill="auto"/>
          <w:lang w:val="zh-CN" w:eastAsia="zh-CN" w:bidi="ar-SA"/>
        </w:rPr>
      </w:pPr>
      <w:r>
        <w:rPr>
          <w:rFonts w:hint="eastAsia" w:ascii="仿宋_GB2312" w:eastAsia="仿宋_GB2312" w:cs="Times New Roman"/>
          <w:color w:val="auto"/>
          <w:spacing w:val="0"/>
          <w:kern w:val="2"/>
          <w:sz w:val="32"/>
          <w:szCs w:val="32"/>
          <w:highlight w:val="none"/>
          <w:shd w:val="clear" w:color="auto" w:fill="auto"/>
          <w:lang w:val="en-US" w:eastAsia="zh-CN" w:bidi="ar-SA"/>
        </w:rPr>
        <w:t>5</w:t>
      </w:r>
      <w:r>
        <w:rPr>
          <w:rFonts w:hint="default" w:ascii="仿宋_GB2312" w:hAnsi="Times New Roman" w:eastAsia="仿宋_GB2312" w:cs="Times New Roman"/>
          <w:color w:val="auto"/>
          <w:spacing w:val="0"/>
          <w:kern w:val="2"/>
          <w:sz w:val="32"/>
          <w:szCs w:val="32"/>
          <w:highlight w:val="none"/>
          <w:shd w:val="clear" w:color="auto" w:fill="auto"/>
          <w:lang w:val="zh-CN" w:eastAsia="zh-CN" w:bidi="ar-SA"/>
        </w:rPr>
        <w:t>.其他支出（类）</w:t>
      </w:r>
      <w:r>
        <w:rPr>
          <w:rFonts w:hint="eastAsia" w:ascii="仿宋_GB2312" w:hAnsi="Times New Roman" w:eastAsia="仿宋_GB2312" w:cs="Times New Roman"/>
          <w:color w:val="auto"/>
          <w:spacing w:val="0"/>
          <w:kern w:val="2"/>
          <w:sz w:val="32"/>
          <w:szCs w:val="32"/>
          <w:highlight w:val="none"/>
          <w:shd w:val="clear" w:color="auto" w:fill="auto"/>
          <w:lang w:val="zh-CN" w:eastAsia="zh-CN" w:bidi="ar-SA"/>
        </w:rPr>
        <w:t>9.19</w:t>
      </w:r>
      <w:r>
        <w:rPr>
          <w:rFonts w:hint="default" w:ascii="仿宋_GB2312" w:hAnsi="Times New Roman" w:eastAsia="仿宋_GB2312" w:cs="Times New Roman"/>
          <w:color w:val="auto"/>
          <w:spacing w:val="0"/>
          <w:kern w:val="2"/>
          <w:sz w:val="32"/>
          <w:szCs w:val="32"/>
          <w:highlight w:val="none"/>
          <w:shd w:val="clear" w:color="auto" w:fill="auto"/>
          <w:lang w:val="zh-CN" w:eastAsia="zh-CN" w:bidi="ar-SA"/>
        </w:rPr>
        <w:t>万元，占</w:t>
      </w:r>
      <w:r>
        <w:rPr>
          <w:rFonts w:hint="eastAsia" w:ascii="仿宋_GB2312" w:eastAsia="仿宋_GB2312" w:cs="Times New Roman"/>
          <w:color w:val="auto"/>
          <w:spacing w:val="0"/>
          <w:kern w:val="2"/>
          <w:sz w:val="32"/>
          <w:szCs w:val="32"/>
          <w:highlight w:val="none"/>
          <w:shd w:val="clear" w:color="auto" w:fill="auto"/>
          <w:lang w:val="zh-CN" w:eastAsia="zh-CN" w:bidi="ar-SA"/>
        </w:rPr>
        <w:t>0.05%</w:t>
      </w:r>
      <w:r>
        <w:rPr>
          <w:rFonts w:hint="default" w:ascii="仿宋_GB2312" w:hAnsi="Times New Roman" w:eastAsia="仿宋_GB2312" w:cs="Times New Roman"/>
          <w:color w:val="auto"/>
          <w:spacing w:val="0"/>
          <w:kern w:val="2"/>
          <w:sz w:val="32"/>
          <w:szCs w:val="32"/>
          <w:highlight w:val="none"/>
          <w:shd w:val="clear" w:color="auto" w:fill="auto"/>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1.公共安全支出（类）公安（款）事业运行（项）:支出决算数为941.14万元，比上年决算增加941.14万元，增长100%，主要原因是：本年度经费分为行政运行与事业运行，科目单独核算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2.公共安全支出（类）其他公共安全支出（款）其他公共安全支出（项）:支出决算数为2.28万元，比上年决算增加2.28万元，增长100%，主要原因是：本年度新增了特定目标类项目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行政单位医疗（项）:支出决算数为259.25万元，比上年决算减少67.90万元，下降20.76%，主要原因是：本年度行政人员调出14人、退休12人，行政单位医疗支出较上一年度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4.卫生健康支出（类）行政事业单位医疗（款）事业单位医疗（项）:支出决算数为44.35万元，比上年决算增加15.25万元，增长52.41%，主要原因是：本年度基数调增、事业新招录9人，费用增加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卫生健康支出（类）行政事业单位医疗（款）公务员医疗补助（项）:支出决算数为126.41万元，比上年决算减少22.37万元，下降15.04%，主要原因是：本年度行政人员调出14人、退休12人，公务员医疗支出较上一年度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6.公共安全支出（类）公安（款）执法办案（项）:支出决算数为52.00万元，比上年决算减少10.00万元，下降16.13%，主要原因是：本年度自治区交警专项经费减少，费用减少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7.住房保障支出（类）住房改革支出（款）住房公积金（项）:支出决算数为588.18万元，比上年决算增加60.92万元，增长11.55%，主要原因是：本年度基数调增、费用增加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8.公共安全支出（类）公安（款）行政运行（项）:支出决算数为13,931.94万元，比上年决算减少2,290.54万元，下降14.12%，主要原因是：本年度辅警人员较上年总人数减少近400人，相应费用减少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9.公共安全支出（类）公安（款）其他公安支出（项）:支出决算数为3,385.08万元，比上年决算增加322.42万元，增长10.53%，主要原因是：本年度中央转移支付资金较上年增加，费用增加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10.社会保障和就业支出（类）行政事业单位养老支出（款）行政单位离退休（项）:支出决算数为72.22万元，比上年决算增加31.01万元，增长75.25%，主要原因是：本年度退休人员增加12人、费用增加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机关事业单位职业年金缴费支出（项）:支出决算数为92.76万元，比上年决算减少0.19万元，下降0.20%，主要原因是：本年度在职转退休人员较上年减少，职业年金费用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12.社会保障和就业支出（类）行政事业单位养老支出（款）机关事业单位基本养老保险缴费支出（项）:支出决算数为692.98万元，比上年决算增加98.59万元，增长16.59%，主要原因是：</w:t>
      </w:r>
      <w:r>
        <w:rPr>
          <w:rFonts w:hint="eastAsia" w:ascii="仿宋_GB2312" w:hAnsi="宋体" w:eastAsia="仿宋_GB2312" w:cs="宋体"/>
          <w:kern w:val="0"/>
          <w:sz w:val="32"/>
          <w:szCs w:val="32"/>
          <w:highlight w:val="none"/>
          <w:lang w:val="en-US" w:eastAsia="zh-CN"/>
        </w:rPr>
        <w:t>工资调增，</w:t>
      </w:r>
      <w:r>
        <w:rPr>
          <w:rFonts w:hint="eastAsia" w:ascii="仿宋_GB2312" w:hAnsi="宋体" w:eastAsia="仿宋_GB2312" w:cs="宋体"/>
          <w:kern w:val="0"/>
          <w:sz w:val="32"/>
          <w:szCs w:val="32"/>
          <w:highlight w:val="none"/>
        </w:rPr>
        <w:t>单位人员基本养老保险缴费基数调增</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13.其他支出（类）其他支出（款）其他支出（项）:支出决算数为9.19万元，比上年决算减少10.58万元，下降53.52%，主要原因是：2023年专项业务经费项目资金较上年减少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14.科学技术支出（类）技术研究与开发（款）科技成果转化与扩散（项）:支出决算数为0.00万元，比上年决算减少43.40万元，下降100%，主要原因是：本年无此项经费支出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16,749.22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15,293.18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1,456.04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办公费、水费、电费、邮电费、取暖费、物业管理费、差旅费、维修（护）费、租赁费、培训费、专用材料费、被装购置费、劳务费、工会经费、公务用车运行维护费、其他交通费用、其他商品和服务支出。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“三公”经费支出795.36万元，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减少185.78万元，</w:t>
      </w:r>
      <w:r>
        <w:rPr>
          <w:rFonts w:hint="eastAsia" w:ascii="仿宋_GB2312" w:eastAsia="仿宋_GB2312"/>
          <w:color w:val="auto"/>
          <w:spacing w:val="0"/>
          <w:sz w:val="32"/>
          <w:szCs w:val="32"/>
          <w:highlight w:val="none"/>
          <w:lang w:val="en-US" w:eastAsia="zh-CN"/>
        </w:rPr>
        <w:t>下降18.94%,</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本年度警车巡逻模式改变，同时使用电车，车辆油费、维修费支出减少</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本年度无</w:t>
      </w:r>
      <w:r>
        <w:rPr>
          <w:rFonts w:hint="eastAsia" w:ascii="仿宋_GB2312" w:eastAsia="仿宋_GB2312"/>
          <w:color w:val="auto"/>
          <w:sz w:val="32"/>
          <w:szCs w:val="32"/>
          <w:highlight w:val="none"/>
          <w:lang w:val="zh-CN" w:eastAsia="zh-CN"/>
        </w:rPr>
        <w:t>因公出国（境）费支出；公务用车购置及运行维护费支出795.36万元，占100.00%，比上年减少185.78万元，</w:t>
      </w:r>
      <w:r>
        <w:rPr>
          <w:rFonts w:hint="eastAsia" w:ascii="仿宋_GB2312" w:eastAsia="仿宋_GB2312"/>
          <w:color w:val="auto"/>
          <w:spacing w:val="0"/>
          <w:sz w:val="32"/>
          <w:szCs w:val="32"/>
          <w:highlight w:val="none"/>
          <w:lang w:val="en-US" w:eastAsia="zh-CN"/>
        </w:rPr>
        <w:t>下降18.94%,</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本年度警车巡逻模式改变，同时租用电车，车辆油费、维修费支出减少</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本年度无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因公出国（境）费。单位全年安排的因公出国（境）团组0个，因公出国（境）0人次。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公务用车购置及运行维护费795.36万元，其中：公务用车购置费0.00万元，公务用车运行维护费795.36万元。公务用车运行维护费开支内容包括</w:t>
      </w:r>
      <w:r>
        <w:rPr>
          <w:rFonts w:hint="eastAsia" w:ascii="仿宋_GB2312" w:eastAsia="仿宋_GB2312"/>
          <w:color w:val="auto"/>
          <w:sz w:val="32"/>
          <w:szCs w:val="32"/>
          <w:highlight w:val="none"/>
          <w:lang w:val="en-US" w:eastAsia="zh-CN"/>
        </w:rPr>
        <w:t>车辆燃油费、车辆维修费、车辆保险费</w:t>
      </w:r>
      <w:r>
        <w:rPr>
          <w:rFonts w:hint="eastAsia" w:ascii="仿宋_GB2312" w:eastAsia="仿宋_GB2312"/>
          <w:color w:val="auto"/>
          <w:sz w:val="32"/>
          <w:szCs w:val="32"/>
          <w:highlight w:val="none"/>
          <w:lang w:val="zh-CN" w:eastAsia="zh-CN"/>
        </w:rPr>
        <w:t>。公务用车购置数0辆，公务用车保有量393辆。国有资产占用情况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393辆，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固定资产车辆与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预算数795.36万元，决算数795.36万元，预决算差异率0.00%，主要原因是：</w:t>
      </w:r>
      <w:r>
        <w:rPr>
          <w:rFonts w:hint="eastAsia" w:ascii="仿宋_GB2312" w:eastAsia="仿宋_GB2312"/>
          <w:color w:val="auto"/>
          <w:sz w:val="32"/>
          <w:szCs w:val="32"/>
          <w:highlight w:val="none"/>
          <w:lang w:val="en-US" w:eastAsia="zh-CN"/>
        </w:rPr>
        <w:t>严格按预算执行，无差异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本年度无</w:t>
      </w:r>
      <w:r>
        <w:rPr>
          <w:rFonts w:hint="eastAsia" w:ascii="仿宋_GB2312" w:eastAsia="仿宋_GB2312"/>
          <w:color w:val="auto"/>
          <w:sz w:val="32"/>
          <w:szCs w:val="32"/>
          <w:highlight w:val="none"/>
          <w:lang w:val="zh-CN" w:eastAsia="zh-CN"/>
        </w:rPr>
        <w:t>因公出国（境）费支出；公务用车购置费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本年度无</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预算数795.36万元，决算数795.36万元，预决算差异率0.00%，主要原因是：</w:t>
      </w:r>
      <w:r>
        <w:rPr>
          <w:rFonts w:hint="eastAsia" w:ascii="仿宋_GB2312" w:eastAsia="仿宋_GB2312"/>
          <w:color w:val="auto"/>
          <w:sz w:val="32"/>
          <w:szCs w:val="32"/>
          <w:highlight w:val="none"/>
          <w:lang w:val="en-US" w:eastAsia="zh-CN"/>
        </w:rPr>
        <w:t>严格按预算执行，无差异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本年度无</w:t>
      </w:r>
      <w:r>
        <w:rPr>
          <w:rFonts w:hint="eastAsia" w:ascii="仿宋_GB2312" w:eastAsia="仿宋_GB2312"/>
          <w:color w:val="auto"/>
          <w:sz w:val="32"/>
          <w:szCs w:val="32"/>
          <w:highlight w:val="none"/>
          <w:lang w:val="zh-CN" w:eastAsia="zh-CN"/>
        </w:rPr>
        <w:t>公务</w:t>
      </w:r>
      <w:r>
        <w:rPr>
          <w:rFonts w:hint="eastAsia" w:ascii="仿宋_GB2312" w:eastAsia="仿宋_GB2312"/>
          <w:color w:val="auto"/>
          <w:sz w:val="32"/>
          <w:szCs w:val="32"/>
          <w:highlight w:val="none"/>
          <w:lang w:val="en-US" w:eastAsia="zh-CN"/>
        </w:rPr>
        <w:t>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沙湾市公安局（行政单位和参照公务员法管理事业单位）机关运行经费支出1,456.04万元，</w:t>
      </w:r>
      <w:r>
        <w:rPr>
          <w:rFonts w:hint="eastAsia" w:ascii="仿宋_GB2312" w:hAnsi="仿宋_GB2312" w:eastAsia="仿宋_GB2312" w:cs="仿宋_GB2312"/>
          <w:color w:val="auto"/>
          <w:sz w:val="32"/>
          <w:szCs w:val="32"/>
          <w:highlight w:val="none"/>
          <w:lang w:val="zh-CN" w:eastAsia="zh-CN"/>
        </w:rPr>
        <w:t>比上年增加14.92万元，增长1.04%，主要原因是：2023年我局加大</w:t>
      </w:r>
      <w:r>
        <w:rPr>
          <w:rFonts w:hint="eastAsia" w:ascii="仿宋_GB2312" w:hAnsi="仿宋_GB2312" w:eastAsia="仿宋_GB2312" w:cs="仿宋_GB2312"/>
          <w:color w:val="auto"/>
          <w:sz w:val="32"/>
          <w:szCs w:val="32"/>
          <w:highlight w:val="none"/>
          <w:lang w:val="en-US" w:eastAsia="zh-CN"/>
        </w:rPr>
        <w:t>民警外出培训工作</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相应费用增加</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801.75万元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其中：政府采购货物支出59.65万元、政府采购工程支出0.00万元、政府采购服务支出742.10万元。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授予中小企业合同金额478.92万元，占政府采购支出总额的59.73%，其中：授予小微企业合同金额478.92万元，占政府采购支出总额的59.73%</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44,275.38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屋64,650.75平方米，价值14,653.13万元。车辆393辆，价值4,675.58万元，其中：副部（省）级及以上领导用车0辆、主要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用车0辆、机要通信用车0辆、应急保障用车1辆、执法执勤用车383辆、</w:t>
      </w:r>
      <w:r>
        <w:rPr>
          <w:rFonts w:hint="eastAsia" w:ascii="仿宋_GB2312" w:hAnsi="仿宋_GB2312" w:eastAsia="仿宋_GB2312" w:cs="仿宋_GB2312"/>
          <w:color w:val="auto"/>
          <w:sz w:val="32"/>
          <w:szCs w:val="32"/>
          <w:highlight w:val="none"/>
          <w:lang w:val="en-US" w:eastAsia="zh-CN"/>
        </w:rPr>
        <w:t>其他</w:t>
      </w:r>
      <w:r>
        <w:rPr>
          <w:rFonts w:hint="eastAsia" w:ascii="仿宋_GB2312" w:hAnsi="仿宋_GB2312" w:eastAsia="仿宋_GB2312" w:cs="仿宋_GB2312"/>
          <w:color w:val="auto"/>
          <w:sz w:val="32"/>
          <w:szCs w:val="32"/>
          <w:highlight w:val="none"/>
          <w:lang w:val="zh-CN" w:eastAsia="zh-CN"/>
        </w:rPr>
        <w:t>技术用车9辆、离退休干部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hAnsi="仿宋_GB2312" w:eastAsia="仿宋_GB2312" w:cs="仿宋_GB2312"/>
          <w:color w:val="auto"/>
          <w:sz w:val="32"/>
          <w:szCs w:val="32"/>
          <w:highlight w:val="none"/>
          <w:lang w:val="en-US" w:eastAsia="zh-CN"/>
        </w:rPr>
        <w:t>无其他用车</w:t>
      </w:r>
      <w:r>
        <w:rPr>
          <w:rFonts w:hint="eastAsia" w:ascii="仿宋_GB2312" w:hAnsi="仿宋_GB2312" w:eastAsia="仿宋_GB2312" w:cs="仿宋_GB2312"/>
          <w:color w:val="auto"/>
          <w:sz w:val="32"/>
          <w:szCs w:val="32"/>
          <w:highlight w:val="none"/>
          <w:lang w:val="zh-CN" w:eastAsia="zh-CN"/>
        </w:rPr>
        <w:t>；单价100万元（含）以上设备（不含车辆）17</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预算总额20264.36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实际执行总额20264.36</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18</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全年预算数4539.35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全年执行数3515.13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本单位sm项目12个，全年预算数3809万元，全年执行数2784.78万元，不予以公开</w:t>
      </w:r>
      <w:r>
        <w:rPr>
          <w:rFonts w:hint="eastAsia" w:ascii="仿宋_GB2312" w:eastAsia="仿宋_GB2312"/>
          <w:color w:val="auto"/>
          <w:sz w:val="32"/>
          <w:szCs w:val="32"/>
          <w:highlight w:val="none"/>
          <w:lang w:eastAsia="zh-CN"/>
        </w:rPr>
        <w:t>。预算绩效管理取得的成效：一是通过对每笔资金的细致化管理来保障资金使用的合规、合法性，并</w:t>
      </w:r>
      <w:bookmarkStart w:id="48" w:name="_GoBack"/>
      <w:bookmarkEnd w:id="48"/>
      <w:r>
        <w:rPr>
          <w:rFonts w:hint="eastAsia" w:ascii="仿宋_GB2312" w:eastAsia="仿宋_GB2312"/>
          <w:color w:val="auto"/>
          <w:sz w:val="32"/>
          <w:szCs w:val="32"/>
          <w:highlight w:val="none"/>
          <w:lang w:eastAsia="zh-CN"/>
        </w:rPr>
        <w:t>据此分析各类资金支出产生的效益，使本单位的绩效工作上一个新台阶；二是部门整体支出绩效管理，各办公室应由被动管理向自觉管理转变，积极主动培养工作的自觉性和严格预算绩效管理。发现的问题及原因：一是经费预算编制精准度有待提高。由于预算执行中的不确定性，实际经费核算的科目、支出内容与预算会出现一定偏差；二是预算编制工作有细化，合理性有待提高，执行力度要进一步加强。下一步改进措施：一是强化支出预算约束，进一步提高年初预算编制的科学性和准确性，完善预算执行动态约束机制，加强财政预算资金管理，统筹协调推进项目执行，提高财政资金效益和效果；二是将进一步加强绩效管理工作人员的培训和学习工作。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仿宋_GB2312" w:eastAsia="仿宋_GB2312"/>
          <w:color w:val="auto"/>
          <w:sz w:val="32"/>
          <w:szCs w:val="32"/>
          <w:highlight w:val="none"/>
          <w:lang w:val="en-US" w:eastAsia="zh-CN"/>
        </w:rPr>
        <w:t>本单位sm项目12个，全年预算数3809万元，全年执行数2583.71万元，不予以公开绩效自评表。</w:t>
      </w:r>
      <w:r>
        <w:rPr>
          <w:rFonts w:hint="eastAsia" w:ascii="仿宋_GB2312" w:eastAsia="仿宋_GB2312"/>
          <w:color w:val="auto"/>
          <w:sz w:val="32"/>
          <w:szCs w:val="32"/>
          <w:highlight w:val="none"/>
          <w:lang w:eastAsia="zh-CN"/>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4C6AA1"/>
    <w:rsid w:val="00B70D59"/>
    <w:rsid w:val="00C66A10"/>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576C63"/>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8603DA"/>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8346DE"/>
    <w:rsid w:val="14207DC0"/>
    <w:rsid w:val="143755C5"/>
    <w:rsid w:val="14B932DA"/>
    <w:rsid w:val="150A66AF"/>
    <w:rsid w:val="154C1139"/>
    <w:rsid w:val="158C5B77"/>
    <w:rsid w:val="160D1149"/>
    <w:rsid w:val="163563C0"/>
    <w:rsid w:val="164315EF"/>
    <w:rsid w:val="16557DFE"/>
    <w:rsid w:val="167268FB"/>
    <w:rsid w:val="16770D0A"/>
    <w:rsid w:val="169A0039"/>
    <w:rsid w:val="16D50C50"/>
    <w:rsid w:val="16E120E1"/>
    <w:rsid w:val="172624C1"/>
    <w:rsid w:val="17385A05"/>
    <w:rsid w:val="173B3901"/>
    <w:rsid w:val="176747F9"/>
    <w:rsid w:val="17954A6E"/>
    <w:rsid w:val="17BE2C86"/>
    <w:rsid w:val="180059E9"/>
    <w:rsid w:val="18412792"/>
    <w:rsid w:val="184510FD"/>
    <w:rsid w:val="190648B0"/>
    <w:rsid w:val="19071D6C"/>
    <w:rsid w:val="1980503F"/>
    <w:rsid w:val="19D26CD4"/>
    <w:rsid w:val="19E60D19"/>
    <w:rsid w:val="1A3E3450"/>
    <w:rsid w:val="1A5A4BDB"/>
    <w:rsid w:val="1ACE7207"/>
    <w:rsid w:val="1AD807E5"/>
    <w:rsid w:val="1B39345B"/>
    <w:rsid w:val="1BFB2A1F"/>
    <w:rsid w:val="1C015D4A"/>
    <w:rsid w:val="1C290ED5"/>
    <w:rsid w:val="1C317E4F"/>
    <w:rsid w:val="1C472464"/>
    <w:rsid w:val="1D22799A"/>
    <w:rsid w:val="1D350BCA"/>
    <w:rsid w:val="1D5C1A72"/>
    <w:rsid w:val="1DAF458D"/>
    <w:rsid w:val="1E086ACE"/>
    <w:rsid w:val="1E62130A"/>
    <w:rsid w:val="1E8526E0"/>
    <w:rsid w:val="1E97358B"/>
    <w:rsid w:val="1EAA4A5F"/>
    <w:rsid w:val="1EE869A7"/>
    <w:rsid w:val="1F3F37CF"/>
    <w:rsid w:val="1FA15E62"/>
    <w:rsid w:val="1FED69B6"/>
    <w:rsid w:val="201A6C0D"/>
    <w:rsid w:val="2064678E"/>
    <w:rsid w:val="20DC1AB9"/>
    <w:rsid w:val="20DD6197"/>
    <w:rsid w:val="212631E0"/>
    <w:rsid w:val="2138666F"/>
    <w:rsid w:val="21742080"/>
    <w:rsid w:val="21A53757"/>
    <w:rsid w:val="21F879E1"/>
    <w:rsid w:val="221236C6"/>
    <w:rsid w:val="22681577"/>
    <w:rsid w:val="22D7662C"/>
    <w:rsid w:val="23326B7F"/>
    <w:rsid w:val="2380045B"/>
    <w:rsid w:val="23BC04D2"/>
    <w:rsid w:val="23EF1892"/>
    <w:rsid w:val="244A791A"/>
    <w:rsid w:val="2483647E"/>
    <w:rsid w:val="24A32D55"/>
    <w:rsid w:val="24CE6D9A"/>
    <w:rsid w:val="25292727"/>
    <w:rsid w:val="252E5CA9"/>
    <w:rsid w:val="256F7692"/>
    <w:rsid w:val="25BA2154"/>
    <w:rsid w:val="25C8773F"/>
    <w:rsid w:val="26235823"/>
    <w:rsid w:val="264A7253"/>
    <w:rsid w:val="268C25D5"/>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B9771F"/>
    <w:rsid w:val="2CC206BE"/>
    <w:rsid w:val="2D1136DF"/>
    <w:rsid w:val="2D20606D"/>
    <w:rsid w:val="2D49302E"/>
    <w:rsid w:val="2D544803"/>
    <w:rsid w:val="2D6729FE"/>
    <w:rsid w:val="2DB87198"/>
    <w:rsid w:val="2DB93C54"/>
    <w:rsid w:val="2E3D144C"/>
    <w:rsid w:val="2E891204"/>
    <w:rsid w:val="2EF45F48"/>
    <w:rsid w:val="2F3F0A28"/>
    <w:rsid w:val="2FBF7029"/>
    <w:rsid w:val="2FD0187F"/>
    <w:rsid w:val="2FD27414"/>
    <w:rsid w:val="2FFE4BB0"/>
    <w:rsid w:val="300E7B60"/>
    <w:rsid w:val="300F6E18"/>
    <w:rsid w:val="30862F5F"/>
    <w:rsid w:val="30A4775A"/>
    <w:rsid w:val="30DE4F9E"/>
    <w:rsid w:val="30E508CB"/>
    <w:rsid w:val="314029C9"/>
    <w:rsid w:val="31C63837"/>
    <w:rsid w:val="31C82E39"/>
    <w:rsid w:val="32601BAD"/>
    <w:rsid w:val="329F6389"/>
    <w:rsid w:val="3389023A"/>
    <w:rsid w:val="33CB74FA"/>
    <w:rsid w:val="343642F2"/>
    <w:rsid w:val="343F3010"/>
    <w:rsid w:val="345D0A00"/>
    <w:rsid w:val="34713BFD"/>
    <w:rsid w:val="34C13589"/>
    <w:rsid w:val="353369E3"/>
    <w:rsid w:val="35B21E0B"/>
    <w:rsid w:val="35CE3FAE"/>
    <w:rsid w:val="35E00D72"/>
    <w:rsid w:val="36965B9D"/>
    <w:rsid w:val="36C45954"/>
    <w:rsid w:val="36C549FD"/>
    <w:rsid w:val="3737416F"/>
    <w:rsid w:val="37783861"/>
    <w:rsid w:val="37A755DD"/>
    <w:rsid w:val="37F33BFE"/>
    <w:rsid w:val="37F94FA0"/>
    <w:rsid w:val="380D3381"/>
    <w:rsid w:val="38115B1F"/>
    <w:rsid w:val="383E5078"/>
    <w:rsid w:val="385E3AC3"/>
    <w:rsid w:val="387D6B9E"/>
    <w:rsid w:val="38B75FF0"/>
    <w:rsid w:val="38D45016"/>
    <w:rsid w:val="38D90432"/>
    <w:rsid w:val="3914510A"/>
    <w:rsid w:val="3926770B"/>
    <w:rsid w:val="397D2D6C"/>
    <w:rsid w:val="3982065B"/>
    <w:rsid w:val="398D3668"/>
    <w:rsid w:val="39DA0497"/>
    <w:rsid w:val="3A893816"/>
    <w:rsid w:val="3A893B6D"/>
    <w:rsid w:val="3AD1763A"/>
    <w:rsid w:val="3B196883"/>
    <w:rsid w:val="3B2F33E4"/>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2E70E4"/>
    <w:rsid w:val="42C10D7B"/>
    <w:rsid w:val="434E6957"/>
    <w:rsid w:val="43BA0E31"/>
    <w:rsid w:val="43C15147"/>
    <w:rsid w:val="43E14DD2"/>
    <w:rsid w:val="43F800E9"/>
    <w:rsid w:val="443A7E4B"/>
    <w:rsid w:val="444A7D08"/>
    <w:rsid w:val="4464362D"/>
    <w:rsid w:val="45033FDE"/>
    <w:rsid w:val="452F5B3A"/>
    <w:rsid w:val="454E7FD2"/>
    <w:rsid w:val="45BA746B"/>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BD608B"/>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BF50565"/>
    <w:rsid w:val="4C200F7A"/>
    <w:rsid w:val="4CEE3180"/>
    <w:rsid w:val="4CF308E8"/>
    <w:rsid w:val="4D0F4AF6"/>
    <w:rsid w:val="4D2B03B7"/>
    <w:rsid w:val="4D431FCE"/>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54A22"/>
    <w:rsid w:val="50DB5F45"/>
    <w:rsid w:val="51025EB1"/>
    <w:rsid w:val="51141503"/>
    <w:rsid w:val="513C450E"/>
    <w:rsid w:val="518D0ED5"/>
    <w:rsid w:val="51D1154A"/>
    <w:rsid w:val="525C687F"/>
    <w:rsid w:val="52A3740A"/>
    <w:rsid w:val="52F647F7"/>
    <w:rsid w:val="52F92565"/>
    <w:rsid w:val="53AE735E"/>
    <w:rsid w:val="53D03877"/>
    <w:rsid w:val="542F73CA"/>
    <w:rsid w:val="5430786D"/>
    <w:rsid w:val="543E42BE"/>
    <w:rsid w:val="545A1D2A"/>
    <w:rsid w:val="54C811C0"/>
    <w:rsid w:val="54CD478A"/>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D96AB2"/>
    <w:rsid w:val="5AF80B40"/>
    <w:rsid w:val="5AFC6609"/>
    <w:rsid w:val="5B113480"/>
    <w:rsid w:val="5BD456CE"/>
    <w:rsid w:val="5C0D1F49"/>
    <w:rsid w:val="5CBB0CE2"/>
    <w:rsid w:val="5CC17177"/>
    <w:rsid w:val="5CF306BC"/>
    <w:rsid w:val="5D3F3D64"/>
    <w:rsid w:val="5D833043"/>
    <w:rsid w:val="5DD92690"/>
    <w:rsid w:val="5DDB1CFD"/>
    <w:rsid w:val="5DDC452D"/>
    <w:rsid w:val="5DF602D2"/>
    <w:rsid w:val="5E7E696E"/>
    <w:rsid w:val="5E7E6D93"/>
    <w:rsid w:val="5E82459B"/>
    <w:rsid w:val="5ED44800"/>
    <w:rsid w:val="5F1B21C9"/>
    <w:rsid w:val="5F350BDE"/>
    <w:rsid w:val="5F507B05"/>
    <w:rsid w:val="5F61632C"/>
    <w:rsid w:val="5FA17648"/>
    <w:rsid w:val="5FE705CB"/>
    <w:rsid w:val="6007714E"/>
    <w:rsid w:val="603D5080"/>
    <w:rsid w:val="606842D0"/>
    <w:rsid w:val="60877A9F"/>
    <w:rsid w:val="60D0261B"/>
    <w:rsid w:val="618E3791"/>
    <w:rsid w:val="61947DCA"/>
    <w:rsid w:val="61A46A97"/>
    <w:rsid w:val="61D1382F"/>
    <w:rsid w:val="61F114A2"/>
    <w:rsid w:val="622B0ABA"/>
    <w:rsid w:val="62512BB4"/>
    <w:rsid w:val="625D7D1A"/>
    <w:rsid w:val="62660469"/>
    <w:rsid w:val="62DD7D21"/>
    <w:rsid w:val="637D586B"/>
    <w:rsid w:val="63A5560B"/>
    <w:rsid w:val="63D15AB8"/>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6CC2448"/>
    <w:rsid w:val="66FA3374"/>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4F4E22"/>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513991"/>
    <w:rsid w:val="776526CC"/>
    <w:rsid w:val="77A262E1"/>
    <w:rsid w:val="77B13C33"/>
    <w:rsid w:val="77CD7B18"/>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96E2D"/>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4</TotalTime>
  <ScaleCrop>false</ScaleCrop>
  <LinksUpToDate>false</LinksUpToDate>
  <CharactersWithSpaces>22618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2025-04-10T11:04:03Z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