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rPr>
          <w:rFonts w:ascii="方正小标宋_GBK" w:hAnsi="华文中宋" w:eastAsia="方正小标宋_GBK" w:cs="宋体"/>
          <w:color w:val="auto"/>
          <w:kern w:val="0"/>
          <w:sz w:val="44"/>
          <w:szCs w:val="44"/>
          <w:highlight w:val="none"/>
          <w:lang w:eastAsia="zh-Hans"/>
        </w:rPr>
      </w:pPr>
    </w:p>
    <w:p>
      <w:pPr>
        <w:pStyle w:val="2"/>
        <w:rPr>
          <w:color w:val="auto"/>
          <w:highlight w:val="none"/>
          <w:lang w:eastAsia="zh-Hans"/>
        </w:rPr>
      </w:pPr>
    </w:p>
    <w:p>
      <w:pPr>
        <w:spacing w:line="600" w:lineRule="exact"/>
        <w:ind w:firstLine="0" w:firstLineChars="0"/>
        <w:jc w:val="center"/>
        <w:rPr>
          <w:rFonts w:hint="eastAsia" w:ascii="方正小标宋_GBK" w:hAnsi="华文中宋" w:eastAsia="方正小标宋_GBK" w:cs="宋体"/>
          <w:color w:val="auto"/>
          <w:kern w:val="0"/>
          <w:sz w:val="44"/>
          <w:szCs w:val="44"/>
          <w:highlight w:val="none"/>
          <w:lang w:eastAsia="zh-Hans"/>
        </w:rPr>
      </w:pPr>
    </w:p>
    <w:p>
      <w:pPr>
        <w:spacing w:line="600" w:lineRule="exact"/>
        <w:ind w:firstLine="0" w:firstLineChars="0"/>
        <w:jc w:val="center"/>
        <w:rPr>
          <w:rFonts w:ascii="方正小标宋_GBK" w:hAnsi="华文中宋" w:eastAsia="方正小标宋_GBK" w:cs="宋体"/>
          <w:color w:val="auto"/>
          <w:kern w:val="0"/>
          <w:sz w:val="44"/>
          <w:szCs w:val="44"/>
          <w:highlight w:val="none"/>
          <w:lang w:eastAsia="zh-Hans"/>
        </w:rPr>
      </w:pPr>
    </w:p>
    <w:p>
      <w:pPr>
        <w:spacing w:line="360" w:lineRule="auto"/>
        <w:ind w:firstLine="0" w:firstLineChars="0"/>
        <w:jc w:val="center"/>
        <w:rPr>
          <w:rFonts w:ascii="方正小标宋_GBK" w:hAnsi="华文中宋" w:eastAsia="方正小标宋_GBK" w:cs="宋体"/>
          <w:color w:val="auto"/>
          <w:kern w:val="0"/>
          <w:sz w:val="44"/>
          <w:szCs w:val="44"/>
          <w:highlight w:val="none"/>
        </w:rPr>
      </w:pPr>
      <w:r>
        <w:rPr>
          <w:rFonts w:hint="eastAsia" w:ascii="方正小标宋_GBK" w:hAnsi="华文中宋" w:eastAsia="方正小标宋_GBK" w:cs="宋体"/>
          <w:color w:val="auto"/>
          <w:kern w:val="0"/>
          <w:sz w:val="44"/>
          <w:szCs w:val="44"/>
          <w:highlight w:val="none"/>
          <w:lang w:val="en-US" w:eastAsia="zh-CN"/>
        </w:rPr>
        <w:t>中共塔城地区沙湾市人民政府办公室</w:t>
      </w:r>
      <w:r>
        <w:rPr>
          <w:rFonts w:hint="eastAsia" w:ascii="方正小标宋_GBK" w:hAnsi="华文中宋" w:eastAsia="方正小标宋_GBK" w:cs="宋体"/>
          <w:color w:val="auto"/>
          <w:kern w:val="0"/>
          <w:sz w:val="44"/>
          <w:szCs w:val="44"/>
          <w:highlight w:val="none"/>
        </w:rPr>
        <w:t>部门单位整体支出绩效自评报告</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（202</w:t>
      </w:r>
      <w:r>
        <w:rPr>
          <w:rFonts w:hint="eastAsia" w:ascii="仿宋_GB2312" w:hAnsi="宋体" w:eastAsia="仿宋_GB2312" w:cs="宋体"/>
          <w:color w:val="auto"/>
          <w:kern w:val="0"/>
          <w:sz w:val="36"/>
          <w:szCs w:val="36"/>
          <w:highlight w:val="none"/>
          <w:lang w:val="en-US" w:eastAsia="zh-CN"/>
        </w:rPr>
        <w:t>3</w:t>
      </w:r>
      <w:r>
        <w:rPr>
          <w:rFonts w:hint="eastAsia" w:ascii="仿宋_GB2312" w:hAnsi="宋体" w:eastAsia="仿宋_GB2312" w:cs="宋体"/>
          <w:color w:val="auto"/>
          <w:kern w:val="0"/>
          <w:sz w:val="36"/>
          <w:szCs w:val="36"/>
          <w:highlight w:val="none"/>
        </w:rPr>
        <w:t>年度</w:t>
      </w:r>
      <w:r>
        <w:rPr>
          <w:rFonts w:hint="eastAsia" w:ascii="仿宋_GB2312" w:hAnsi="Malgun Gothic Semilight" w:eastAsia="仿宋_GB2312" w:cs="Malgun Gothic Semilight"/>
          <w:color w:val="auto"/>
          <w:kern w:val="0"/>
          <w:sz w:val="36"/>
          <w:szCs w:val="36"/>
          <w:highlight w:val="none"/>
        </w:rPr>
        <w:t>）</w:t>
      </w: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ind w:firstLine="0" w:firstLineChars="0"/>
        <w:jc w:val="both"/>
        <w:rPr>
          <w:rFonts w:ascii="华文中宋" w:hAnsi="华文中宋" w:eastAsia="华文中宋" w:cs="宋体"/>
          <w:b/>
          <w:color w:val="auto"/>
          <w:kern w:val="0"/>
          <w:sz w:val="52"/>
          <w:szCs w:val="52"/>
          <w:highlight w:val="none"/>
        </w:rPr>
      </w:pPr>
    </w:p>
    <w:p>
      <w:pPr>
        <w:ind w:firstLine="0" w:firstLineChars="0"/>
        <w:jc w:val="center"/>
        <w:rPr>
          <w:rFonts w:hint="eastAsia" w:ascii="华文中宋" w:hAnsi="华文中宋" w:eastAsia="华文中宋" w:cs="宋体"/>
          <w:b/>
          <w:color w:val="auto"/>
          <w:kern w:val="0"/>
          <w:sz w:val="52"/>
          <w:szCs w:val="52"/>
          <w:highlight w:val="none"/>
        </w:rPr>
      </w:pPr>
    </w:p>
    <w:p>
      <w:pPr>
        <w:ind w:firstLine="0" w:firstLineChars="0"/>
        <w:jc w:val="center"/>
        <w:rPr>
          <w:rFonts w:ascii="华文中宋" w:hAnsi="华文中宋" w:eastAsia="华文中宋" w:cs="宋体"/>
          <w:b/>
          <w:color w:val="auto"/>
          <w:kern w:val="0"/>
          <w:sz w:val="52"/>
          <w:szCs w:val="52"/>
          <w:highlight w:val="none"/>
        </w:rPr>
      </w:pPr>
    </w:p>
    <w:p>
      <w:pPr>
        <w:spacing w:line="600" w:lineRule="exact"/>
        <w:ind w:firstLine="640"/>
        <w:rPr>
          <w:rFonts w:hint="default" w:ascii="黑体" w:hAnsi="黑体" w:eastAsia="黑体" w:cs="黑体"/>
          <w:bCs/>
          <w:color w:val="auto"/>
          <w:sz w:val="32"/>
          <w:szCs w:val="32"/>
          <w:highlight w:val="none"/>
          <w:lang w:val="en-US" w:eastAsia="zh-CN"/>
        </w:rPr>
      </w:pPr>
      <w:r>
        <w:rPr>
          <w:rFonts w:hint="eastAsia" w:ascii="黑体" w:hAnsi="黑体" w:eastAsia="黑体" w:cs="黑体"/>
          <w:bCs/>
          <w:color w:val="auto"/>
          <w:sz w:val="32"/>
          <w:szCs w:val="32"/>
          <w:highlight w:val="none"/>
        </w:rPr>
        <w:t>部门单位名称（公章）：</w:t>
      </w:r>
      <w:r>
        <w:rPr>
          <w:rFonts w:hint="eastAsia" w:ascii="黑体" w:hAnsi="黑体" w:eastAsia="黑体" w:cs="黑体"/>
          <w:bCs/>
          <w:color w:val="auto"/>
          <w:sz w:val="32"/>
          <w:szCs w:val="32"/>
          <w:highlight w:val="none"/>
          <w:lang w:val="en-US" w:eastAsia="zh-CN"/>
        </w:rPr>
        <w:t>沙湾市人民政府办公室</w:t>
      </w:r>
    </w:p>
    <w:p>
      <w:pPr>
        <w:spacing w:line="600" w:lineRule="exact"/>
        <w:ind w:firstLine="640"/>
        <w:rPr>
          <w:rFonts w:hint="eastAsia" w:ascii="仿宋_GB2312" w:eastAsia="仿宋_GB2312"/>
          <w:b/>
          <w:bCs/>
          <w:color w:val="auto"/>
          <w:sz w:val="32"/>
          <w:szCs w:val="32"/>
          <w:highlight w:val="none"/>
        </w:rPr>
      </w:pPr>
      <w:r>
        <w:rPr>
          <w:rFonts w:hint="eastAsia" w:ascii="黑体" w:hAnsi="黑体" w:eastAsia="黑体" w:cs="黑体"/>
          <w:bCs/>
          <w:color w:val="auto"/>
          <w:sz w:val="32"/>
          <w:szCs w:val="32"/>
          <w:highlight w:val="none"/>
        </w:rPr>
        <w:t>填报时间：</w:t>
      </w:r>
      <w:r>
        <w:rPr>
          <w:rFonts w:hint="eastAsia" w:ascii="黑体" w:hAnsi="黑体" w:eastAsia="黑体" w:cs="黑体"/>
          <w:bCs/>
          <w:color w:val="auto"/>
          <w:sz w:val="32"/>
          <w:szCs w:val="32"/>
          <w:highlight w:val="none"/>
          <w:lang w:val="en-US" w:eastAsia="zh-CN"/>
        </w:rPr>
        <w:t>2024</w:t>
      </w:r>
      <w:r>
        <w:rPr>
          <w:rFonts w:hint="eastAsia" w:ascii="黑体" w:hAnsi="黑体" w:eastAsia="黑体" w:cs="黑体"/>
          <w:bCs/>
          <w:color w:val="auto"/>
          <w:sz w:val="32"/>
          <w:szCs w:val="32"/>
          <w:highlight w:val="none"/>
        </w:rPr>
        <w:t>年</w:t>
      </w:r>
      <w:r>
        <w:rPr>
          <w:rFonts w:hint="eastAsia" w:ascii="黑体" w:hAnsi="黑体" w:eastAsia="黑体" w:cs="黑体"/>
          <w:bCs/>
          <w:color w:val="auto"/>
          <w:sz w:val="32"/>
          <w:szCs w:val="32"/>
          <w:highlight w:val="none"/>
          <w:lang w:val="en-US" w:eastAsia="zh-CN"/>
        </w:rPr>
        <w:t>3</w:t>
      </w:r>
      <w:r>
        <w:rPr>
          <w:rFonts w:hint="eastAsia" w:ascii="黑体" w:hAnsi="黑体" w:eastAsia="黑体" w:cs="黑体"/>
          <w:bCs/>
          <w:color w:val="auto"/>
          <w:sz w:val="32"/>
          <w:szCs w:val="32"/>
          <w:highlight w:val="none"/>
        </w:rPr>
        <w:t>月</w:t>
      </w:r>
      <w:r>
        <w:rPr>
          <w:rFonts w:hint="eastAsia" w:ascii="黑体" w:hAnsi="黑体" w:eastAsia="黑体" w:cs="黑体"/>
          <w:bCs/>
          <w:color w:val="auto"/>
          <w:sz w:val="32"/>
          <w:szCs w:val="32"/>
          <w:highlight w:val="none"/>
          <w:lang w:val="en-US" w:eastAsia="zh-CN"/>
        </w:rPr>
        <w:t>26</w:t>
      </w:r>
      <w:r>
        <w:rPr>
          <w:rFonts w:hint="eastAsia" w:ascii="黑体" w:hAnsi="黑体" w:eastAsia="黑体" w:cs="黑体"/>
          <w:bCs/>
          <w:color w:val="auto"/>
          <w:sz w:val="32"/>
          <w:szCs w:val="32"/>
          <w:highlight w:val="none"/>
        </w:rPr>
        <w:t>日</w:t>
      </w:r>
    </w:p>
    <w:p>
      <w:pPr>
        <w:pStyle w:val="3"/>
        <w:spacing w:line="570" w:lineRule="exact"/>
        <w:ind w:firstLine="643"/>
        <w:rPr>
          <w:rStyle w:val="14"/>
          <w:rFonts w:ascii="黑体" w:hAnsi="黑体" w:cs="仿宋_GB2312"/>
          <w:b/>
          <w:bCs w:val="0"/>
          <w:color w:val="auto"/>
          <w:kern w:val="2"/>
          <w:sz w:val="32"/>
          <w:szCs w:val="32"/>
          <w:highlight w:val="none"/>
          <w:lang w:eastAsia="zh-Hans" w:bidi="ar"/>
        </w:rPr>
      </w:pPr>
      <w:r>
        <w:rPr>
          <w:rStyle w:val="14"/>
          <w:rFonts w:hint="eastAsia" w:ascii="黑体" w:hAnsi="黑体" w:cs="仿宋_GB2312"/>
          <w:b/>
          <w:bCs w:val="0"/>
          <w:color w:val="auto"/>
          <w:kern w:val="2"/>
          <w:sz w:val="32"/>
          <w:szCs w:val="32"/>
          <w:highlight w:val="none"/>
          <w:lang w:eastAsia="zh-Hans" w:bidi="ar"/>
        </w:rPr>
        <w:t>一、基本概况</w:t>
      </w:r>
    </w:p>
    <w:p>
      <w:pPr>
        <w:pStyle w:val="4"/>
        <w:spacing w:line="57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w:t>
      </w:r>
      <w:r>
        <w:rPr>
          <w:rFonts w:hint="eastAsia" w:ascii="楷体_GB2312" w:eastAsia="楷体_GB2312"/>
          <w:color w:val="auto"/>
          <w:szCs w:val="32"/>
          <w:highlight w:val="none"/>
          <w:lang w:val="en-US" w:eastAsia="zh-CN"/>
        </w:rPr>
        <w:t>部门</w:t>
      </w:r>
      <w:r>
        <w:rPr>
          <w:rFonts w:hint="eastAsia" w:ascii="楷体_GB2312" w:eastAsia="楷体_GB2312"/>
          <w:color w:val="auto"/>
          <w:szCs w:val="32"/>
          <w:highlight w:val="none"/>
        </w:rPr>
        <w:t>单位基本情况</w:t>
      </w:r>
    </w:p>
    <w:p>
      <w:pPr>
        <w:bidi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1.部门主要职能</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1</w:t>
      </w:r>
      <w:r>
        <w:rPr>
          <w:rStyle w:val="14"/>
          <w:rFonts w:hint="eastAsia" w:ascii="仿宋_GB2312" w:hAnsi="仿宋_GB2312" w:eastAsia="仿宋_GB2312" w:cs="仿宋_GB2312"/>
          <w:b w:val="0"/>
          <w:color w:val="auto"/>
          <w:sz w:val="32"/>
          <w:szCs w:val="32"/>
          <w:highlight w:val="none"/>
          <w:lang w:bidi="ar"/>
        </w:rPr>
        <w:t>)负责政府会议的会务工作；协助政府领导组织实施会议决定事项；负责政府领导参加重大活动的组织、协调和安排。</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2</w:t>
      </w:r>
      <w:r>
        <w:rPr>
          <w:rStyle w:val="14"/>
          <w:rFonts w:hint="eastAsia" w:ascii="仿宋_GB2312" w:hAnsi="仿宋_GB2312" w:eastAsia="仿宋_GB2312" w:cs="仿宋_GB2312"/>
          <w:b w:val="0"/>
          <w:color w:val="auto"/>
          <w:sz w:val="32"/>
          <w:szCs w:val="32"/>
          <w:highlight w:val="none"/>
          <w:lang w:bidi="ar"/>
        </w:rPr>
        <w:t>)负责政府日常文件电报处理和日常事务工作；协助政府领导组织起草或审核以政府、政府办公室名义印发的文件。负责政府及政府办公室需要翻译的文字材料。</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3</w:t>
      </w:r>
      <w:r>
        <w:rPr>
          <w:rStyle w:val="14"/>
          <w:rFonts w:hint="eastAsia" w:ascii="仿宋_GB2312" w:hAnsi="仿宋_GB2312" w:eastAsia="仿宋_GB2312" w:cs="仿宋_GB2312"/>
          <w:b w:val="0"/>
          <w:color w:val="auto"/>
          <w:sz w:val="32"/>
          <w:szCs w:val="32"/>
          <w:highlight w:val="none"/>
          <w:lang w:bidi="ar"/>
        </w:rPr>
        <w:t>)检查督促政府公文、会议决定事项及政府领导批示的贯彻执行情况，及时向政府领导报告；负责人大代表议案和政协委员提案的办理和答复工作。</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4</w:t>
      </w:r>
      <w:r>
        <w:rPr>
          <w:rStyle w:val="14"/>
          <w:rFonts w:hint="eastAsia" w:ascii="仿宋_GB2312" w:hAnsi="仿宋_GB2312" w:eastAsia="仿宋_GB2312" w:cs="仿宋_GB2312"/>
          <w:b w:val="0"/>
          <w:color w:val="auto"/>
          <w:sz w:val="32"/>
          <w:szCs w:val="32"/>
          <w:highlight w:val="none"/>
          <w:lang w:bidi="ar"/>
        </w:rPr>
        <w:t>)研究各部门请示政府的事项，提出审核意见，报政府领导审定；根据政府工作部署和政府领导批示，组织有关调查研究，收集信息，反映情况，提出建议。</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5</w:t>
      </w:r>
      <w:r>
        <w:rPr>
          <w:rStyle w:val="14"/>
          <w:rFonts w:hint="eastAsia" w:ascii="仿宋_GB2312" w:hAnsi="仿宋_GB2312" w:eastAsia="仿宋_GB2312" w:cs="仿宋_GB2312"/>
          <w:b w:val="0"/>
          <w:color w:val="auto"/>
          <w:sz w:val="32"/>
          <w:szCs w:val="32"/>
          <w:highlight w:val="none"/>
          <w:lang w:bidi="ar"/>
        </w:rPr>
        <w:t>)负责处理各部门向政府反映的重要问题，传达和督促落实政府领导的指示。</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6</w:t>
      </w:r>
      <w:r>
        <w:rPr>
          <w:rStyle w:val="14"/>
          <w:rFonts w:hint="eastAsia" w:ascii="仿宋_GB2312" w:hAnsi="仿宋_GB2312" w:eastAsia="仿宋_GB2312" w:cs="仿宋_GB2312"/>
          <w:b w:val="0"/>
          <w:color w:val="auto"/>
          <w:sz w:val="32"/>
          <w:szCs w:val="32"/>
          <w:highlight w:val="none"/>
          <w:lang w:bidi="ar"/>
        </w:rPr>
        <w:t>)负责指导、监督政务公开及政府信息公开工作。</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7</w:t>
      </w:r>
      <w:r>
        <w:rPr>
          <w:rStyle w:val="14"/>
          <w:rFonts w:hint="eastAsia" w:ascii="仿宋_GB2312" w:hAnsi="仿宋_GB2312" w:eastAsia="仿宋_GB2312" w:cs="仿宋_GB2312"/>
          <w:b w:val="0"/>
          <w:color w:val="auto"/>
          <w:sz w:val="32"/>
          <w:szCs w:val="32"/>
          <w:highlight w:val="none"/>
          <w:lang w:bidi="ar"/>
        </w:rPr>
        <w:t>)负责推进、指导、协调政府系统电子政务工作。</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8</w:t>
      </w:r>
      <w:r>
        <w:rPr>
          <w:rStyle w:val="14"/>
          <w:rFonts w:hint="eastAsia" w:ascii="仿宋_GB2312" w:hAnsi="仿宋_GB2312" w:eastAsia="仿宋_GB2312" w:cs="仿宋_GB2312"/>
          <w:b w:val="0"/>
          <w:color w:val="auto"/>
          <w:sz w:val="32"/>
          <w:szCs w:val="32"/>
          <w:highlight w:val="none"/>
          <w:lang w:bidi="ar"/>
        </w:rPr>
        <w:t>)负责协调推进"放管服"改革工作，承担市推进政府职能转变和"放管服"改革领导小组办公室日常工作。</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9</w:t>
      </w:r>
      <w:r>
        <w:rPr>
          <w:rStyle w:val="14"/>
          <w:rFonts w:hint="eastAsia" w:ascii="仿宋_GB2312" w:hAnsi="仿宋_GB2312" w:eastAsia="仿宋_GB2312" w:cs="仿宋_GB2312"/>
          <w:b w:val="0"/>
          <w:color w:val="auto"/>
          <w:sz w:val="32"/>
          <w:szCs w:val="32"/>
          <w:highlight w:val="none"/>
          <w:lang w:bidi="ar"/>
        </w:rPr>
        <w:t>)贯彻执行国家、自治区、地区对外方针政策和法律法规，组织和管理本市的对外友好交往活动；负责了解掌握全市的涉外情况和动态，做好各类涉外统计工作；按照有关规定审核和办理本市人员因公出国(境)和邀请外国人员来访的有关事宜；承担地区外事办公室和市外事工作委员会交办的各项工作。</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10</w:t>
      </w:r>
      <w:r>
        <w:rPr>
          <w:rStyle w:val="14"/>
          <w:rFonts w:hint="eastAsia" w:ascii="仿宋_GB2312" w:hAnsi="仿宋_GB2312" w:eastAsia="仿宋_GB2312" w:cs="仿宋_GB2312"/>
          <w:b w:val="0"/>
          <w:color w:val="auto"/>
          <w:sz w:val="32"/>
          <w:szCs w:val="32"/>
          <w:highlight w:val="none"/>
          <w:lang w:bidi="ar"/>
        </w:rPr>
        <w:t>)贯彻落实中央、自治区、地区关于信访工作的法律、法规和方针政策；负责处理群众、法人及其他组织通过信访渠道给市委、</w:t>
      </w:r>
      <w:r>
        <w:rPr>
          <w:rStyle w:val="14"/>
          <w:rFonts w:hint="eastAsia" w:ascii="仿宋_GB2312" w:hAnsi="仿宋_GB2312" w:eastAsia="仿宋_GB2312" w:cs="仿宋_GB2312"/>
          <w:b w:val="0"/>
          <w:color w:val="auto"/>
          <w:sz w:val="32"/>
          <w:szCs w:val="32"/>
          <w:highlight w:val="none"/>
          <w:lang w:eastAsia="zh-CN" w:bidi="ar"/>
        </w:rPr>
        <w:t>市</w:t>
      </w:r>
      <w:r>
        <w:rPr>
          <w:rStyle w:val="14"/>
          <w:rFonts w:hint="eastAsia" w:ascii="仿宋_GB2312" w:hAnsi="仿宋_GB2312" w:eastAsia="仿宋_GB2312" w:cs="仿宋_GB2312"/>
          <w:b w:val="0"/>
          <w:color w:val="auto"/>
          <w:sz w:val="32"/>
          <w:szCs w:val="32"/>
          <w:highlight w:val="none"/>
          <w:lang w:bidi="ar"/>
        </w:rPr>
        <w:t>政府及领导同志的来信来电，接待群众来访；承担市信访工作联席会议的日常工作，督促落实联席会议决定的事项。</w:t>
      </w:r>
    </w:p>
    <w:p>
      <w:pPr>
        <w:pStyle w:val="26"/>
        <w:snapToGrid w:val="0"/>
        <w:spacing w:line="540" w:lineRule="exact"/>
        <w:ind w:firstLine="64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11</w:t>
      </w:r>
      <w:r>
        <w:rPr>
          <w:rStyle w:val="14"/>
          <w:rFonts w:hint="eastAsia" w:ascii="仿宋_GB2312" w:hAnsi="仿宋_GB2312" w:eastAsia="仿宋_GB2312" w:cs="仿宋_GB2312"/>
          <w:b w:val="0"/>
          <w:color w:val="auto"/>
          <w:sz w:val="32"/>
          <w:szCs w:val="32"/>
          <w:highlight w:val="none"/>
          <w:lang w:bidi="ar"/>
        </w:rPr>
        <w:t>）负责全市公共机构节能相关工作。</w:t>
      </w:r>
    </w:p>
    <w:p>
      <w:pPr>
        <w:pStyle w:val="26"/>
        <w:snapToGrid w:val="0"/>
        <w:spacing w:line="54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w:t>
      </w:r>
      <w:r>
        <w:rPr>
          <w:rStyle w:val="14"/>
          <w:rFonts w:hint="eastAsia" w:ascii="仿宋_GB2312" w:hAnsi="仿宋_GB2312" w:eastAsia="仿宋_GB2312" w:cs="仿宋_GB2312"/>
          <w:b w:val="0"/>
          <w:color w:val="auto"/>
          <w:sz w:val="32"/>
          <w:szCs w:val="32"/>
          <w:highlight w:val="none"/>
          <w:lang w:val="en-US" w:eastAsia="zh-CN" w:bidi="ar"/>
        </w:rPr>
        <w:t>12</w:t>
      </w:r>
      <w:r>
        <w:rPr>
          <w:rStyle w:val="14"/>
          <w:rFonts w:hint="eastAsia" w:ascii="仿宋_GB2312" w:hAnsi="仿宋_GB2312" w:eastAsia="仿宋_GB2312" w:cs="仿宋_GB2312"/>
          <w:b w:val="0"/>
          <w:color w:val="auto"/>
          <w:sz w:val="32"/>
          <w:szCs w:val="32"/>
          <w:highlight w:val="none"/>
          <w:lang w:bidi="ar"/>
        </w:rPr>
        <w:t>)承办市人民政府交办的其他事项。</w:t>
      </w:r>
    </w:p>
    <w:p>
      <w:pPr>
        <w:bidi w:val="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2.部门机构设置及人员构成</w:t>
      </w:r>
    </w:p>
    <w:p>
      <w:pPr>
        <w:spacing w:line="57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eastAsia="zh-CN" w:bidi="ar"/>
        </w:rPr>
        <w:t>沙湾市人民政府办公室</w:t>
      </w:r>
      <w:r>
        <w:rPr>
          <w:rFonts w:hint="eastAsia" w:ascii="仿宋_GB2312" w:hAnsi="仿宋_GB2312" w:cs="仿宋_GB2312"/>
          <w:color w:val="auto"/>
          <w:kern w:val="0"/>
          <w:sz w:val="32"/>
          <w:szCs w:val="32"/>
          <w:highlight w:val="none"/>
          <w:lang w:eastAsia="zh-Hans"/>
        </w:rPr>
        <w:t>为行政单位</w:t>
      </w:r>
      <w:r>
        <w:rPr>
          <w:rFonts w:ascii="仿宋_GB2312" w:hAnsi="仿宋_GB2312" w:cs="仿宋_GB2312"/>
          <w:color w:val="auto"/>
          <w:kern w:val="0"/>
          <w:sz w:val="32"/>
          <w:szCs w:val="32"/>
          <w:highlight w:val="none"/>
          <w:lang w:eastAsia="zh-Hans"/>
        </w:rPr>
        <w:t>，</w:t>
      </w:r>
      <w:r>
        <w:rPr>
          <w:rFonts w:hint="eastAsia" w:ascii="仿宋_GB2312" w:hAnsi="仿宋_GB2312" w:cs="仿宋_GB2312"/>
          <w:color w:val="auto"/>
          <w:kern w:val="0"/>
          <w:sz w:val="32"/>
          <w:szCs w:val="32"/>
          <w:highlight w:val="none"/>
          <w:lang w:eastAsia="zh-Hans"/>
        </w:rPr>
        <w:t>下设</w:t>
      </w:r>
      <w:r>
        <w:rPr>
          <w:rStyle w:val="14"/>
          <w:rFonts w:hint="eastAsia" w:ascii="仿宋_GB2312" w:hAnsi="仿宋_GB2312" w:eastAsia="仿宋_GB2312" w:cs="仿宋_GB2312"/>
          <w:b w:val="0"/>
          <w:color w:val="auto"/>
          <w:sz w:val="32"/>
          <w:szCs w:val="32"/>
          <w:highlight w:val="none"/>
          <w:lang w:val="en-US" w:eastAsia="zh-CN" w:bidi="ar"/>
        </w:rPr>
        <w:t>1</w:t>
      </w:r>
      <w:r>
        <w:rPr>
          <w:rFonts w:hint="eastAsia" w:ascii="仿宋_GB2312" w:hAnsi="仿宋_GB2312" w:cs="仿宋_GB2312"/>
          <w:color w:val="auto"/>
          <w:kern w:val="0"/>
          <w:sz w:val="32"/>
          <w:szCs w:val="32"/>
          <w:highlight w:val="none"/>
          <w:lang w:eastAsia="zh-Hans"/>
        </w:rPr>
        <w:t>个办公室</w:t>
      </w:r>
      <w:r>
        <w:rPr>
          <w:rFonts w:ascii="仿宋_GB2312" w:hAnsi="仿宋_GB2312" w:cs="仿宋_GB2312"/>
          <w:color w:val="auto"/>
          <w:kern w:val="0"/>
          <w:sz w:val="32"/>
          <w:szCs w:val="32"/>
          <w:highlight w:val="none"/>
          <w:lang w:eastAsia="zh-Hans"/>
        </w:rPr>
        <w:t>，</w:t>
      </w:r>
      <w:r>
        <w:rPr>
          <w:rFonts w:hint="eastAsia" w:ascii="仿宋_GB2312" w:hAnsi="仿宋_GB2312" w:cs="仿宋_GB2312"/>
          <w:color w:val="auto"/>
          <w:kern w:val="0"/>
          <w:sz w:val="32"/>
          <w:szCs w:val="32"/>
          <w:highlight w:val="none"/>
          <w:lang w:eastAsia="zh-Hans"/>
        </w:rPr>
        <w:t>分别为</w:t>
      </w:r>
      <w:r>
        <w:rPr>
          <w:rFonts w:ascii="仿宋_GB2312" w:hAnsi="仿宋_GB2312" w:cs="仿宋_GB2312"/>
          <w:color w:val="auto"/>
          <w:kern w:val="0"/>
          <w:sz w:val="32"/>
          <w:szCs w:val="32"/>
          <w:highlight w:val="none"/>
          <w:lang w:eastAsia="zh-Hans"/>
        </w:rPr>
        <w:t>：</w:t>
      </w:r>
      <w:r>
        <w:rPr>
          <w:rStyle w:val="14"/>
          <w:rFonts w:hint="eastAsia" w:ascii="仿宋_GB2312" w:hAnsi="仿宋_GB2312" w:eastAsia="仿宋_GB2312" w:cs="仿宋_GB2312"/>
          <w:b w:val="0"/>
          <w:color w:val="auto"/>
          <w:sz w:val="32"/>
          <w:szCs w:val="32"/>
          <w:highlight w:val="none"/>
          <w:lang w:eastAsia="zh-CN" w:bidi="ar"/>
        </w:rPr>
        <w:t>沙湾市信息化中心</w:t>
      </w:r>
      <w:r>
        <w:rPr>
          <w:rFonts w:hint="eastAsia" w:ascii="仿宋_GB2312" w:hAnsi="仿宋_GB2312" w:cs="仿宋_GB2312"/>
          <w:color w:val="auto"/>
          <w:kern w:val="0"/>
          <w:sz w:val="32"/>
          <w:szCs w:val="32"/>
          <w:highlight w:val="none"/>
          <w:lang w:eastAsia="zh-Hans"/>
        </w:rPr>
        <w:t>。</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编制人数为40人，其中：行政人员编制26人、工勤人员8人、参公人员6人。实有在职人数34人，其中：行政在职22人、工勤8人、参公3</w:t>
      </w:r>
      <w:r>
        <w:rPr>
          <w:rFonts w:hint="eastAsia" w:ascii="仿宋_GB2312" w:hAnsi="仿宋_GB2312" w:eastAsia="仿宋_GB2312" w:cs="仿宋_GB2312"/>
          <w:color w:val="auto"/>
          <w:sz w:val="32"/>
          <w:szCs w:val="32"/>
          <w:highlight w:val="none"/>
          <w:lang w:val="en-US" w:eastAsia="zh-Hans"/>
        </w:rPr>
        <w:t>人</w:t>
      </w:r>
      <w:r>
        <w:rPr>
          <w:rFonts w:hint="eastAsia" w:ascii="仿宋_GB2312" w:hAnsi="仿宋_GB2312" w:eastAsia="仿宋_GB2312" w:cs="仿宋_GB2312"/>
          <w:color w:val="auto"/>
          <w:sz w:val="32"/>
          <w:szCs w:val="32"/>
          <w:highlight w:val="none"/>
          <w:lang w:val="en-US" w:eastAsia="zh-CN"/>
        </w:rPr>
        <w:t>。离退休人员31人，其中：行政退休人员31人。</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w:t>
      </w:r>
      <w:r>
        <w:rPr>
          <w:rFonts w:hint="eastAsia" w:ascii="楷体_GB2312" w:eastAsia="楷体_GB2312"/>
          <w:color w:val="auto"/>
          <w:szCs w:val="32"/>
          <w:highlight w:val="none"/>
        </w:rPr>
        <w:t>单位</w:t>
      </w:r>
      <w:r>
        <w:rPr>
          <w:rFonts w:hint="eastAsia" w:ascii="楷体_GB2312" w:eastAsia="楷体_GB2312"/>
          <w:color w:val="auto"/>
          <w:szCs w:val="32"/>
          <w:highlight w:val="none"/>
          <w:lang w:val="en-US" w:eastAsia="zh-CN"/>
        </w:rPr>
        <w:t>年度重点工作</w:t>
      </w:r>
    </w:p>
    <w:p>
      <w:pPr>
        <w:bidi w:val="0"/>
        <w:rPr>
          <w:rStyle w:val="14"/>
          <w:rFonts w:hint="eastAsia" w:ascii="仿宋_GB2312" w:hAnsi="仿宋_GB2312" w:eastAsia="仿宋_GB2312" w:cs="仿宋_GB2312"/>
          <w:b w:val="0"/>
          <w:color w:val="auto"/>
          <w:sz w:val="32"/>
          <w:szCs w:val="32"/>
          <w:highlight w:val="none"/>
          <w:lang w:eastAsia="zh-Hans" w:bidi="ar"/>
        </w:rPr>
      </w:pPr>
      <w:r>
        <w:rPr>
          <w:rFonts w:hint="eastAsia" w:ascii="仿宋_GB2312" w:hAnsi="仿宋_GB2312" w:eastAsia="仿宋_GB2312" w:cs="仿宋_GB2312"/>
          <w:b/>
          <w:bCs/>
          <w:color w:val="auto"/>
          <w:sz w:val="32"/>
          <w:szCs w:val="32"/>
          <w:highlight w:val="none"/>
          <w:lang w:val="en-US" w:eastAsia="zh-CN"/>
        </w:rPr>
        <w:t>1.年度工作计划</w:t>
      </w:r>
    </w:p>
    <w:p>
      <w:pPr>
        <w:pStyle w:val="16"/>
        <w:snapToGrid w:val="0"/>
        <w:spacing w:line="570" w:lineRule="exact"/>
        <w:ind w:left="0" w:leftChars="0" w:firstLine="0" w:firstLineChars="0"/>
        <w:rPr>
          <w:rStyle w:val="14"/>
          <w:rFonts w:ascii="仿宋_GB2312" w:hAnsi="仿宋_GB2312" w:eastAsia="仿宋_GB2312" w:cs="仿宋_GB2312"/>
          <w:b w:val="0"/>
          <w:color w:val="auto"/>
          <w:sz w:val="32"/>
          <w:szCs w:val="32"/>
          <w:highlight w:val="none"/>
          <w:lang w:eastAsia="zh-Hans" w:bidi="ar"/>
        </w:rPr>
      </w:pPr>
      <w:r>
        <w:rPr>
          <w:rStyle w:val="14"/>
          <w:rFonts w:hint="eastAsia" w:ascii="仿宋_GB2312" w:hAnsi="仿宋_GB2312" w:eastAsia="仿宋_GB2312" w:cs="仿宋_GB2312"/>
          <w:b w:val="0"/>
          <w:color w:val="auto"/>
          <w:sz w:val="32"/>
          <w:szCs w:val="32"/>
          <w:highlight w:val="none"/>
          <w:lang w:eastAsia="zh-CN" w:bidi="ar"/>
        </w:rPr>
        <w:t>沙湾市人民政府</w:t>
      </w:r>
      <w:r>
        <w:rPr>
          <w:rStyle w:val="14"/>
          <w:rFonts w:hint="eastAsia" w:ascii="仿宋_GB2312" w:hAnsi="仿宋_GB2312" w:eastAsia="仿宋_GB2312" w:cs="仿宋_GB2312"/>
          <w:b w:val="0"/>
          <w:color w:val="auto"/>
          <w:sz w:val="32"/>
          <w:szCs w:val="32"/>
          <w:highlight w:val="none"/>
          <w:lang w:eastAsia="zh-Hans" w:bidi="ar"/>
        </w:rPr>
        <w:t>办公室</w:t>
      </w:r>
      <w:r>
        <w:rPr>
          <w:rStyle w:val="14"/>
          <w:rFonts w:hint="eastAsia" w:ascii="仿宋_GB2312" w:hAnsi="仿宋_GB2312" w:eastAsia="仿宋_GB2312" w:cs="仿宋_GB2312"/>
          <w:b w:val="0"/>
          <w:color w:val="auto"/>
          <w:sz w:val="32"/>
          <w:szCs w:val="32"/>
          <w:highlight w:val="none"/>
          <w:lang w:eastAsia="zh-CN" w:bidi="ar"/>
        </w:rPr>
        <w:t>2023</w:t>
      </w:r>
      <w:r>
        <w:rPr>
          <w:rStyle w:val="14"/>
          <w:rFonts w:hint="eastAsia" w:ascii="仿宋_GB2312" w:hAnsi="仿宋_GB2312" w:eastAsia="仿宋_GB2312" w:cs="仿宋_GB2312"/>
          <w:b w:val="0"/>
          <w:color w:val="auto"/>
          <w:sz w:val="32"/>
          <w:szCs w:val="32"/>
          <w:highlight w:val="none"/>
          <w:lang w:eastAsia="zh-Hans" w:bidi="ar"/>
        </w:rPr>
        <w:t>年度重点工作是</w:t>
      </w:r>
      <w:r>
        <w:rPr>
          <w:rStyle w:val="14"/>
          <w:rFonts w:ascii="仿宋_GB2312" w:hAnsi="仿宋_GB2312" w:eastAsia="仿宋_GB2312" w:cs="仿宋_GB2312"/>
          <w:b w:val="0"/>
          <w:color w:val="auto"/>
          <w:sz w:val="32"/>
          <w:szCs w:val="32"/>
          <w:highlight w:val="none"/>
          <w:lang w:eastAsia="zh-Hans" w:bidi="ar"/>
        </w:rPr>
        <w:t>：</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1</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负责政府会议的会务工作；协助政府领导组织实施会议决定事项；负责政府领导参加重大活动的组织、协调和安排；</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2</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eastAsia="zh-Hans" w:bidi="ar"/>
        </w:rPr>
        <w:t>完成</w:t>
      </w:r>
      <w:r>
        <w:rPr>
          <w:rStyle w:val="14"/>
          <w:rFonts w:hint="eastAsia" w:ascii="仿宋_GB2312" w:hAnsi="仿宋_GB2312" w:eastAsia="仿宋_GB2312" w:cs="仿宋_GB2312"/>
          <w:b w:val="0"/>
          <w:color w:val="auto"/>
          <w:sz w:val="32"/>
          <w:szCs w:val="32"/>
          <w:highlight w:val="none"/>
          <w:lang w:bidi="ar"/>
        </w:rPr>
        <w:t>政府日常文件电报处理和日常事务工作；协助政府领导组织起草或审核以政府、政府办公室名义印发的文件。负责政府及政府办公室需要翻译的文字材料；</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3</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检查督促政府公文、会议决定事项及政府领导批示的贯彻执行情况，及时向政府领导报告；负责人大代表议案和政协委员提案的办理和答复工作；</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4</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研究各部门请示政府的事项，提出审核意见，报政府领导审定；根据政府工作部署和政府领导批示，组织有关调查研究，收集信息，反映情况，提出建议；</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5</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处理各部门向政府反映的重要问题，传达和督促落实政府领导的指示。</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6</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指导、监督政务公开及政府信息公开工作</w:t>
      </w:r>
      <w:r>
        <w:rPr>
          <w:rStyle w:val="14"/>
          <w:rFonts w:hint="eastAsia" w:ascii="仿宋_GB2312" w:hAnsi="仿宋_GB2312" w:eastAsia="仿宋_GB2312" w:cs="仿宋_GB2312"/>
          <w:b w:val="0"/>
          <w:color w:val="auto"/>
          <w:sz w:val="32"/>
          <w:szCs w:val="32"/>
          <w:highlight w:val="none"/>
          <w:lang w:val="en-US" w:eastAsia="zh-CN" w:bidi="ar"/>
        </w:rPr>
        <w:t>。</w:t>
      </w:r>
    </w:p>
    <w:p>
      <w:pPr>
        <w:pStyle w:val="16"/>
        <w:numPr>
          <w:ilvl w:val="0"/>
          <w:numId w:val="0"/>
        </w:numPr>
        <w:snapToGrid w:val="0"/>
        <w:spacing w:line="570" w:lineRule="exact"/>
        <w:ind w:firstLine="320" w:firstLineChars="100"/>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val="en-US" w:eastAsia="zh-CN" w:bidi="ar"/>
        </w:rPr>
        <w:t>7</w:t>
      </w:r>
      <w:r>
        <w:rPr>
          <w:rStyle w:val="14"/>
          <w:rFonts w:hint="eastAsia" w:ascii="仿宋_GB2312" w:hAnsi="仿宋_GB2312" w:eastAsia="仿宋_GB2312" w:cs="仿宋_GB2312"/>
          <w:b w:val="0"/>
          <w:color w:val="auto"/>
          <w:sz w:val="32"/>
          <w:szCs w:val="32"/>
          <w:highlight w:val="none"/>
          <w:lang w:eastAsia="zh-CN" w:bidi="ar"/>
        </w:rPr>
        <w:t>）</w:t>
      </w:r>
      <w:r>
        <w:rPr>
          <w:rStyle w:val="14"/>
          <w:rFonts w:hint="eastAsia" w:ascii="仿宋_GB2312" w:hAnsi="仿宋_GB2312" w:eastAsia="仿宋_GB2312" w:cs="仿宋_GB2312"/>
          <w:b w:val="0"/>
          <w:color w:val="auto"/>
          <w:sz w:val="32"/>
          <w:szCs w:val="32"/>
          <w:highlight w:val="none"/>
          <w:lang w:bidi="ar"/>
        </w:rPr>
        <w:t>推进、指导、协调政府系统电子政务工作</w:t>
      </w:r>
      <w:r>
        <w:rPr>
          <w:rStyle w:val="14"/>
          <w:rFonts w:hint="eastAsia" w:ascii="仿宋_GB2312" w:hAnsi="仿宋_GB2312" w:eastAsia="仿宋_GB2312" w:cs="仿宋_GB2312"/>
          <w:b w:val="0"/>
          <w:color w:val="auto"/>
          <w:sz w:val="32"/>
          <w:szCs w:val="32"/>
          <w:highlight w:val="none"/>
          <w:lang w:val="en-US" w:eastAsia="zh-CN" w:bidi="ar"/>
        </w:rPr>
        <w:t>。</w:t>
      </w:r>
    </w:p>
    <w:p>
      <w:pPr>
        <w:bidi w:val="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2.年度总体绩效目标</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Style w:val="14"/>
          <w:rFonts w:hint="eastAsia" w:ascii="仿宋_GB2312" w:hAnsi="仿宋_GB2312" w:eastAsia="仿宋_GB2312" w:cs="仿宋_GB2312"/>
          <w:b w:val="0"/>
          <w:color w:val="auto"/>
          <w:sz w:val="32"/>
          <w:szCs w:val="32"/>
          <w:highlight w:val="none"/>
          <w:lang w:val="en-US" w:eastAsia="zh-CN" w:bidi="ar"/>
        </w:rPr>
      </w:pPr>
      <w:r>
        <w:rPr>
          <w:rStyle w:val="14"/>
          <w:rFonts w:hint="eastAsia" w:ascii="仿宋_GB2312" w:hAnsi="仿宋_GB2312" w:eastAsia="仿宋_GB2312" w:cs="仿宋_GB2312"/>
          <w:b w:val="0"/>
          <w:color w:val="auto"/>
          <w:sz w:val="32"/>
          <w:szCs w:val="32"/>
          <w:highlight w:val="none"/>
          <w:lang w:val="en-US" w:eastAsia="zh-CN" w:bidi="ar"/>
        </w:rPr>
        <w:t>2023年度沙湾市人民政府办公室贯彻落实党中央、自治区党委、地委关于政府工作的方针政策和决策部署以及市委工作要求，履行职责坚持和加强党对政府工作的集中统一领导。搞好政务、事务服务，完成各类文件起草工作。始终坚持按程序办会，扎实做好材料准备、会议通知、会议记录等各项工作，确保各类会议顺利召开；注重实效，进一步抓好督查工作。坚持提升质量、扩充数量和及时、准确、全面的原则，抓住重点工作“薄弱点”和基层工作“闪光点”，编写有情况、有分析、深层次、高质量的信息，为市领导各项科学决策和加强工作指导提供服务，主动公开、依申请公开政府信息，全力推进政府网站和政务新媒体工作高质高效开展。</w:t>
      </w:r>
    </w:p>
    <w:p>
      <w:pPr>
        <w:bidi w:val="0"/>
        <w:rPr>
          <w:rFonts w:hint="eastAsia" w:ascii="仿宋_GB2312" w:hAnsi="仿宋_GB2312" w:eastAsia="仿宋_GB2312" w:cs="仿宋_GB2312"/>
          <w:b/>
          <w:bCs/>
          <w:color w:val="auto"/>
          <w:sz w:val="32"/>
          <w:szCs w:val="32"/>
          <w:highlight w:val="none"/>
          <w:lang w:val="en-US" w:eastAsia="zh-Hans"/>
        </w:rPr>
      </w:pPr>
      <w:r>
        <w:rPr>
          <w:rFonts w:hint="eastAsia" w:ascii="仿宋_GB2312" w:hAnsi="仿宋_GB2312" w:eastAsia="仿宋_GB2312" w:cs="仿宋_GB2312"/>
          <w:b/>
          <w:bCs/>
          <w:color w:val="auto"/>
          <w:sz w:val="32"/>
          <w:szCs w:val="32"/>
          <w:highlight w:val="none"/>
          <w:lang w:val="en-US" w:eastAsia="zh-CN"/>
        </w:rPr>
        <w:t>3.机构人员保障情况</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沙湾市人民政府办公室2023年通过本部门预算支出，</w:t>
      </w:r>
      <w:r>
        <w:rPr>
          <w:rStyle w:val="14"/>
          <w:rFonts w:hint="eastAsia" w:ascii="仿宋_GB2312" w:hAnsi="仿宋_GB2312" w:eastAsia="仿宋_GB2312" w:cs="仿宋_GB2312"/>
          <w:b w:val="0"/>
          <w:color w:val="auto"/>
          <w:sz w:val="32"/>
          <w:szCs w:val="32"/>
          <w:highlight w:val="none"/>
          <w:lang w:eastAsia="zh-Hans" w:bidi="ar"/>
        </w:rPr>
        <w:t>确保</w:t>
      </w:r>
      <w:r>
        <w:rPr>
          <w:rStyle w:val="14"/>
          <w:rFonts w:hint="eastAsia" w:ascii="仿宋_GB2312" w:hAnsi="仿宋_GB2312" w:eastAsia="仿宋_GB2312" w:cs="仿宋_GB2312"/>
          <w:b w:val="0"/>
          <w:color w:val="auto"/>
          <w:sz w:val="32"/>
          <w:szCs w:val="32"/>
          <w:highlight w:val="none"/>
          <w:lang w:val="en-US" w:eastAsia="zh-CN" w:bidi="ar"/>
        </w:rPr>
        <w:t>了34名</w:t>
      </w:r>
      <w:r>
        <w:rPr>
          <w:rStyle w:val="14"/>
          <w:rFonts w:hint="eastAsia" w:ascii="仿宋_GB2312" w:hAnsi="仿宋_GB2312" w:eastAsia="仿宋_GB2312" w:cs="仿宋_GB2312"/>
          <w:b w:val="0"/>
          <w:color w:val="auto"/>
          <w:sz w:val="32"/>
          <w:szCs w:val="32"/>
          <w:highlight w:val="none"/>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highlight w:val="none"/>
          <w:lang w:val="en-US" w:eastAsia="zh-CN" w:bidi="ar"/>
        </w:rPr>
        <w:t>31名</w:t>
      </w:r>
      <w:r>
        <w:rPr>
          <w:rStyle w:val="14"/>
          <w:rFonts w:hint="eastAsia" w:ascii="仿宋_GB2312" w:hAnsi="仿宋_GB2312" w:eastAsia="仿宋_GB2312" w:cs="仿宋_GB2312"/>
          <w:b w:val="0"/>
          <w:color w:val="auto"/>
          <w:sz w:val="32"/>
          <w:szCs w:val="32"/>
          <w:highlight w:val="none"/>
          <w:lang w:eastAsia="zh-Hans" w:bidi="ar"/>
        </w:rPr>
        <w:t>退休人员的工资、医疗费等人员保障性经费能够依规、按时、足额发放或缴纳，提升部门人员工作积极性和服务质量。</w:t>
      </w:r>
      <w:r>
        <w:rPr>
          <w:rStyle w:val="14"/>
          <w:rFonts w:hint="eastAsia" w:ascii="仿宋_GB2312" w:hAnsi="仿宋_GB2312" w:eastAsia="仿宋_GB2312" w:cs="仿宋_GB2312"/>
          <w:b w:val="0"/>
          <w:color w:val="auto"/>
          <w:sz w:val="32"/>
          <w:szCs w:val="32"/>
          <w:highlight w:val="none"/>
          <w:lang w:val="en-US" w:eastAsia="zh-CN" w:bidi="ar"/>
        </w:rPr>
        <w:t>同时，</w:t>
      </w:r>
      <w:r>
        <w:rPr>
          <w:rStyle w:val="14"/>
          <w:rFonts w:hint="eastAsia" w:ascii="仿宋_GB2312" w:hAnsi="仿宋_GB2312" w:eastAsia="仿宋_GB2312" w:cs="仿宋_GB2312"/>
          <w:b w:val="0"/>
          <w:color w:val="auto"/>
          <w:sz w:val="32"/>
          <w:szCs w:val="32"/>
          <w:highlight w:val="none"/>
          <w:lang w:eastAsia="zh-Hans" w:bidi="ar"/>
        </w:rPr>
        <w:t>保障</w:t>
      </w:r>
      <w:r>
        <w:rPr>
          <w:rStyle w:val="14"/>
          <w:rFonts w:hint="eastAsia" w:ascii="仿宋_GB2312" w:hAnsi="仿宋_GB2312" w:eastAsia="仿宋_GB2312" w:cs="仿宋_GB2312"/>
          <w:b w:val="0"/>
          <w:color w:val="auto"/>
          <w:sz w:val="32"/>
          <w:szCs w:val="32"/>
          <w:highlight w:val="none"/>
          <w:lang w:val="en-US" w:eastAsia="zh-CN" w:bidi="ar"/>
        </w:rPr>
        <w:t>了</w:t>
      </w:r>
      <w:r>
        <w:rPr>
          <w:rStyle w:val="14"/>
          <w:rFonts w:hint="eastAsia" w:ascii="仿宋_GB2312" w:hAnsi="仿宋_GB2312" w:eastAsia="仿宋_GB2312" w:cs="仿宋_GB2312"/>
          <w:b w:val="0"/>
          <w:color w:val="auto"/>
          <w:sz w:val="32"/>
          <w:szCs w:val="32"/>
          <w:highlight w:val="none"/>
          <w:lang w:eastAsia="zh-Hans" w:bidi="ar"/>
        </w:rPr>
        <w:t>部门</w:t>
      </w:r>
      <w:r>
        <w:rPr>
          <w:rStyle w:val="14"/>
          <w:rFonts w:hint="eastAsia" w:ascii="仿宋_GB2312" w:hAnsi="仿宋_GB2312" w:eastAsia="仿宋_GB2312" w:cs="仿宋_GB2312"/>
          <w:b w:val="0"/>
          <w:color w:val="auto"/>
          <w:sz w:val="32"/>
          <w:szCs w:val="32"/>
          <w:highlight w:val="none"/>
          <w:lang w:val="en-US" w:eastAsia="zh-CN" w:bidi="ar"/>
        </w:rPr>
        <w:t>全年正</w:t>
      </w:r>
      <w:r>
        <w:rPr>
          <w:rStyle w:val="14"/>
          <w:rFonts w:hint="eastAsia" w:ascii="仿宋_GB2312" w:hAnsi="仿宋_GB2312" w:eastAsia="仿宋_GB2312" w:cs="仿宋_GB2312"/>
          <w:b w:val="0"/>
          <w:color w:val="auto"/>
          <w:sz w:val="32"/>
          <w:szCs w:val="32"/>
          <w:highlight w:val="none"/>
          <w:lang w:eastAsia="zh-Hans" w:bidi="ar"/>
        </w:rPr>
        <w:t>常运转，为部门正常履职和开展综合性事务管理提供有效支撑。</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为进一步推进</w:t>
      </w:r>
      <w:r>
        <w:rPr>
          <w:rStyle w:val="14"/>
          <w:rFonts w:hint="eastAsia" w:ascii="仿宋" w:hAnsi="仿宋" w:eastAsia="仿宋" w:cs="仿宋"/>
          <w:b w:val="0"/>
          <w:color w:val="auto"/>
          <w:sz w:val="32"/>
          <w:szCs w:val="32"/>
          <w:highlight w:val="none"/>
          <w:lang w:eastAsia="zh-CN" w:bidi="ar"/>
        </w:rPr>
        <w:t>单位年度重点</w:t>
      </w:r>
      <w:r>
        <w:rPr>
          <w:rStyle w:val="14"/>
          <w:rFonts w:hint="eastAsia" w:ascii="仿宋" w:hAnsi="仿宋" w:eastAsia="仿宋" w:cs="仿宋"/>
          <w:b w:val="0"/>
          <w:color w:val="auto"/>
          <w:sz w:val="32"/>
          <w:szCs w:val="32"/>
          <w:highlight w:val="none"/>
          <w:lang w:bidi="ar"/>
        </w:rPr>
        <w:t>工作</w:t>
      </w:r>
      <w:r>
        <w:rPr>
          <w:rStyle w:val="14"/>
          <w:rFonts w:hint="eastAsia" w:ascii="仿宋" w:hAnsi="仿宋" w:eastAsia="仿宋" w:cs="仿宋"/>
          <w:b w:val="0"/>
          <w:color w:val="auto"/>
          <w:sz w:val="32"/>
          <w:szCs w:val="32"/>
          <w:highlight w:val="none"/>
          <w:lang w:eastAsia="zh-CN" w:bidi="ar"/>
        </w:rPr>
        <w:t>落地生效</w:t>
      </w:r>
      <w:r>
        <w:rPr>
          <w:rStyle w:val="14"/>
          <w:rFonts w:hint="eastAsia" w:ascii="仿宋" w:hAnsi="仿宋" w:eastAsia="仿宋" w:cs="仿宋"/>
          <w:b w:val="0"/>
          <w:color w:val="auto"/>
          <w:sz w:val="32"/>
          <w:szCs w:val="32"/>
          <w:highlight w:val="none"/>
          <w:lang w:bidi="ar"/>
        </w:rPr>
        <w:t>，</w:t>
      </w:r>
      <w:r>
        <w:rPr>
          <w:rStyle w:val="14"/>
          <w:rFonts w:hint="eastAsia" w:cs="仿宋"/>
          <w:b w:val="0"/>
          <w:color w:val="auto"/>
          <w:sz w:val="32"/>
          <w:szCs w:val="32"/>
          <w:highlight w:val="none"/>
          <w:lang w:val="en-US" w:eastAsia="zh-CN" w:bidi="ar"/>
        </w:rPr>
        <w:t>我</w:t>
      </w:r>
      <w:r>
        <w:rPr>
          <w:rStyle w:val="14"/>
          <w:rFonts w:hint="eastAsia" w:ascii="仿宋" w:hAnsi="仿宋" w:eastAsia="仿宋" w:cs="仿宋"/>
          <w:b w:val="0"/>
          <w:color w:val="auto"/>
          <w:sz w:val="32"/>
          <w:szCs w:val="32"/>
          <w:highlight w:val="none"/>
          <w:lang w:eastAsia="zh-CN" w:bidi="ar"/>
        </w:rPr>
        <w:t>单位</w:t>
      </w:r>
      <w:r>
        <w:rPr>
          <w:rStyle w:val="14"/>
          <w:rFonts w:hint="eastAsia" w:ascii="仿宋" w:hAnsi="仿宋" w:eastAsia="仿宋" w:cs="仿宋"/>
          <w:b w:val="0"/>
          <w:color w:val="auto"/>
          <w:sz w:val="32"/>
          <w:szCs w:val="32"/>
          <w:highlight w:val="none"/>
          <w:lang w:bidi="ar"/>
        </w:rPr>
        <w:t>成立了以</w:t>
      </w:r>
      <w:r>
        <w:rPr>
          <w:rFonts w:hint="eastAsia" w:ascii="仿宋" w:hAnsi="仿宋" w:eastAsia="仿宋" w:cs="仿宋"/>
          <w:color w:val="auto"/>
          <w:sz w:val="32"/>
          <w:szCs w:val="32"/>
          <w:highlight w:val="none"/>
        </w:rPr>
        <w:t>主任</w:t>
      </w:r>
      <w:r>
        <w:rPr>
          <w:rStyle w:val="14"/>
          <w:rFonts w:hint="eastAsia" w:ascii="仿宋" w:hAnsi="仿宋" w:eastAsia="仿宋" w:cs="仿宋"/>
          <w:b w:val="0"/>
          <w:color w:val="auto"/>
          <w:sz w:val="32"/>
          <w:szCs w:val="32"/>
          <w:highlight w:val="none"/>
          <w:lang w:bidi="ar"/>
        </w:rPr>
        <w:t>为组长、各副</w:t>
      </w:r>
      <w:r>
        <w:rPr>
          <w:rFonts w:hint="eastAsia" w:ascii="仿宋" w:hAnsi="仿宋" w:eastAsia="仿宋" w:cs="仿宋"/>
          <w:color w:val="auto"/>
          <w:sz w:val="32"/>
          <w:szCs w:val="32"/>
          <w:highlight w:val="none"/>
        </w:rPr>
        <w:t>主任</w:t>
      </w:r>
      <w:r>
        <w:rPr>
          <w:rStyle w:val="14"/>
          <w:rFonts w:hint="eastAsia" w:ascii="仿宋" w:hAnsi="仿宋" w:eastAsia="仿宋" w:cs="仿宋"/>
          <w:b w:val="0"/>
          <w:color w:val="auto"/>
          <w:sz w:val="32"/>
          <w:szCs w:val="32"/>
          <w:highlight w:val="none"/>
          <w:lang w:bidi="ar"/>
        </w:rPr>
        <w:t>为副组长，各业务股室和财务室为成员的重点工作小组，办公室设在</w:t>
      </w:r>
      <w:r>
        <w:rPr>
          <w:rStyle w:val="14"/>
          <w:rFonts w:hint="eastAsia" w:cs="仿宋"/>
          <w:b w:val="0"/>
          <w:color w:val="auto"/>
          <w:sz w:val="32"/>
          <w:szCs w:val="32"/>
          <w:highlight w:val="none"/>
          <w:lang w:val="en-US" w:eastAsia="zh-CN" w:bidi="ar"/>
        </w:rPr>
        <w:t>行政办公</w:t>
      </w:r>
      <w:r>
        <w:rPr>
          <w:rStyle w:val="14"/>
          <w:rFonts w:hint="eastAsia" w:ascii="仿宋" w:hAnsi="仿宋" w:eastAsia="仿宋" w:cs="仿宋"/>
          <w:b w:val="0"/>
          <w:color w:val="auto"/>
          <w:sz w:val="32"/>
          <w:szCs w:val="32"/>
          <w:highlight w:val="none"/>
          <w:lang w:bidi="ar"/>
        </w:rPr>
        <w:t>室，负责牵头完成</w:t>
      </w:r>
      <w:r>
        <w:rPr>
          <w:rStyle w:val="14"/>
          <w:rFonts w:hint="eastAsia" w:ascii="仿宋" w:hAnsi="仿宋" w:eastAsia="仿宋" w:cs="仿宋"/>
          <w:b w:val="0"/>
          <w:color w:val="auto"/>
          <w:sz w:val="32"/>
          <w:szCs w:val="32"/>
          <w:highlight w:val="none"/>
          <w:lang w:eastAsia="zh-CN" w:bidi="ar"/>
        </w:rPr>
        <w:t>年度</w:t>
      </w:r>
      <w:r>
        <w:rPr>
          <w:rStyle w:val="14"/>
          <w:rFonts w:hint="eastAsia" w:ascii="仿宋" w:hAnsi="仿宋" w:eastAsia="仿宋" w:cs="仿宋"/>
          <w:b w:val="0"/>
          <w:color w:val="auto"/>
          <w:sz w:val="32"/>
          <w:szCs w:val="32"/>
          <w:highlight w:val="none"/>
          <w:lang w:bidi="ar"/>
        </w:rPr>
        <w:t>重点工作。</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cs="仿宋"/>
          <w:b w:val="0"/>
          <w:color w:val="auto"/>
          <w:sz w:val="32"/>
          <w:szCs w:val="32"/>
          <w:highlight w:val="none"/>
          <w:lang w:eastAsia="zh-CN" w:bidi="ar"/>
        </w:rPr>
        <w:t>沙湾市人民政府办公室</w:t>
      </w:r>
      <w:r>
        <w:rPr>
          <w:rStyle w:val="14"/>
          <w:rFonts w:hint="eastAsia" w:ascii="仿宋" w:hAnsi="仿宋" w:eastAsia="仿宋" w:cs="仿宋"/>
          <w:b w:val="0"/>
          <w:color w:val="auto"/>
          <w:sz w:val="32"/>
          <w:szCs w:val="32"/>
          <w:highlight w:val="none"/>
          <w:lang w:bidi="ar"/>
        </w:rPr>
        <w:t>单位年度重点工作小组成员如下：</w:t>
      </w:r>
    </w:p>
    <w:p>
      <w:pPr>
        <w:pageBreakBefore w:val="0"/>
        <w:kinsoku/>
        <w:wordWrap/>
        <w:overflowPunct/>
        <w:topLinePunct w:val="0"/>
        <w:autoSpaceDE/>
        <w:autoSpaceDN/>
        <w:bidi w:val="0"/>
        <w:snapToGrid w:val="0"/>
        <w:spacing w:line="560" w:lineRule="exact"/>
        <w:ind w:firstLine="1920" w:firstLineChars="6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组</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长：</w:t>
      </w:r>
      <w:r>
        <w:rPr>
          <w:rStyle w:val="14"/>
          <w:rFonts w:hint="eastAsia" w:cs="仿宋"/>
          <w:b w:val="0"/>
          <w:color w:val="auto"/>
          <w:sz w:val="32"/>
          <w:szCs w:val="32"/>
          <w:highlight w:val="none"/>
          <w:lang w:eastAsia="zh-CN" w:bidi="ar"/>
        </w:rPr>
        <w:t>任继刚</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主任</w:t>
      </w:r>
      <w:r>
        <w:rPr>
          <w:rStyle w:val="14"/>
          <w:rFonts w:hint="eastAsia" w:cs="仿宋"/>
          <w:b w:val="0"/>
          <w:color w:val="auto"/>
          <w:sz w:val="32"/>
          <w:szCs w:val="32"/>
          <w:highlight w:val="none"/>
          <w:lang w:eastAsia="zh-CN" w:bidi="ar"/>
        </w:rPr>
        <w:t>、</w:t>
      </w:r>
      <w:r>
        <w:rPr>
          <w:rStyle w:val="14"/>
          <w:rFonts w:hint="eastAsia" w:ascii="仿宋" w:hAnsi="仿宋" w:eastAsia="仿宋" w:cs="仿宋"/>
          <w:b w:val="0"/>
          <w:color w:val="auto"/>
          <w:sz w:val="32"/>
          <w:szCs w:val="32"/>
          <w:highlight w:val="none"/>
          <w:lang w:bidi="ar"/>
        </w:rPr>
        <w:t>党组书记</w:t>
      </w:r>
    </w:p>
    <w:p>
      <w:pPr>
        <w:pageBreakBefore w:val="0"/>
        <w:kinsoku/>
        <w:wordWrap/>
        <w:overflowPunct/>
        <w:topLinePunct w:val="0"/>
        <w:autoSpaceDE/>
        <w:autoSpaceDN/>
        <w:bidi w:val="0"/>
        <w:snapToGrid w:val="0"/>
        <w:spacing w:line="560" w:lineRule="exact"/>
        <w:ind w:firstLine="640" w:firstLineChars="200"/>
        <w:textAlignment w:val="auto"/>
        <w:rPr>
          <w:rStyle w:val="14"/>
          <w:rFonts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副组长：</w:t>
      </w:r>
      <w:r>
        <w:rPr>
          <w:rStyle w:val="14"/>
          <w:rFonts w:hint="eastAsia" w:cs="仿宋"/>
          <w:b w:val="0"/>
          <w:color w:val="auto"/>
          <w:sz w:val="32"/>
          <w:szCs w:val="32"/>
          <w:highlight w:val="none"/>
          <w:lang w:eastAsia="zh-CN" w:bidi="ar"/>
        </w:rPr>
        <w:t>王峰</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副主任</w:t>
      </w:r>
    </w:p>
    <w:p>
      <w:pPr>
        <w:pageBreakBefore w:val="0"/>
        <w:kinsoku/>
        <w:wordWrap/>
        <w:overflowPunct/>
        <w:topLinePunct w:val="0"/>
        <w:autoSpaceDE/>
        <w:autoSpaceDN/>
        <w:bidi w:val="0"/>
        <w:snapToGrid w:val="0"/>
        <w:spacing w:line="560" w:lineRule="exact"/>
        <w:ind w:firstLine="1920" w:firstLineChars="600"/>
        <w:textAlignment w:val="auto"/>
        <w:rPr>
          <w:rStyle w:val="14"/>
          <w:rFonts w:ascii="仿宋" w:hAnsi="仿宋" w:eastAsia="仿宋" w:cs="仿宋"/>
          <w:b w:val="0"/>
          <w:color w:val="auto"/>
          <w:sz w:val="32"/>
          <w:szCs w:val="32"/>
          <w:highlight w:val="none"/>
          <w:lang w:bidi="ar"/>
        </w:rPr>
      </w:pPr>
      <w:r>
        <w:rPr>
          <w:rStyle w:val="14"/>
          <w:rFonts w:hint="eastAsia" w:cs="仿宋"/>
          <w:b w:val="0"/>
          <w:color w:val="auto"/>
          <w:sz w:val="32"/>
          <w:szCs w:val="32"/>
          <w:highlight w:val="none"/>
          <w:lang w:eastAsia="zh-CN" w:bidi="ar"/>
        </w:rPr>
        <w:t>王佳</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副主任</w:t>
      </w:r>
    </w:p>
    <w:p>
      <w:pPr>
        <w:pageBreakBefore w:val="0"/>
        <w:kinsoku/>
        <w:wordWrap/>
        <w:overflowPunct/>
        <w:topLinePunct w:val="0"/>
        <w:autoSpaceDE/>
        <w:autoSpaceDN/>
        <w:bidi w:val="0"/>
        <w:snapToGrid w:val="0"/>
        <w:spacing w:line="560" w:lineRule="exact"/>
        <w:ind w:firstLine="640" w:firstLineChars="200"/>
        <w:textAlignment w:val="auto"/>
        <w:rPr>
          <w:rStyle w:val="14"/>
          <w:rFonts w:hint="default" w:ascii="仿宋" w:hAnsi="仿宋" w:eastAsia="仿宋" w:cs="仿宋"/>
          <w:b w:val="0"/>
          <w:color w:val="auto"/>
          <w:sz w:val="32"/>
          <w:szCs w:val="32"/>
          <w:highlight w:val="none"/>
          <w:lang w:val="en-US" w:eastAsia="zh-CN" w:bidi="ar"/>
        </w:rPr>
      </w:pPr>
      <w:r>
        <w:rPr>
          <w:rStyle w:val="14"/>
          <w:rFonts w:hint="eastAsia" w:cs="仿宋"/>
          <w:b w:val="0"/>
          <w:color w:val="auto"/>
          <w:sz w:val="32"/>
          <w:szCs w:val="32"/>
          <w:highlight w:val="none"/>
          <w:lang w:val="en-US" w:eastAsia="zh-CN" w:bidi="ar"/>
        </w:rPr>
        <w:t xml:space="preserve">        杨增华           信息化中心主任</w:t>
      </w:r>
    </w:p>
    <w:p>
      <w:pPr>
        <w:pageBreakBefore w:val="0"/>
        <w:kinsoku/>
        <w:wordWrap/>
        <w:overflowPunct/>
        <w:topLinePunct w:val="0"/>
        <w:autoSpaceDE/>
        <w:autoSpaceDN/>
        <w:bidi w:val="0"/>
        <w:snapToGrid w:val="0"/>
        <w:spacing w:line="56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成</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ascii="仿宋" w:hAnsi="仿宋" w:eastAsia="仿宋" w:cs="仿宋"/>
          <w:b w:val="0"/>
          <w:color w:val="auto"/>
          <w:sz w:val="32"/>
          <w:szCs w:val="32"/>
          <w:highlight w:val="none"/>
          <w:lang w:bidi="ar"/>
        </w:rPr>
        <w:t>员：</w:t>
      </w:r>
      <w:r>
        <w:rPr>
          <w:rStyle w:val="14"/>
          <w:rFonts w:hint="eastAsia" w:cs="仿宋"/>
          <w:b w:val="0"/>
          <w:color w:val="auto"/>
          <w:sz w:val="32"/>
          <w:szCs w:val="32"/>
          <w:highlight w:val="none"/>
          <w:lang w:eastAsia="zh-CN" w:bidi="ar"/>
        </w:rPr>
        <w:t>冉多柱</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eastAsia="zh-CN" w:bidi="ar"/>
        </w:rPr>
        <w:t>三级主任科员</w:t>
      </w:r>
    </w:p>
    <w:p>
      <w:pPr>
        <w:pageBreakBefore w:val="0"/>
        <w:kinsoku/>
        <w:wordWrap/>
        <w:overflowPunct/>
        <w:topLinePunct w:val="0"/>
        <w:autoSpaceDE/>
        <w:autoSpaceDN/>
        <w:bidi w:val="0"/>
        <w:snapToGrid w:val="0"/>
        <w:spacing w:line="560" w:lineRule="exact"/>
        <w:ind w:firstLine="1920" w:firstLineChars="600"/>
        <w:textAlignment w:val="auto"/>
        <w:rPr>
          <w:rStyle w:val="14"/>
          <w:rFonts w:hint="eastAsia" w:ascii="仿宋" w:hAnsi="仿宋" w:eastAsia="仿宋" w:cs="仿宋"/>
          <w:b w:val="0"/>
          <w:color w:val="auto"/>
          <w:sz w:val="32"/>
          <w:szCs w:val="32"/>
          <w:highlight w:val="none"/>
          <w:lang w:eastAsia="zh-CN" w:bidi="ar"/>
        </w:rPr>
      </w:pPr>
      <w:r>
        <w:rPr>
          <w:rStyle w:val="14"/>
          <w:rFonts w:hint="eastAsia" w:cs="仿宋"/>
          <w:b w:val="0"/>
          <w:color w:val="auto"/>
          <w:sz w:val="32"/>
          <w:szCs w:val="32"/>
          <w:highlight w:val="none"/>
          <w:lang w:eastAsia="zh-CN" w:bidi="ar"/>
        </w:rPr>
        <w:t>马彩云</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eastAsia="zh-CN" w:bidi="ar"/>
        </w:rPr>
        <w:t>行政秘书</w:t>
      </w:r>
    </w:p>
    <w:p>
      <w:pPr>
        <w:pageBreakBefore w:val="0"/>
        <w:kinsoku/>
        <w:wordWrap/>
        <w:overflowPunct/>
        <w:topLinePunct w:val="0"/>
        <w:autoSpaceDE/>
        <w:autoSpaceDN/>
        <w:bidi w:val="0"/>
        <w:snapToGrid w:val="0"/>
        <w:spacing w:line="560" w:lineRule="exact"/>
        <w:ind w:firstLine="1920" w:firstLineChars="600"/>
        <w:textAlignment w:val="auto"/>
        <w:rPr>
          <w:rStyle w:val="14"/>
          <w:rFonts w:hint="eastAsia" w:ascii="仿宋_GB2312" w:hAnsi="仿宋_GB2312" w:eastAsia="仿宋" w:cs="仿宋_GB2312"/>
          <w:b w:val="0"/>
          <w:color w:val="auto"/>
          <w:sz w:val="32"/>
          <w:szCs w:val="32"/>
          <w:highlight w:val="none"/>
          <w:lang w:eastAsia="zh-CN" w:bidi="ar"/>
        </w:rPr>
      </w:pPr>
      <w:r>
        <w:rPr>
          <w:rStyle w:val="14"/>
          <w:rFonts w:hint="eastAsia" w:cs="仿宋"/>
          <w:b w:val="0"/>
          <w:color w:val="auto"/>
          <w:sz w:val="32"/>
          <w:szCs w:val="32"/>
          <w:highlight w:val="none"/>
          <w:lang w:eastAsia="zh-CN" w:bidi="ar"/>
        </w:rPr>
        <w:t>兰雪玲</w:t>
      </w:r>
      <w:r>
        <w:rPr>
          <w:rStyle w:val="14"/>
          <w:rFonts w:hint="eastAsia" w:ascii="仿宋" w:hAnsi="仿宋" w:eastAsia="仿宋" w:cs="仿宋"/>
          <w:b w:val="0"/>
          <w:color w:val="auto"/>
          <w:sz w:val="32"/>
          <w:szCs w:val="32"/>
          <w:highlight w:val="none"/>
          <w:lang w:val="en-US" w:eastAsia="zh-CN" w:bidi="ar"/>
        </w:rPr>
        <w:t xml:space="preserve">   </w:t>
      </w:r>
      <w:r>
        <w:rPr>
          <w:rStyle w:val="14"/>
          <w:rFonts w:hint="eastAsia" w:cs="仿宋"/>
          <w:b w:val="0"/>
          <w:color w:val="auto"/>
          <w:sz w:val="32"/>
          <w:szCs w:val="32"/>
          <w:highlight w:val="none"/>
          <w:lang w:val="en-US" w:eastAsia="zh-CN" w:bidi="ar"/>
        </w:rPr>
        <w:t>办公室</w:t>
      </w:r>
      <w:r>
        <w:rPr>
          <w:rStyle w:val="14"/>
          <w:rFonts w:hint="eastAsia" w:cs="仿宋"/>
          <w:b w:val="0"/>
          <w:color w:val="auto"/>
          <w:sz w:val="32"/>
          <w:szCs w:val="32"/>
          <w:highlight w:val="none"/>
          <w:lang w:eastAsia="zh-CN" w:bidi="ar"/>
        </w:rPr>
        <w:t>后勤</w:t>
      </w:r>
    </w:p>
    <w:p>
      <w:pPr>
        <w:pStyle w:val="4"/>
        <w:numPr>
          <w:ilvl w:val="0"/>
          <w:numId w:val="1"/>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部门单位整体预算规模及安排情况</w:t>
      </w:r>
    </w:p>
    <w:p>
      <w:pPr>
        <w:pStyle w:val="16"/>
        <w:snapToGrid w:val="0"/>
        <w:spacing w:line="570" w:lineRule="exact"/>
        <w:ind w:firstLine="643"/>
        <w:outlineLvl w:val="2"/>
        <w:rPr>
          <w:rStyle w:val="14"/>
          <w:rFonts w:ascii="仿宋_GB2312" w:hAnsi="仿宋_GB2312" w:eastAsia="仿宋_GB2312" w:cs="仿宋_GB2312"/>
          <w:b/>
          <w:bCs w:val="0"/>
          <w:color w:val="auto"/>
          <w:sz w:val="32"/>
          <w:szCs w:val="32"/>
          <w:highlight w:val="none"/>
          <w:lang w:bidi="ar"/>
        </w:rPr>
      </w:pPr>
      <w:r>
        <w:rPr>
          <w:rStyle w:val="14"/>
          <w:rFonts w:hint="eastAsia" w:ascii="仿宋_GB2312" w:hAnsi="仿宋_GB2312" w:eastAsia="仿宋_GB2312" w:cs="仿宋_GB2312"/>
          <w:b/>
          <w:bCs w:val="0"/>
          <w:color w:val="auto"/>
          <w:sz w:val="32"/>
          <w:szCs w:val="32"/>
          <w:highlight w:val="none"/>
          <w:lang w:bidi="ar"/>
        </w:rPr>
        <w:t>1.部门单位预算编制及分配依据</w:t>
      </w:r>
    </w:p>
    <w:p>
      <w:pPr>
        <w:pStyle w:val="16"/>
        <w:snapToGrid w:val="0"/>
        <w:spacing w:line="57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val="en-US" w:eastAsia="zh-CN" w:bidi="ar"/>
        </w:rPr>
        <w:t>本</w:t>
      </w:r>
      <w:r>
        <w:rPr>
          <w:rStyle w:val="14"/>
          <w:rFonts w:hint="eastAsia" w:ascii="仿宋_GB2312" w:hAnsi="仿宋_GB2312" w:eastAsia="仿宋_GB2312" w:cs="仿宋_GB2312"/>
          <w:b w:val="0"/>
          <w:color w:val="auto"/>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2.分配结果</w:t>
      </w:r>
    </w:p>
    <w:p>
      <w:pPr>
        <w:widowControl/>
        <w:ind w:firstLine="643"/>
        <w:jc w:val="left"/>
        <w:rPr>
          <w:rStyle w:val="14"/>
          <w:rFonts w:hint="eastAsia" w:ascii="仿宋_GB2312" w:hAnsi="仿宋_GB2312" w:eastAsia="仿宋_GB2312" w:cs="仿宋_GB2312"/>
          <w:b w:val="0"/>
          <w:color w:val="auto"/>
          <w:kern w:val="2"/>
          <w:sz w:val="32"/>
          <w:szCs w:val="32"/>
          <w:highlight w:val="none"/>
          <w:lang w:val="en-US" w:eastAsia="zh-CN" w:bidi="ar"/>
        </w:rPr>
      </w:pPr>
      <w:r>
        <w:rPr>
          <w:rStyle w:val="14"/>
          <w:rFonts w:hint="eastAsia" w:ascii="仿宋_GB2312" w:hAnsi="仿宋_GB2312" w:eastAsia="仿宋_GB2312" w:cs="仿宋_GB2312"/>
          <w:b w:val="0"/>
          <w:color w:val="auto"/>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snapToGrid w:val="0"/>
        <w:spacing w:line="570" w:lineRule="exact"/>
        <w:ind w:firstLine="640"/>
        <w:rPr>
          <w:rFonts w:hint="eastAsia" w:ascii="仿宋_GB2312" w:eastAsia="仿宋_GB2312"/>
          <w:b/>
          <w:bCs/>
          <w:color w:val="auto"/>
          <w:sz w:val="32"/>
          <w:szCs w:val="32"/>
          <w:highlight w:val="none"/>
          <w:lang w:val="en-US" w:eastAsia="zh-CN"/>
        </w:rPr>
      </w:pPr>
      <w:r>
        <w:rPr>
          <w:rStyle w:val="14"/>
          <w:rFonts w:hint="eastAsia" w:ascii="仿宋_GB2312" w:hAnsi="仿宋_GB2312" w:eastAsia="仿宋_GB2312" w:cs="仿宋_GB2312"/>
          <w:b w:val="0"/>
          <w:color w:val="auto"/>
          <w:sz w:val="32"/>
          <w:szCs w:val="32"/>
          <w:highlight w:val="none"/>
          <w:lang w:bidi="ar"/>
        </w:rPr>
        <w:t>预算编制和分配符合</w:t>
      </w:r>
      <w:r>
        <w:rPr>
          <w:rStyle w:val="14"/>
          <w:rFonts w:hint="eastAsia" w:ascii="仿宋_GB2312" w:hAnsi="仿宋_GB2312" w:eastAsia="仿宋_GB2312" w:cs="仿宋_GB2312"/>
          <w:b w:val="0"/>
          <w:color w:val="auto"/>
          <w:sz w:val="32"/>
          <w:szCs w:val="32"/>
          <w:highlight w:val="none"/>
          <w:lang w:eastAsia="zh-Hans" w:bidi="ar"/>
        </w:rPr>
        <w:t>本</w:t>
      </w:r>
      <w:r>
        <w:rPr>
          <w:rStyle w:val="14"/>
          <w:rFonts w:hint="eastAsia" w:ascii="仿宋_GB2312" w:hAnsi="仿宋_GB2312" w:eastAsia="仿宋_GB2312" w:cs="仿宋_GB2312"/>
          <w:b w:val="0"/>
          <w:color w:val="auto"/>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00" w:lineRule="exact"/>
        <w:ind w:firstLine="643" w:firstLineChars="200"/>
        <w:textAlignment w:val="auto"/>
        <w:rPr>
          <w:rFonts w:hint="eastAsia" w:ascii="方正仿宋_GBK" w:hAnsi="方正仿宋_GBK" w:eastAsia="方正仿宋_GBK" w:cs="方正仿宋_GBK"/>
          <w:b/>
          <w:bCs/>
          <w:color w:val="auto"/>
          <w:kern w:val="2"/>
          <w:sz w:val="32"/>
          <w:szCs w:val="32"/>
          <w:highlight w:val="none"/>
          <w:lang w:val="en-US" w:eastAsia="zh-CN" w:bidi="ar-SA"/>
        </w:rPr>
      </w:pPr>
      <w:r>
        <w:rPr>
          <w:rFonts w:hint="eastAsia" w:ascii="仿宋_GB2312" w:eastAsia="仿宋_GB2312"/>
          <w:b/>
          <w:bCs/>
          <w:color w:val="auto"/>
          <w:sz w:val="32"/>
          <w:szCs w:val="32"/>
          <w:highlight w:val="none"/>
          <w:lang w:val="en-US" w:eastAsia="zh-CN"/>
        </w:rPr>
        <w:t>3.</w:t>
      </w:r>
      <w:r>
        <w:rPr>
          <w:rFonts w:hint="eastAsia" w:ascii="方正仿宋_GBK" w:hAnsi="方正仿宋_GBK" w:eastAsia="方正仿宋_GBK" w:cs="方正仿宋_GBK"/>
          <w:b/>
          <w:bCs/>
          <w:color w:val="auto"/>
          <w:kern w:val="2"/>
          <w:sz w:val="32"/>
          <w:szCs w:val="32"/>
          <w:highlight w:val="none"/>
          <w:lang w:val="en-US" w:eastAsia="zh-CN" w:bidi="ar-SA"/>
        </w:rPr>
        <w:t>年初预算安排规模</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2</w:t>
      </w:r>
      <w:r>
        <w:rPr>
          <w:rStyle w:val="14"/>
          <w:rFonts w:ascii="仿宋" w:hAnsi="仿宋" w:eastAsia="仿宋" w:cs="仿宋"/>
          <w:b w:val="0"/>
          <w:color w:val="auto"/>
          <w:sz w:val="32"/>
          <w:szCs w:val="32"/>
          <w:highlight w:val="none"/>
          <w:lang w:bidi="ar"/>
        </w:rPr>
        <w:t>02</w:t>
      </w:r>
      <w:r>
        <w:rPr>
          <w:rStyle w:val="14"/>
          <w:rFonts w:hint="eastAsia" w:ascii="仿宋" w:hAnsi="仿宋" w:eastAsia="仿宋"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bidi="ar"/>
        </w:rPr>
        <w:t>年整体支出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预算为</w:t>
      </w:r>
      <w:r>
        <w:rPr>
          <w:rFonts w:hint="eastAsia" w:cs="仿宋"/>
          <w:color w:val="auto"/>
          <w:sz w:val="32"/>
          <w:szCs w:val="32"/>
          <w:highlight w:val="none"/>
          <w:lang w:val="en-US" w:eastAsia="zh-CN"/>
        </w:rPr>
        <w:t>839.48</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基本支出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792.79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主要用于发放人员工资及保障单位基本办公需求。</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4"/>
          <w:rFonts w:hint="eastAsia" w:ascii="仿宋" w:hAnsi="仿宋" w:eastAsia="仿宋" w:cs="仿宋"/>
          <w:b w:val="0"/>
          <w:color w:val="auto"/>
          <w:sz w:val="32"/>
          <w:szCs w:val="32"/>
          <w:highlight w:val="none"/>
          <w:lang w:bidi="ar"/>
        </w:rPr>
      </w:pPr>
      <w:r>
        <w:rPr>
          <w:rStyle w:val="14"/>
          <w:rFonts w:hint="eastAsia" w:ascii="仿宋" w:hAnsi="仿宋" w:eastAsia="仿宋" w:cs="仿宋"/>
          <w:b w:val="0"/>
          <w:color w:val="auto"/>
          <w:sz w:val="32"/>
          <w:szCs w:val="32"/>
          <w:highlight w:val="none"/>
          <w:lang w:bidi="ar"/>
        </w:rPr>
        <w:t>项目支出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46.69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，其中：</w:t>
      </w:r>
      <w:r>
        <w:rPr>
          <w:rStyle w:val="14"/>
          <w:rFonts w:hint="eastAsia" w:cs="仿宋"/>
          <w:b w:val="0"/>
          <w:color w:val="auto"/>
          <w:sz w:val="32"/>
          <w:szCs w:val="32"/>
          <w:highlight w:val="none"/>
          <w:lang w:eastAsia="zh-CN" w:bidi="ar"/>
        </w:rPr>
        <w:t>（</w:t>
      </w:r>
      <w:r>
        <w:rPr>
          <w:rStyle w:val="14"/>
          <w:rFonts w:hint="eastAsia" w:cs="仿宋"/>
          <w:b w:val="0"/>
          <w:color w:val="auto"/>
          <w:sz w:val="32"/>
          <w:szCs w:val="32"/>
          <w:highlight w:val="none"/>
          <w:lang w:val="en-US" w:eastAsia="zh-CN" w:bidi="ar"/>
        </w:rPr>
        <w:t>1</w:t>
      </w:r>
      <w:r>
        <w:rPr>
          <w:rStyle w:val="14"/>
          <w:rFonts w:hint="eastAsia" w:cs="仿宋"/>
          <w:b w:val="0"/>
          <w:color w:val="auto"/>
          <w:sz w:val="32"/>
          <w:szCs w:val="32"/>
          <w:highlight w:val="none"/>
          <w:lang w:eastAsia="zh-CN" w:bidi="ar"/>
        </w:rPr>
        <w:t>）</w:t>
      </w:r>
      <w:r>
        <w:rPr>
          <w:rStyle w:val="14"/>
          <w:rFonts w:hint="eastAsia" w:cs="仿宋"/>
          <w:b w:val="0"/>
          <w:color w:val="auto"/>
          <w:sz w:val="32"/>
          <w:szCs w:val="32"/>
          <w:highlight w:val="none"/>
          <w:lang w:val="en-US" w:eastAsia="zh-CN" w:bidi="ar"/>
        </w:rPr>
        <w:t>化解ABCD</w:t>
      </w:r>
      <w:r>
        <w:rPr>
          <w:rStyle w:val="14"/>
          <w:rFonts w:hint="eastAsia" w:ascii="仿宋" w:hAnsi="仿宋" w:eastAsia="仿宋" w:cs="仿宋"/>
          <w:b w:val="0"/>
          <w:color w:val="auto"/>
          <w:sz w:val="32"/>
          <w:szCs w:val="32"/>
          <w:highlight w:val="none"/>
          <w:lang w:val="en-US" w:eastAsia="zh-CN" w:bidi="ar"/>
        </w:rPr>
        <w:t>项目</w:t>
      </w:r>
      <w:r>
        <w:rPr>
          <w:rStyle w:val="14"/>
          <w:rFonts w:hint="eastAsia"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w:t>
      </w:r>
      <w:r>
        <w:rPr>
          <w:rStyle w:val="14"/>
          <w:rFonts w:hint="eastAsia" w:ascii="仿宋" w:hAnsi="仿宋" w:eastAsia="仿宋" w:cs="仿宋"/>
          <w:b w:val="0"/>
          <w:color w:val="auto"/>
          <w:sz w:val="32"/>
          <w:szCs w:val="32"/>
          <w:highlight w:val="none"/>
          <w:lang w:val="en-US" w:eastAsia="zh-CN" w:bidi="ar"/>
        </w:rPr>
        <w:t>沙湾大盘鸡产业发展规划编制费；</w:t>
      </w:r>
      <w:r>
        <w:rPr>
          <w:rStyle w:val="14"/>
          <w:rFonts w:hint="eastAsia" w:cs="仿宋"/>
          <w:b w:val="0"/>
          <w:color w:val="auto"/>
          <w:sz w:val="32"/>
          <w:szCs w:val="32"/>
          <w:highlight w:val="none"/>
          <w:lang w:val="en-US" w:eastAsia="zh-CN" w:bidi="ar"/>
        </w:rPr>
        <w:t>（2）法律服务费</w:t>
      </w:r>
      <w:r>
        <w:rPr>
          <w:rStyle w:val="14"/>
          <w:rFonts w:hint="eastAsia" w:ascii="仿宋" w:hAnsi="仿宋" w:eastAsia="仿宋" w:cs="仿宋"/>
          <w:b w:val="0"/>
          <w:color w:val="auto"/>
          <w:sz w:val="32"/>
          <w:szCs w:val="32"/>
          <w:highlight w:val="none"/>
          <w:lang w:val="en-US" w:eastAsia="zh-CN" w:bidi="ar"/>
        </w:rPr>
        <w:t>项目</w:t>
      </w:r>
      <w:r>
        <w:rPr>
          <w:rStyle w:val="14"/>
          <w:rFonts w:hint="eastAsia" w:cs="仿宋"/>
          <w:b w:val="0"/>
          <w:color w:val="auto"/>
          <w:sz w:val="32"/>
          <w:szCs w:val="32"/>
          <w:highlight w:val="none"/>
          <w:lang w:val="en-US" w:eastAsia="zh-CN" w:bidi="ar"/>
        </w:rPr>
        <w:t>40</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2021年和2022年法律服务费；（3）援疆干部补助2.8万元，</w:t>
      </w:r>
      <w:r>
        <w:rPr>
          <w:rStyle w:val="14"/>
          <w:rFonts w:hint="eastAsia" w:ascii="仿宋" w:hAnsi="仿宋" w:eastAsia="仿宋" w:cs="仿宋"/>
          <w:b w:val="0"/>
          <w:color w:val="auto"/>
          <w:sz w:val="32"/>
          <w:szCs w:val="32"/>
          <w:highlight w:val="none"/>
          <w:lang w:val="en-US" w:eastAsia="zh-CN" w:bidi="ar"/>
        </w:rPr>
        <w:t>主要用于</w:t>
      </w:r>
      <w:r>
        <w:rPr>
          <w:rStyle w:val="14"/>
          <w:rFonts w:hint="eastAsia" w:cs="仿宋"/>
          <w:b w:val="0"/>
          <w:color w:val="auto"/>
          <w:sz w:val="32"/>
          <w:szCs w:val="32"/>
          <w:highlight w:val="none"/>
          <w:lang w:val="en-US" w:eastAsia="zh-CN" w:bidi="ar"/>
        </w:rPr>
        <w:t>援疆干部应享受的新疆地区补贴，（4）沙湾宾馆退休人员交通补助取暖费0.89万元，</w:t>
      </w:r>
      <w:r>
        <w:rPr>
          <w:rStyle w:val="14"/>
          <w:rFonts w:hint="eastAsia" w:ascii="仿宋" w:hAnsi="仿宋" w:eastAsia="仿宋" w:cs="仿宋"/>
          <w:b w:val="0"/>
          <w:color w:val="auto"/>
          <w:sz w:val="32"/>
          <w:szCs w:val="32"/>
          <w:highlight w:val="none"/>
          <w:lang w:val="en-US" w:eastAsia="zh-CN" w:bidi="ar"/>
        </w:rPr>
        <w:t>主要用于</w:t>
      </w:r>
      <w:r>
        <w:rPr>
          <w:rStyle w:val="14"/>
          <w:rFonts w:hint="eastAsia" w:cs="仿宋"/>
          <w:b w:val="0"/>
          <w:color w:val="auto"/>
          <w:sz w:val="32"/>
          <w:szCs w:val="32"/>
          <w:highlight w:val="none"/>
          <w:lang w:val="en-US" w:eastAsia="zh-CN" w:bidi="ar"/>
        </w:rPr>
        <w:t>落实沙湾宾馆退休人员待遇</w:t>
      </w:r>
      <w:r>
        <w:rPr>
          <w:rStyle w:val="14"/>
          <w:rFonts w:hint="eastAsia" w:ascii="仿宋" w:hAnsi="仿宋" w:eastAsia="仿宋" w:cs="仿宋"/>
          <w:b w:val="0"/>
          <w:color w:val="auto"/>
          <w:sz w:val="32"/>
          <w:szCs w:val="32"/>
          <w:highlight w:val="none"/>
          <w:lang w:bidi="ar"/>
        </w:rPr>
        <w:t>。</w:t>
      </w:r>
    </w:p>
    <w:p>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4全年预算安排规模</w:t>
      </w:r>
    </w:p>
    <w:p>
      <w:pPr>
        <w:ind w:firstLine="640" w:firstLineChars="200"/>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2</w:t>
      </w:r>
      <w:r>
        <w:rPr>
          <w:rStyle w:val="14"/>
          <w:rFonts w:ascii="仿宋" w:hAnsi="仿宋" w:eastAsia="仿宋" w:cs="仿宋"/>
          <w:b w:val="0"/>
          <w:color w:val="auto"/>
          <w:sz w:val="32"/>
          <w:szCs w:val="32"/>
          <w:highlight w:val="none"/>
          <w:lang w:bidi="ar"/>
        </w:rPr>
        <w:t>02</w:t>
      </w:r>
      <w:r>
        <w:rPr>
          <w:rStyle w:val="14"/>
          <w:rFonts w:hint="eastAsia" w:ascii="仿宋" w:hAnsi="仿宋" w:eastAsia="仿宋"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bidi="ar"/>
        </w:rPr>
        <w:t>年整体支出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预算为</w:t>
      </w:r>
      <w:r>
        <w:rPr>
          <w:rFonts w:hint="eastAsia" w:cs="仿宋"/>
          <w:color w:val="auto"/>
          <w:sz w:val="32"/>
          <w:szCs w:val="32"/>
          <w:highlight w:val="none"/>
          <w:lang w:val="en-US" w:eastAsia="zh-CN"/>
        </w:rPr>
        <w:t>839.48</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119.05</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958.53</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w:t>
      </w:r>
    </w:p>
    <w:p>
      <w:pPr>
        <w:ind w:firstLine="640" w:firstLineChars="200"/>
        <w:rPr>
          <w:rStyle w:val="14"/>
          <w:rFonts w:hint="eastAsia" w:ascii="仿宋" w:hAnsi="仿宋" w:eastAsia="仿宋" w:cs="仿宋"/>
          <w:b w:val="0"/>
          <w:color w:val="auto"/>
          <w:sz w:val="32"/>
          <w:szCs w:val="32"/>
          <w:highlight w:val="none"/>
          <w:lang w:eastAsia="zh-CN" w:bidi="ar"/>
        </w:rPr>
      </w:pPr>
      <w:r>
        <w:rPr>
          <w:rStyle w:val="14"/>
          <w:rFonts w:hint="eastAsia" w:ascii="仿宋" w:hAnsi="仿宋" w:eastAsia="仿宋" w:cs="仿宋"/>
          <w:b w:val="0"/>
          <w:color w:val="auto"/>
          <w:sz w:val="32"/>
          <w:szCs w:val="32"/>
          <w:highlight w:val="none"/>
          <w:lang w:bidi="ar"/>
        </w:rPr>
        <w:t>基本支出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792.79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150.26</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943.05</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。主要用于发放人员工资及保障单位基本办公需求。</w:t>
      </w:r>
    </w:p>
    <w:p>
      <w:pPr>
        <w:ind w:firstLine="640" w:firstLineChars="200"/>
        <w:rPr>
          <w:rFonts w:hint="default"/>
          <w:color w:val="auto"/>
          <w:highlight w:val="none"/>
          <w:lang w:val="en-US"/>
        </w:rPr>
      </w:pPr>
      <w:r>
        <w:rPr>
          <w:rStyle w:val="14"/>
          <w:rFonts w:hint="eastAsia" w:ascii="仿宋" w:hAnsi="仿宋" w:eastAsia="仿宋" w:cs="仿宋"/>
          <w:b w:val="0"/>
          <w:color w:val="auto"/>
          <w:sz w:val="32"/>
          <w:szCs w:val="32"/>
          <w:highlight w:val="none"/>
          <w:lang w:bidi="ar"/>
        </w:rPr>
        <w:t>项目支出</w:t>
      </w:r>
      <w:r>
        <w:rPr>
          <w:rStyle w:val="14"/>
          <w:rFonts w:hint="eastAsia" w:ascii="仿宋" w:hAnsi="仿宋" w:eastAsia="仿宋" w:cs="仿宋"/>
          <w:b w:val="0"/>
          <w:color w:val="auto"/>
          <w:sz w:val="32"/>
          <w:szCs w:val="32"/>
          <w:highlight w:val="none"/>
          <w:lang w:eastAsia="zh-CN" w:bidi="ar"/>
        </w:rPr>
        <w:t>年初</w:t>
      </w:r>
      <w:r>
        <w:rPr>
          <w:rStyle w:val="14"/>
          <w:rFonts w:hint="eastAsia" w:ascii="仿宋" w:hAnsi="仿宋" w:eastAsia="仿宋" w:cs="仿宋"/>
          <w:b w:val="0"/>
          <w:color w:val="auto"/>
          <w:sz w:val="32"/>
          <w:szCs w:val="32"/>
          <w:highlight w:val="none"/>
          <w:lang w:bidi="ar"/>
        </w:rPr>
        <w:t>预算</w:t>
      </w:r>
      <w:r>
        <w:rPr>
          <w:rStyle w:val="14"/>
          <w:rFonts w:hint="eastAsia" w:ascii="仿宋" w:hAnsi="仿宋" w:eastAsia="仿宋" w:cs="仿宋"/>
          <w:b w:val="0"/>
          <w:color w:val="auto"/>
          <w:sz w:val="32"/>
          <w:szCs w:val="32"/>
          <w:highlight w:val="none"/>
          <w:lang w:eastAsia="zh-CN" w:bidi="ar"/>
        </w:rPr>
        <w:t>为</w:t>
      </w:r>
      <w:r>
        <w:rPr>
          <w:rFonts w:hint="eastAsia" w:cs="仿宋"/>
          <w:color w:val="auto"/>
          <w:sz w:val="32"/>
          <w:szCs w:val="32"/>
          <w:highlight w:val="none"/>
          <w:lang w:val="en-US" w:eastAsia="zh-CN"/>
        </w:rPr>
        <w:t>46.69</w:t>
      </w:r>
      <w:r>
        <w:rPr>
          <w:rStyle w:val="14"/>
          <w:rFonts w:hint="eastAsia" w:ascii="仿宋" w:hAnsi="仿宋" w:eastAsia="仿宋" w:cs="仿宋"/>
          <w:b w:val="0"/>
          <w:color w:val="auto"/>
          <w:sz w:val="32"/>
          <w:szCs w:val="32"/>
          <w:highlight w:val="none"/>
          <w:lang w:bidi="ar"/>
        </w:rPr>
        <w:t>万元</w:t>
      </w:r>
      <w:r>
        <w:rPr>
          <w:rStyle w:val="14"/>
          <w:rFonts w:hint="eastAsia" w:ascii="仿宋" w:hAnsi="仿宋" w:eastAsia="仿宋" w:cs="仿宋"/>
          <w:b w:val="0"/>
          <w:color w:val="auto"/>
          <w:sz w:val="32"/>
          <w:szCs w:val="32"/>
          <w:highlight w:val="none"/>
          <w:lang w:eastAsia="zh-CN" w:bidi="ar"/>
        </w:rPr>
        <w:t>，预算调整数为</w:t>
      </w:r>
      <w:r>
        <w:rPr>
          <w:rStyle w:val="14"/>
          <w:rFonts w:hint="eastAsia" w:cs="仿宋"/>
          <w:b w:val="0"/>
          <w:color w:val="auto"/>
          <w:sz w:val="32"/>
          <w:szCs w:val="32"/>
          <w:highlight w:val="none"/>
          <w:lang w:val="en-US" w:eastAsia="zh-CN" w:bidi="ar"/>
        </w:rPr>
        <w:t>31.21</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15.48</w:t>
      </w:r>
      <w:r>
        <w:rPr>
          <w:rStyle w:val="14"/>
          <w:rFonts w:hint="eastAsia" w:ascii="仿宋" w:hAnsi="仿宋" w:eastAsia="仿宋" w:cs="仿宋"/>
          <w:b w:val="0"/>
          <w:color w:val="auto"/>
          <w:sz w:val="32"/>
          <w:szCs w:val="32"/>
          <w:highlight w:val="none"/>
          <w:lang w:val="en-US" w:eastAsia="zh-CN" w:bidi="ar"/>
        </w:rPr>
        <w:t>万元。</w:t>
      </w:r>
      <w:r>
        <w:rPr>
          <w:rStyle w:val="14"/>
          <w:rFonts w:hint="eastAsia" w:ascii="仿宋" w:hAnsi="仿宋" w:eastAsia="仿宋" w:cs="仿宋"/>
          <w:b w:val="0"/>
          <w:color w:val="auto"/>
          <w:sz w:val="32"/>
          <w:szCs w:val="32"/>
          <w:highlight w:val="none"/>
          <w:lang w:eastAsia="zh-CN" w:bidi="ar"/>
        </w:rPr>
        <w:t>其中：</w:t>
      </w:r>
      <w:r>
        <w:rPr>
          <w:rStyle w:val="14"/>
          <w:rFonts w:hint="eastAsia" w:cs="仿宋"/>
          <w:b w:val="0"/>
          <w:color w:val="auto"/>
          <w:sz w:val="32"/>
          <w:szCs w:val="32"/>
          <w:highlight w:val="none"/>
          <w:lang w:eastAsia="zh-CN" w:bidi="ar"/>
        </w:rPr>
        <w:t>（</w:t>
      </w:r>
      <w:r>
        <w:rPr>
          <w:rStyle w:val="14"/>
          <w:rFonts w:hint="eastAsia" w:cs="仿宋"/>
          <w:b w:val="0"/>
          <w:color w:val="auto"/>
          <w:sz w:val="32"/>
          <w:szCs w:val="32"/>
          <w:highlight w:val="none"/>
          <w:lang w:val="en-US" w:eastAsia="zh-CN" w:bidi="ar"/>
        </w:rPr>
        <w:t>1</w:t>
      </w:r>
      <w:r>
        <w:rPr>
          <w:rStyle w:val="14"/>
          <w:rFonts w:hint="eastAsia" w:cs="仿宋"/>
          <w:b w:val="0"/>
          <w:color w:val="auto"/>
          <w:sz w:val="32"/>
          <w:szCs w:val="32"/>
          <w:highlight w:val="none"/>
          <w:lang w:eastAsia="zh-CN" w:bidi="ar"/>
        </w:rPr>
        <w:t>）</w:t>
      </w:r>
      <w:r>
        <w:rPr>
          <w:rStyle w:val="14"/>
          <w:rFonts w:hint="eastAsia" w:cs="仿宋"/>
          <w:b w:val="0"/>
          <w:color w:val="auto"/>
          <w:sz w:val="32"/>
          <w:szCs w:val="32"/>
          <w:highlight w:val="none"/>
          <w:lang w:val="en-US" w:eastAsia="zh-CN" w:bidi="ar"/>
        </w:rPr>
        <w:t>归还沙湾大盘鸡产业规划欠款</w:t>
      </w:r>
      <w:r>
        <w:rPr>
          <w:rStyle w:val="14"/>
          <w:rFonts w:hint="eastAsia" w:ascii="仿宋" w:hAnsi="仿宋" w:eastAsia="仿宋" w:cs="仿宋"/>
          <w:b w:val="0"/>
          <w:color w:val="auto"/>
          <w:sz w:val="32"/>
          <w:szCs w:val="32"/>
          <w:highlight w:val="none"/>
          <w:lang w:val="en-US" w:eastAsia="zh-CN" w:bidi="ar"/>
        </w:rPr>
        <w:t>项目年初预算为</w:t>
      </w:r>
      <w:r>
        <w:rPr>
          <w:rStyle w:val="14"/>
          <w:rFonts w:hint="eastAsia"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3</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支付</w:t>
      </w:r>
      <w:r>
        <w:rPr>
          <w:rStyle w:val="14"/>
          <w:rFonts w:hint="eastAsia" w:ascii="仿宋" w:hAnsi="仿宋" w:eastAsia="仿宋" w:cs="仿宋"/>
          <w:b w:val="0"/>
          <w:color w:val="auto"/>
          <w:sz w:val="32"/>
          <w:szCs w:val="32"/>
          <w:highlight w:val="none"/>
          <w:lang w:val="en-US" w:eastAsia="zh-CN" w:bidi="ar"/>
        </w:rPr>
        <w:t>沙湾大盘鸡产业发展规划编制费；</w:t>
      </w:r>
      <w:r>
        <w:rPr>
          <w:rStyle w:val="14"/>
          <w:rFonts w:hint="eastAsia" w:cs="仿宋"/>
          <w:b w:val="0"/>
          <w:color w:val="auto"/>
          <w:sz w:val="32"/>
          <w:szCs w:val="32"/>
          <w:highlight w:val="none"/>
          <w:lang w:val="en-US" w:eastAsia="zh-CN" w:bidi="ar"/>
        </w:rPr>
        <w:t>（2）为民办实事</w:t>
      </w:r>
      <w:r>
        <w:rPr>
          <w:rStyle w:val="14"/>
          <w:rFonts w:hint="eastAsia" w:ascii="仿宋" w:hAnsi="仿宋" w:eastAsia="仿宋" w:cs="仿宋"/>
          <w:b w:val="0"/>
          <w:color w:val="auto"/>
          <w:sz w:val="32"/>
          <w:szCs w:val="32"/>
          <w:highlight w:val="none"/>
          <w:lang w:val="en-US" w:eastAsia="zh-CN" w:bidi="ar"/>
        </w:rPr>
        <w:t>工作专项经费项目年初预算为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12.48</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12.48</w:t>
      </w:r>
      <w:r>
        <w:rPr>
          <w:rStyle w:val="14"/>
          <w:rFonts w:hint="eastAsia" w:ascii="仿宋" w:hAnsi="仿宋" w:eastAsia="仿宋" w:cs="仿宋"/>
          <w:b w:val="0"/>
          <w:color w:val="auto"/>
          <w:sz w:val="32"/>
          <w:szCs w:val="32"/>
          <w:highlight w:val="none"/>
          <w:lang w:val="en-US" w:eastAsia="zh-CN" w:bidi="ar"/>
        </w:rPr>
        <w:t>万元，主要用于</w:t>
      </w:r>
      <w:r>
        <w:rPr>
          <w:rStyle w:val="14"/>
          <w:rFonts w:hint="eastAsia" w:cs="仿宋"/>
          <w:b w:val="0"/>
          <w:color w:val="auto"/>
          <w:sz w:val="32"/>
          <w:szCs w:val="32"/>
          <w:highlight w:val="none"/>
          <w:lang w:val="en-US" w:eastAsia="zh-CN" w:bidi="ar"/>
        </w:rPr>
        <w:t>为民办实事</w:t>
      </w:r>
      <w:r>
        <w:rPr>
          <w:rStyle w:val="14"/>
          <w:rFonts w:hint="eastAsia" w:ascii="仿宋" w:hAnsi="仿宋" w:eastAsia="仿宋" w:cs="仿宋"/>
          <w:b w:val="0"/>
          <w:color w:val="auto"/>
          <w:sz w:val="32"/>
          <w:szCs w:val="32"/>
          <w:highlight w:val="none"/>
          <w:lang w:val="en-US" w:eastAsia="zh-CN" w:bidi="ar"/>
        </w:rPr>
        <w:t>工作专项经费项目</w:t>
      </w:r>
      <w:r>
        <w:rPr>
          <w:rStyle w:val="14"/>
          <w:rFonts w:hint="eastAsia" w:cs="仿宋"/>
          <w:b w:val="0"/>
          <w:color w:val="auto"/>
          <w:sz w:val="32"/>
          <w:szCs w:val="32"/>
          <w:highlight w:val="none"/>
          <w:lang w:val="en-US" w:eastAsia="zh-CN" w:bidi="ar"/>
        </w:rPr>
        <w:t>支出；（3）法律服务费项目</w:t>
      </w:r>
      <w:r>
        <w:rPr>
          <w:rStyle w:val="14"/>
          <w:rFonts w:hint="eastAsia" w:ascii="仿宋" w:hAnsi="仿宋" w:eastAsia="仿宋" w:cs="仿宋"/>
          <w:b w:val="0"/>
          <w:color w:val="auto"/>
          <w:sz w:val="32"/>
          <w:szCs w:val="32"/>
          <w:highlight w:val="none"/>
          <w:lang w:val="en-US" w:eastAsia="zh-CN" w:bidi="ar"/>
        </w:rPr>
        <w:t>年初预算为</w:t>
      </w:r>
      <w:r>
        <w:rPr>
          <w:rStyle w:val="14"/>
          <w:rFonts w:hint="eastAsia" w:cs="仿宋"/>
          <w:b w:val="0"/>
          <w:color w:val="auto"/>
          <w:sz w:val="32"/>
          <w:szCs w:val="32"/>
          <w:highlight w:val="none"/>
          <w:lang w:val="en-US" w:eastAsia="zh-CN" w:bidi="ar"/>
        </w:rPr>
        <w:t>40</w:t>
      </w:r>
      <w:r>
        <w:rPr>
          <w:rStyle w:val="14"/>
          <w:rFonts w:hint="eastAsia" w:ascii="仿宋" w:hAnsi="仿宋" w:eastAsia="仿宋" w:cs="仿宋"/>
          <w:b w:val="0"/>
          <w:color w:val="auto"/>
          <w:sz w:val="32"/>
          <w:szCs w:val="32"/>
          <w:highlight w:val="none"/>
          <w:lang w:val="en-US" w:eastAsia="zh-CN" w:bidi="ar"/>
        </w:rPr>
        <w:t>万元，预算调整数为</w:t>
      </w:r>
      <w:r>
        <w:rPr>
          <w:rStyle w:val="14"/>
          <w:rFonts w:hint="eastAsia" w:cs="仿宋"/>
          <w:b w:val="0"/>
          <w:color w:val="auto"/>
          <w:sz w:val="32"/>
          <w:szCs w:val="32"/>
          <w:highlight w:val="none"/>
          <w:lang w:val="en-US" w:eastAsia="zh-CN" w:bidi="ar"/>
        </w:rPr>
        <w:t>40</w:t>
      </w:r>
      <w:r>
        <w:rPr>
          <w:rStyle w:val="14"/>
          <w:rFonts w:hint="eastAsia" w:ascii="仿宋" w:hAnsi="仿宋" w:eastAsia="仿宋" w:cs="仿宋"/>
          <w:b w:val="0"/>
          <w:color w:val="auto"/>
          <w:sz w:val="32"/>
          <w:szCs w:val="32"/>
          <w:highlight w:val="none"/>
          <w:lang w:val="en-US" w:eastAsia="zh-CN" w:bidi="ar"/>
        </w:rPr>
        <w:t>万元，全年预算数为</w:t>
      </w:r>
      <w:r>
        <w:rPr>
          <w:rStyle w:val="14"/>
          <w:rFonts w:hint="eastAsia" w:cs="仿宋"/>
          <w:b w:val="0"/>
          <w:color w:val="auto"/>
          <w:sz w:val="32"/>
          <w:szCs w:val="32"/>
          <w:highlight w:val="none"/>
          <w:lang w:val="en-US" w:eastAsia="zh-CN" w:bidi="ar"/>
        </w:rPr>
        <w:t>0</w:t>
      </w:r>
      <w:r>
        <w:rPr>
          <w:rStyle w:val="14"/>
          <w:rFonts w:hint="eastAsia" w:ascii="仿宋" w:hAnsi="仿宋" w:eastAsia="仿宋" w:cs="仿宋"/>
          <w:b w:val="0"/>
          <w:color w:val="auto"/>
          <w:sz w:val="32"/>
          <w:szCs w:val="32"/>
          <w:highlight w:val="none"/>
          <w:lang w:val="en-US" w:eastAsia="zh-CN" w:bidi="ar"/>
        </w:rPr>
        <w:t>万元</w:t>
      </w:r>
      <w:r>
        <w:rPr>
          <w:rStyle w:val="14"/>
          <w:rFonts w:hint="eastAsia" w:cs="仿宋"/>
          <w:b w:val="0"/>
          <w:color w:val="auto"/>
          <w:sz w:val="32"/>
          <w:szCs w:val="32"/>
          <w:highlight w:val="none"/>
          <w:lang w:val="en-US" w:eastAsia="zh-CN" w:bidi="ar"/>
        </w:rPr>
        <w:t>；（4）援疆干部补助项目年初预算为2.8万元，预算调整数为2.8万元，全年预算数为0万元；（5）沙湾宾馆退休人员交通补助取暖费项目年初预算为0.8万元，预算调整数为0.8万元，全年预算数为0万元。</w:t>
      </w:r>
    </w:p>
    <w:p>
      <w:pPr>
        <w:pStyle w:val="3"/>
        <w:spacing w:line="570" w:lineRule="exact"/>
        <w:ind w:firstLine="640"/>
        <w:rPr>
          <w:rFonts w:ascii="黑体" w:hAnsi="黑体"/>
          <w:b w:val="0"/>
          <w:color w:val="auto"/>
          <w:sz w:val="32"/>
          <w:szCs w:val="32"/>
          <w:highlight w:val="none"/>
        </w:rPr>
      </w:pPr>
      <w:r>
        <w:rPr>
          <w:rFonts w:hint="eastAsia" w:ascii="黑体" w:hAnsi="黑体"/>
          <w:b w:val="0"/>
          <w:color w:val="auto"/>
          <w:sz w:val="32"/>
          <w:szCs w:val="32"/>
          <w:highlight w:val="none"/>
        </w:rPr>
        <w:t>二、部门单位整体支出管理及使用情况</w:t>
      </w:r>
    </w:p>
    <w:p>
      <w:pPr>
        <w:pStyle w:val="4"/>
        <w:numPr>
          <w:ilvl w:val="0"/>
          <w:numId w:val="2"/>
        </w:numPr>
        <w:spacing w:line="570" w:lineRule="exact"/>
        <w:ind w:firstLineChars="0"/>
        <w:rPr>
          <w:rFonts w:ascii="楷体_GB2312" w:eastAsia="楷体_GB2312"/>
          <w:color w:val="auto"/>
          <w:szCs w:val="32"/>
          <w:highlight w:val="none"/>
        </w:rPr>
      </w:pPr>
      <w:r>
        <w:rPr>
          <w:rFonts w:hint="eastAsia" w:ascii="楷体_GB2312" w:eastAsia="楷体_GB2312"/>
          <w:bCs/>
          <w:color w:val="auto"/>
          <w:szCs w:val="32"/>
          <w:highlight w:val="none"/>
        </w:rPr>
        <w:t>预算管理情况</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1.管理制度健全性</w:t>
      </w:r>
    </w:p>
    <w:p>
      <w:pPr>
        <w:ind w:firstLine="640"/>
        <w:rPr>
          <w:rStyle w:val="14"/>
          <w:rFonts w:ascii="仿宋_GB2312" w:eastAsia="仿宋_GB2312"/>
          <w:b w:val="0"/>
          <w:bCs w:val="0"/>
          <w:color w:val="auto"/>
          <w:sz w:val="32"/>
          <w:szCs w:val="32"/>
          <w:highlight w:val="none"/>
        </w:rPr>
      </w:pPr>
      <w:r>
        <w:rPr>
          <w:rStyle w:val="14"/>
          <w:rFonts w:hint="eastAsia" w:ascii="仿宋_GB2312" w:hAnsi="仿宋_GB2312" w:eastAsia="仿宋_GB2312" w:cs="仿宋_GB2312"/>
          <w:b w:val="0"/>
          <w:color w:val="auto"/>
          <w:sz w:val="32"/>
          <w:szCs w:val="32"/>
          <w:highlight w:val="none"/>
          <w:lang w:bidi="ar"/>
        </w:rPr>
        <w:t>本单位为加强预算管理，规范财务行为，已制定了《</w:t>
      </w:r>
      <w:r>
        <w:rPr>
          <w:rStyle w:val="14"/>
          <w:rFonts w:hint="eastAsia" w:ascii="仿宋_GB2312" w:hAnsi="仿宋_GB2312" w:eastAsia="仿宋_GB2312" w:cs="仿宋_GB2312"/>
          <w:b w:val="0"/>
          <w:color w:val="auto"/>
          <w:sz w:val="32"/>
          <w:szCs w:val="32"/>
          <w:highlight w:val="none"/>
          <w:lang w:eastAsia="zh-CN" w:bidi="ar"/>
        </w:rPr>
        <w:t>沙湾市人民政府办公室</w:t>
      </w:r>
      <w:r>
        <w:rPr>
          <w:rStyle w:val="14"/>
          <w:rFonts w:hint="eastAsia" w:ascii="仿宋_GB2312" w:hAnsi="仿宋_GB2312" w:eastAsia="仿宋_GB2312" w:cs="仿宋_GB2312"/>
          <w:b w:val="0"/>
          <w:color w:val="auto"/>
          <w:sz w:val="32"/>
          <w:szCs w:val="32"/>
          <w:highlight w:val="none"/>
          <w:lang w:bidi="ar"/>
        </w:rPr>
        <w:t>部门单位预算绩效管理工作实施办法</w:t>
      </w:r>
      <w:r>
        <w:rPr>
          <w:rStyle w:val="14"/>
          <w:rFonts w:hint="eastAsia" w:ascii="仿宋_GB2312" w:hAnsi="仿宋_GB2312" w:eastAsia="仿宋_GB2312" w:cs="仿宋_GB2312"/>
          <w:b w:val="0"/>
          <w:color w:val="auto"/>
          <w:sz w:val="32"/>
          <w:szCs w:val="32"/>
          <w:highlight w:val="none"/>
          <w:lang w:eastAsia="zh-CN" w:bidi="ar"/>
        </w:rPr>
        <w:t>》《沙湾市人民政府办公室</w:t>
      </w:r>
      <w:r>
        <w:rPr>
          <w:rStyle w:val="14"/>
          <w:rFonts w:hint="eastAsia" w:ascii="仿宋_GB2312" w:hAnsi="仿宋_GB2312" w:eastAsia="仿宋_GB2312" w:cs="仿宋_GB2312"/>
          <w:b w:val="0"/>
          <w:color w:val="auto"/>
          <w:sz w:val="32"/>
          <w:szCs w:val="32"/>
          <w:highlight w:val="none"/>
          <w:lang w:bidi="ar"/>
        </w:rPr>
        <w:t>单位财务管理制度》等较为健全的各项管理制度，</w:t>
      </w:r>
      <w:r>
        <w:rPr>
          <w:rFonts w:hint="eastAsia" w:ascii="仿宋_GB2312" w:eastAsia="仿宋_GB2312"/>
          <w:color w:val="auto"/>
          <w:sz w:val="32"/>
          <w:szCs w:val="32"/>
          <w:highlight w:val="none"/>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auto"/>
          <w:sz w:val="32"/>
          <w:szCs w:val="32"/>
          <w:highlight w:val="none"/>
          <w:lang w:bidi="ar"/>
        </w:rPr>
        <w:t>有效提高了本单位高效的履行工作职能，较好的促进了相关事业的发展。</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2.资金使用合规性和安全性</w:t>
      </w:r>
    </w:p>
    <w:p>
      <w:pPr>
        <w:pStyle w:val="16"/>
        <w:snapToGrid w:val="0"/>
        <w:spacing w:line="57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snapToGrid w:val="0"/>
        <w:spacing w:line="570" w:lineRule="exact"/>
        <w:ind w:firstLine="643"/>
        <w:outlineLvl w:val="2"/>
        <w:rPr>
          <w:rStyle w:val="14"/>
          <w:rFonts w:ascii="仿宋_GB2312" w:hAnsi="仿宋_GB2312" w:eastAsia="仿宋_GB2312" w:cs="仿宋_GB2312"/>
          <w:bCs w:val="0"/>
          <w:color w:val="auto"/>
          <w:sz w:val="32"/>
          <w:szCs w:val="32"/>
          <w:highlight w:val="none"/>
          <w:lang w:bidi="ar"/>
        </w:rPr>
      </w:pPr>
      <w:r>
        <w:rPr>
          <w:rStyle w:val="14"/>
          <w:rFonts w:hint="eastAsia" w:ascii="仿宋_GB2312" w:hAnsi="仿宋_GB2312" w:eastAsia="仿宋_GB2312" w:cs="仿宋_GB2312"/>
          <w:bCs w:val="0"/>
          <w:color w:val="auto"/>
          <w:sz w:val="32"/>
          <w:szCs w:val="32"/>
          <w:highlight w:val="none"/>
          <w:lang w:bidi="ar"/>
        </w:rPr>
        <w:t>3.预决算信息公开性</w:t>
      </w:r>
    </w:p>
    <w:p>
      <w:pPr>
        <w:pStyle w:val="16"/>
        <w:snapToGrid w:val="0"/>
        <w:spacing w:line="570" w:lineRule="exact"/>
        <w:ind w:firstLine="640"/>
        <w:rPr>
          <w:rStyle w:val="14"/>
          <w:rFonts w:ascii="仿宋_GB2312" w:hAnsi="仿宋_GB2312" w:eastAsia="仿宋_GB2312" w:cs="仿宋_GB2312"/>
          <w:b w:val="0"/>
          <w:color w:val="auto"/>
          <w:sz w:val="32"/>
          <w:szCs w:val="32"/>
          <w:highlight w:val="none"/>
          <w:lang w:bidi="ar"/>
        </w:rPr>
      </w:pPr>
      <w:r>
        <w:rPr>
          <w:rStyle w:val="14"/>
          <w:rFonts w:hint="eastAsia" w:ascii="仿宋_GB2312" w:hAnsi="仿宋_GB2312" w:eastAsia="仿宋_GB2312" w:cs="仿宋_GB2312"/>
          <w:b w:val="0"/>
          <w:color w:val="auto"/>
          <w:sz w:val="32"/>
          <w:szCs w:val="32"/>
          <w:highlight w:val="none"/>
          <w:lang w:bidi="ar"/>
        </w:rPr>
        <w:t>按照</w:t>
      </w:r>
      <w:r>
        <w:rPr>
          <w:rStyle w:val="14"/>
          <w:rFonts w:hint="eastAsia" w:ascii="仿宋_GB2312" w:hAnsi="仿宋_GB2312" w:eastAsia="仿宋_GB2312" w:cs="仿宋_GB2312"/>
          <w:b w:val="0"/>
          <w:color w:val="auto"/>
          <w:sz w:val="32"/>
          <w:szCs w:val="32"/>
          <w:highlight w:val="none"/>
          <w:lang w:eastAsia="zh-CN" w:bidi="ar"/>
        </w:rPr>
        <w:t>塔城</w:t>
      </w:r>
      <w:r>
        <w:rPr>
          <w:rStyle w:val="14"/>
          <w:rFonts w:hint="eastAsia" w:ascii="仿宋_GB2312" w:hAnsi="仿宋_GB2312" w:eastAsia="仿宋_GB2312" w:cs="仿宋_GB2312"/>
          <w:b w:val="0"/>
          <w:color w:val="auto"/>
          <w:sz w:val="32"/>
          <w:szCs w:val="32"/>
          <w:highlight w:val="none"/>
          <w:lang w:bidi="ar"/>
        </w:rPr>
        <w:t>地区财政局预决算信息公开工作要求，我单位在</w:t>
      </w:r>
      <w:r>
        <w:rPr>
          <w:rStyle w:val="14"/>
          <w:rFonts w:hint="eastAsia" w:ascii="仿宋_GB2312" w:hAnsi="仿宋_GB2312" w:eastAsia="仿宋_GB2312" w:cs="仿宋_GB2312"/>
          <w:b w:val="0"/>
          <w:color w:val="auto"/>
          <w:sz w:val="32"/>
          <w:szCs w:val="32"/>
          <w:highlight w:val="none"/>
          <w:lang w:eastAsia="zh-CN" w:bidi="ar"/>
        </w:rPr>
        <w:t>沙湾市</w:t>
      </w:r>
      <w:r>
        <w:rPr>
          <w:rStyle w:val="14"/>
          <w:rFonts w:hint="eastAsia" w:ascii="仿宋_GB2312" w:hAnsi="仿宋_GB2312" w:eastAsia="仿宋_GB2312" w:cs="仿宋_GB2312"/>
          <w:b w:val="0"/>
          <w:color w:val="auto"/>
          <w:sz w:val="32"/>
          <w:szCs w:val="32"/>
          <w:highlight w:val="none"/>
          <w:lang w:bidi="ar"/>
        </w:rPr>
        <w:t>政府网财政信息公开专栏对本单位预决算信息进行了公开。公开内容主要包括：本单位主要职能、机构及人员情况，收入、支出预算安排及决算情况，</w:t>
      </w:r>
      <w:bookmarkStart w:id="0" w:name="_GoBack"/>
      <w:bookmarkEnd w:id="0"/>
      <w:r>
        <w:rPr>
          <w:rStyle w:val="14"/>
          <w:rFonts w:hint="eastAsia" w:ascii="仿宋_GB2312" w:hAnsi="仿宋_GB2312" w:eastAsia="仿宋_GB2312" w:cs="仿宋_GB2312"/>
          <w:b w:val="0"/>
          <w:color w:val="auto"/>
          <w:sz w:val="32"/>
          <w:szCs w:val="32"/>
          <w:highlight w:val="none"/>
          <w:lang w:eastAsia="zh-CN" w:bidi="ar"/>
        </w:rPr>
        <w:t>“三公”经费</w:t>
      </w:r>
      <w:r>
        <w:rPr>
          <w:rStyle w:val="14"/>
          <w:rFonts w:hint="eastAsia" w:ascii="仿宋_GB2312" w:hAnsi="仿宋_GB2312" w:eastAsia="仿宋_GB2312" w:cs="仿宋_GB2312"/>
          <w:b w:val="0"/>
          <w:color w:val="auto"/>
          <w:sz w:val="32"/>
          <w:szCs w:val="32"/>
          <w:highlight w:val="none"/>
          <w:lang w:bidi="ar"/>
        </w:rPr>
        <w:t>预算安排及决算情况，政府采购情况，国有资产占用情况，预算绩效情况等信息，主动接受社会各界监督。</w:t>
      </w:r>
    </w:p>
    <w:p>
      <w:pPr>
        <w:pStyle w:val="4"/>
        <w:numPr>
          <w:ilvl w:val="0"/>
          <w:numId w:val="2"/>
        </w:numPr>
        <w:spacing w:line="570" w:lineRule="exact"/>
        <w:ind w:firstLineChars="0"/>
        <w:rPr>
          <w:rFonts w:ascii="楷体_GB2312" w:eastAsia="楷体_GB2312"/>
          <w:bCs/>
          <w:color w:val="auto"/>
          <w:szCs w:val="32"/>
          <w:highlight w:val="none"/>
        </w:rPr>
      </w:pPr>
      <w:r>
        <w:rPr>
          <w:rFonts w:hint="eastAsia" w:ascii="楷体_GB2312" w:eastAsia="楷体_GB2312"/>
          <w:bCs/>
          <w:color w:val="auto"/>
          <w:szCs w:val="32"/>
          <w:highlight w:val="none"/>
        </w:rPr>
        <w:t>基本支出预算安排及支出情况</w:t>
      </w:r>
    </w:p>
    <w:p>
      <w:pPr>
        <w:spacing w:line="570" w:lineRule="exact"/>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1.基本支出情况</w:t>
      </w:r>
    </w:p>
    <w:p>
      <w:pPr>
        <w:spacing w:line="57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沙湾市人民政府办公室</w:t>
      </w:r>
      <w:r>
        <w:rPr>
          <w:rFonts w:hint="eastAsia" w:ascii="仿宋_GB2312" w:eastAsia="仿宋_GB2312"/>
          <w:color w:val="auto"/>
          <w:sz w:val="32"/>
          <w:szCs w:val="32"/>
          <w:highlight w:val="none"/>
        </w:rPr>
        <w:t>基本支出年初预算金额为</w:t>
      </w:r>
      <w:r>
        <w:rPr>
          <w:rFonts w:hint="eastAsia" w:ascii="仿宋_GB2312" w:eastAsia="仿宋_GB2312"/>
          <w:color w:val="auto"/>
          <w:sz w:val="32"/>
          <w:szCs w:val="32"/>
          <w:highlight w:val="none"/>
          <w:lang w:val="en-US" w:eastAsia="zh-CN"/>
        </w:rPr>
        <w:t>792.79</w:t>
      </w:r>
      <w:r>
        <w:rPr>
          <w:rFonts w:hint="eastAsia" w:ascii="仿宋_GB2312" w:eastAsia="仿宋_GB2312"/>
          <w:color w:val="auto"/>
          <w:sz w:val="32"/>
          <w:szCs w:val="32"/>
          <w:highlight w:val="none"/>
        </w:rPr>
        <w:t>万元，实际支出金额为</w:t>
      </w:r>
      <w:r>
        <w:rPr>
          <w:rFonts w:hint="eastAsia" w:ascii="仿宋_GB2312" w:eastAsia="仿宋_GB2312"/>
          <w:color w:val="auto"/>
          <w:sz w:val="32"/>
          <w:szCs w:val="32"/>
          <w:highlight w:val="none"/>
          <w:lang w:val="en-US" w:eastAsia="zh-CN"/>
        </w:rPr>
        <w:t>792.79</w:t>
      </w:r>
      <w:r>
        <w:rPr>
          <w:rFonts w:hint="eastAsia" w:ascii="仿宋_GB2312" w:eastAsia="仿宋_GB2312"/>
          <w:color w:val="auto"/>
          <w:sz w:val="32"/>
          <w:szCs w:val="32"/>
          <w:highlight w:val="none"/>
        </w:rPr>
        <w:t>万元，预算执行率为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年中调整预算金额为</w:t>
      </w:r>
      <w:r>
        <w:rPr>
          <w:rFonts w:hint="eastAsia" w:ascii="仿宋_GB2312" w:eastAsia="仿宋_GB2312"/>
          <w:color w:val="auto"/>
          <w:sz w:val="32"/>
          <w:szCs w:val="32"/>
          <w:highlight w:val="none"/>
          <w:lang w:val="en-US" w:eastAsia="zh-CN"/>
        </w:rPr>
        <w:t>150.26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调整后基本支出总预算金额为943.05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全年基本支出总预算执行率为100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p>
    <w:p>
      <w:pPr>
        <w:spacing w:line="57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综上所述，我单位基本支出预算总额为</w:t>
      </w:r>
      <w:r>
        <w:rPr>
          <w:rFonts w:hint="eastAsia" w:ascii="仿宋_GB2312" w:eastAsia="仿宋_GB2312"/>
          <w:color w:val="auto"/>
          <w:sz w:val="32"/>
          <w:szCs w:val="32"/>
          <w:highlight w:val="none"/>
          <w:lang w:val="en-US" w:eastAsia="zh-CN"/>
        </w:rPr>
        <w:t>943.05</w:t>
      </w:r>
      <w:r>
        <w:rPr>
          <w:rFonts w:hint="eastAsia" w:ascii="仿宋_GB2312" w:eastAsia="仿宋_GB2312"/>
          <w:color w:val="auto"/>
          <w:sz w:val="32"/>
          <w:szCs w:val="32"/>
          <w:highlight w:val="none"/>
        </w:rPr>
        <w:t>万元，实际支出总额为</w:t>
      </w:r>
      <w:r>
        <w:rPr>
          <w:rFonts w:hint="eastAsia" w:ascii="仿宋_GB2312" w:eastAsia="仿宋_GB2312"/>
          <w:color w:val="auto"/>
          <w:sz w:val="32"/>
          <w:szCs w:val="32"/>
          <w:highlight w:val="none"/>
          <w:lang w:val="en-US" w:eastAsia="zh-CN"/>
        </w:rPr>
        <w:t>943.05</w:t>
      </w:r>
      <w:r>
        <w:rPr>
          <w:rFonts w:hint="eastAsia" w:ascii="仿宋_GB2312" w:eastAsia="仿宋_GB2312"/>
          <w:color w:val="auto"/>
          <w:sz w:val="32"/>
          <w:szCs w:val="32"/>
          <w:highlight w:val="none"/>
        </w:rPr>
        <w:t>万元，预算总执行率为</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%，其中人员经费</w:t>
      </w:r>
      <w:r>
        <w:rPr>
          <w:rFonts w:hint="eastAsia" w:ascii="仿宋_GB2312" w:eastAsia="仿宋_GB2312"/>
          <w:color w:val="auto"/>
          <w:sz w:val="32"/>
          <w:szCs w:val="32"/>
          <w:highlight w:val="none"/>
          <w:lang w:val="en-US" w:eastAsia="zh-CN"/>
        </w:rPr>
        <w:t>750</w:t>
      </w:r>
      <w:r>
        <w:rPr>
          <w:rFonts w:hint="eastAsia" w:ascii="仿宋_GB2312" w:eastAsia="仿宋_GB2312"/>
          <w:color w:val="auto"/>
          <w:sz w:val="32"/>
          <w:szCs w:val="32"/>
          <w:highlight w:val="none"/>
        </w:rPr>
        <w:t>万元，公用经费</w:t>
      </w:r>
      <w:r>
        <w:rPr>
          <w:rFonts w:hint="eastAsia" w:ascii="仿宋_GB2312" w:eastAsia="仿宋_GB2312"/>
          <w:color w:val="auto"/>
          <w:sz w:val="32"/>
          <w:szCs w:val="32"/>
          <w:highlight w:val="none"/>
          <w:lang w:val="en-US" w:eastAsia="zh-CN"/>
        </w:rPr>
        <w:t>193.05</w:t>
      </w:r>
      <w:r>
        <w:rPr>
          <w:rFonts w:hint="eastAsia" w:ascii="仿宋_GB2312" w:eastAsia="仿宋_GB2312"/>
          <w:color w:val="auto"/>
          <w:sz w:val="32"/>
          <w:szCs w:val="32"/>
          <w:highlight w:val="none"/>
        </w:rPr>
        <w:t>万元。</w:t>
      </w:r>
    </w:p>
    <w:p>
      <w:pPr>
        <w:spacing w:line="570" w:lineRule="exact"/>
        <w:ind w:firstLine="640"/>
        <w:rPr>
          <w:rFonts w:hint="eastAsia" w:ascii="仿宋_GB2312" w:eastAsia="仿宋_GB2312"/>
          <w:bCs/>
          <w:color w:val="auto"/>
          <w:sz w:val="32"/>
          <w:szCs w:val="32"/>
          <w:highlight w:val="none"/>
        </w:rPr>
      </w:pPr>
      <w:r>
        <w:rPr>
          <w:rFonts w:hint="eastAsia" w:ascii="仿宋_GB2312" w:eastAsia="仿宋_GB2312"/>
          <w:bCs/>
          <w:color w:val="auto"/>
          <w:sz w:val="32"/>
          <w:szCs w:val="32"/>
          <w:highlight w:val="none"/>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570" w:lineRule="exact"/>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2.“三公”经费情况</w:t>
      </w:r>
    </w:p>
    <w:p>
      <w:pPr>
        <w:spacing w:line="570" w:lineRule="exact"/>
        <w:ind w:firstLine="640"/>
        <w:jc w:val="left"/>
        <w:rPr>
          <w:rFonts w:ascii="仿宋_GB2312" w:eastAsia="仿宋_GB2312" w:cs="宋体"/>
          <w:color w:val="auto"/>
          <w:sz w:val="32"/>
          <w:szCs w:val="32"/>
          <w:highlight w:val="none"/>
        </w:rPr>
      </w:pPr>
      <w:r>
        <w:rPr>
          <w:rFonts w:hint="eastAsia" w:ascii="仿宋_GB2312" w:eastAsia="仿宋_GB2312" w:cs="宋体"/>
          <w:color w:val="auto"/>
          <w:sz w:val="32"/>
          <w:szCs w:val="32"/>
          <w:highlight w:val="none"/>
        </w:rPr>
        <w:t>注：本段反映部门因公出国（境）费、公务用车购置及运行费、公务接待费用的控制情况是否符合财政部门当年的预算要求和相关管理制度要求。</w:t>
      </w:r>
    </w:p>
    <w:p>
      <w:pPr>
        <w:pStyle w:val="16"/>
        <w:snapToGrid w:val="0"/>
        <w:spacing w:line="570" w:lineRule="exact"/>
        <w:ind w:firstLine="640"/>
        <w:rPr>
          <w:rFonts w:hint="eastAsia" w:ascii="仿宋_GB2312" w:eastAsia="仿宋_GB2312" w:cs="宋体"/>
          <w:bCs/>
          <w:color w:val="auto"/>
          <w:sz w:val="32"/>
          <w:szCs w:val="32"/>
          <w:highlight w:val="none"/>
          <w:lang w:bidi="ar"/>
        </w:rPr>
      </w:pPr>
      <w:r>
        <w:rPr>
          <w:rFonts w:hint="eastAsia" w:ascii="仿宋_GB2312" w:eastAsia="仿宋_GB2312" w:cs="宋体"/>
          <w:bCs/>
          <w:color w:val="auto"/>
          <w:sz w:val="32"/>
          <w:szCs w:val="32"/>
          <w:highlight w:val="none"/>
          <w:lang w:bidi="ar"/>
        </w:rPr>
        <w:t>本单位坚决贯彻落实中央、自治区、地委行署厉行勤俭办公的工作要求，</w:t>
      </w:r>
      <w:r>
        <w:rPr>
          <w:rFonts w:hint="eastAsia" w:ascii="仿宋_GB2312" w:eastAsia="仿宋_GB2312" w:cs="宋体"/>
          <w:color w:val="auto"/>
          <w:sz w:val="32"/>
          <w:szCs w:val="32"/>
          <w:highlight w:val="none"/>
        </w:rPr>
        <w:t>严格执行《党政机关厉行节约反对浪费条例》</w:t>
      </w:r>
      <w:r>
        <w:rPr>
          <w:rFonts w:hint="eastAsia" w:ascii="仿宋_GB2312" w:eastAsia="仿宋_GB2312" w:cs="宋体"/>
          <w:color w:val="auto"/>
          <w:sz w:val="32"/>
          <w:szCs w:val="32"/>
          <w:highlight w:val="none"/>
          <w:lang w:eastAsia="zh-CN"/>
        </w:rPr>
        <w:t>，</w:t>
      </w:r>
      <w:r>
        <w:rPr>
          <w:rFonts w:hint="eastAsia" w:ascii="仿宋_GB2312" w:eastAsia="仿宋_GB2312" w:cs="宋体"/>
          <w:bCs/>
          <w:color w:val="auto"/>
          <w:sz w:val="32"/>
          <w:szCs w:val="32"/>
          <w:highlight w:val="none"/>
          <w:lang w:bidi="ar"/>
        </w:rPr>
        <w:t>提倡本单位全体干部职工，勤俭节约，切实降低行政运行成本，确保每年</w:t>
      </w:r>
      <w:r>
        <w:rPr>
          <w:rFonts w:hint="eastAsia" w:ascii="仿宋_GB2312" w:eastAsia="仿宋_GB2312" w:cs="宋体"/>
          <w:bCs/>
          <w:color w:val="auto"/>
          <w:sz w:val="32"/>
          <w:szCs w:val="32"/>
          <w:highlight w:val="none"/>
          <w:lang w:eastAsia="zh-CN" w:bidi="ar"/>
        </w:rPr>
        <w:t>“三公”经费</w:t>
      </w:r>
      <w:r>
        <w:rPr>
          <w:rFonts w:hint="eastAsia" w:ascii="仿宋_GB2312" w:eastAsia="仿宋_GB2312" w:cs="宋体"/>
          <w:bCs/>
          <w:color w:val="auto"/>
          <w:sz w:val="32"/>
          <w:szCs w:val="32"/>
          <w:highlight w:val="none"/>
          <w:lang w:bidi="ar"/>
        </w:rPr>
        <w:t>只减不增。</w:t>
      </w:r>
      <w:r>
        <w:rPr>
          <w:rFonts w:hint="eastAsia" w:ascii="仿宋_GB2312" w:eastAsia="仿宋_GB2312" w:cs="宋体"/>
          <w:bCs/>
          <w:color w:val="auto"/>
          <w:sz w:val="32"/>
          <w:szCs w:val="32"/>
          <w:highlight w:val="none"/>
          <w:lang w:eastAsia="zh-CN" w:bidi="ar"/>
        </w:rPr>
        <w:t>2023</w:t>
      </w:r>
      <w:r>
        <w:rPr>
          <w:rFonts w:hint="eastAsia" w:ascii="仿宋_GB2312" w:eastAsia="仿宋_GB2312" w:cs="宋体"/>
          <w:bCs/>
          <w:color w:val="auto"/>
          <w:sz w:val="32"/>
          <w:szCs w:val="32"/>
          <w:highlight w:val="none"/>
          <w:lang w:bidi="ar"/>
        </w:rPr>
        <w:t>年</w:t>
      </w:r>
      <w:r>
        <w:rPr>
          <w:rFonts w:hint="eastAsia" w:ascii="仿宋_GB2312" w:eastAsia="仿宋_GB2312" w:cs="宋体"/>
          <w:bCs/>
          <w:color w:val="auto"/>
          <w:sz w:val="32"/>
          <w:szCs w:val="32"/>
          <w:highlight w:val="none"/>
          <w:lang w:eastAsia="zh-CN" w:bidi="ar"/>
        </w:rPr>
        <w:t>“三公”经费</w:t>
      </w:r>
      <w:r>
        <w:rPr>
          <w:rFonts w:hint="eastAsia" w:ascii="仿宋_GB2312" w:eastAsia="仿宋_GB2312" w:cs="宋体"/>
          <w:bCs/>
          <w:color w:val="auto"/>
          <w:sz w:val="32"/>
          <w:szCs w:val="32"/>
          <w:highlight w:val="none"/>
          <w:lang w:bidi="ar"/>
        </w:rPr>
        <w:t>预算为</w:t>
      </w:r>
      <w:r>
        <w:rPr>
          <w:rFonts w:hint="eastAsia" w:ascii="仿宋_GB2312" w:eastAsia="仿宋_GB2312"/>
          <w:color w:val="auto"/>
          <w:sz w:val="32"/>
          <w:szCs w:val="32"/>
          <w:highlight w:val="none"/>
          <w:lang w:val="en-US" w:eastAsia="zh-CN"/>
        </w:rPr>
        <w:t>51</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51.49</w:t>
      </w:r>
      <w:r>
        <w:rPr>
          <w:rFonts w:hint="eastAsia" w:ascii="仿宋_GB2312" w:eastAsia="仿宋_GB2312" w:cs="宋体"/>
          <w:bCs/>
          <w:color w:val="auto"/>
          <w:sz w:val="32"/>
          <w:szCs w:val="32"/>
          <w:highlight w:val="none"/>
          <w:lang w:bidi="ar"/>
        </w:rPr>
        <w:t>万元，</w:t>
      </w:r>
      <w:r>
        <w:rPr>
          <w:rFonts w:hint="eastAsia" w:ascii="仿宋_GB2312" w:eastAsia="仿宋_GB2312" w:cs="宋体"/>
          <w:color w:val="auto"/>
          <w:sz w:val="32"/>
          <w:szCs w:val="32"/>
          <w:highlight w:val="none"/>
        </w:rPr>
        <w:t>较上年“三公”经费决算支出</w:t>
      </w:r>
      <w:r>
        <w:rPr>
          <w:rFonts w:hint="eastAsia" w:ascii="仿宋_GB2312" w:eastAsia="仿宋_GB2312"/>
          <w:color w:val="auto"/>
          <w:sz w:val="32"/>
          <w:szCs w:val="32"/>
          <w:highlight w:val="none"/>
          <w:lang w:val="en-US" w:eastAsia="zh-CN"/>
        </w:rPr>
        <w:t>50</w:t>
      </w:r>
      <w:r>
        <w:rPr>
          <w:rFonts w:hint="eastAsia" w:ascii="仿宋_GB2312" w:eastAsia="仿宋_GB2312" w:cs="宋体"/>
          <w:color w:val="auto"/>
          <w:sz w:val="32"/>
          <w:szCs w:val="32"/>
          <w:highlight w:val="none"/>
        </w:rPr>
        <w:t>万元，</w:t>
      </w:r>
      <w:r>
        <w:rPr>
          <w:rFonts w:hint="eastAsia" w:ascii="仿宋_GB2312" w:eastAsia="仿宋_GB2312" w:cs="宋体"/>
          <w:color w:val="auto"/>
          <w:sz w:val="32"/>
          <w:szCs w:val="32"/>
          <w:highlight w:val="none"/>
          <w:lang w:val="en-US" w:eastAsia="zh-CN"/>
        </w:rPr>
        <w:t>增加</w:t>
      </w:r>
      <w:r>
        <w:rPr>
          <w:rFonts w:hint="eastAsia" w:ascii="仿宋_GB2312" w:eastAsia="仿宋_GB2312"/>
          <w:color w:val="auto"/>
          <w:sz w:val="32"/>
          <w:szCs w:val="32"/>
          <w:highlight w:val="none"/>
          <w:lang w:val="en-US" w:eastAsia="zh-CN"/>
        </w:rPr>
        <w:t>0.49</w:t>
      </w:r>
      <w:r>
        <w:rPr>
          <w:rFonts w:hint="eastAsia" w:ascii="仿宋_GB2312" w:eastAsia="仿宋_GB2312" w:cs="宋体"/>
          <w:color w:val="auto"/>
          <w:sz w:val="32"/>
          <w:szCs w:val="32"/>
          <w:highlight w:val="none"/>
        </w:rPr>
        <w:t>万元</w:t>
      </w:r>
      <w:r>
        <w:rPr>
          <w:rFonts w:hint="eastAsia" w:ascii="仿宋_GB2312" w:eastAsia="仿宋_GB2312" w:cs="宋体"/>
          <w:color w:val="auto"/>
          <w:sz w:val="32"/>
          <w:szCs w:val="32"/>
          <w:highlight w:val="none"/>
          <w:lang w:val="en-US" w:eastAsia="zh-CN"/>
        </w:rPr>
        <w:t>增加0.01</w:t>
      </w:r>
      <w:r>
        <w:rPr>
          <w:rFonts w:hint="eastAsia" w:ascii="仿宋_GB2312" w:eastAsia="仿宋_GB2312" w:cs="宋体"/>
          <w:color w:val="auto"/>
          <w:sz w:val="32"/>
          <w:szCs w:val="32"/>
          <w:highlight w:val="none"/>
        </w:rPr>
        <w:t>%</w:t>
      </w:r>
      <w:r>
        <w:rPr>
          <w:rFonts w:hint="eastAsia" w:ascii="仿宋_GB2312" w:eastAsia="仿宋_GB2312" w:cs="宋体"/>
          <w:color w:val="auto"/>
          <w:sz w:val="32"/>
          <w:szCs w:val="32"/>
          <w:highlight w:val="none"/>
          <w:lang w:eastAsia="zh-CN"/>
        </w:rPr>
        <w:t>；</w:t>
      </w:r>
      <w:r>
        <w:rPr>
          <w:rFonts w:hint="eastAsia" w:ascii="仿宋_GB2312" w:eastAsia="仿宋_GB2312" w:cs="宋体"/>
          <w:color w:val="auto"/>
          <w:sz w:val="32"/>
          <w:szCs w:val="32"/>
          <w:highlight w:val="none"/>
          <w:lang w:val="en-US" w:eastAsia="zh-CN"/>
        </w:rPr>
        <w:t>增加的原因是：增加了因公出国（境）费用1.85万元</w:t>
      </w:r>
      <w:r>
        <w:rPr>
          <w:rFonts w:hint="eastAsia" w:ascii="仿宋_GB2312" w:eastAsia="仿宋_GB2312" w:cs="宋体"/>
          <w:color w:val="auto"/>
          <w:sz w:val="32"/>
          <w:szCs w:val="32"/>
          <w:highlight w:val="none"/>
        </w:rPr>
        <w:t>。</w:t>
      </w:r>
      <w:r>
        <w:rPr>
          <w:rFonts w:hint="eastAsia" w:ascii="仿宋_GB2312" w:eastAsia="仿宋_GB2312" w:cs="宋体"/>
          <w:bCs/>
          <w:color w:val="auto"/>
          <w:sz w:val="32"/>
          <w:szCs w:val="32"/>
          <w:highlight w:val="none"/>
          <w:lang w:bidi="ar"/>
        </w:rPr>
        <w:t>其中：因公出国（境）费预算为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1.85</w:t>
      </w:r>
      <w:r>
        <w:rPr>
          <w:rFonts w:hint="eastAsia" w:ascii="仿宋_GB2312" w:eastAsia="仿宋_GB2312" w:cs="宋体"/>
          <w:bCs/>
          <w:color w:val="auto"/>
          <w:sz w:val="32"/>
          <w:szCs w:val="32"/>
          <w:highlight w:val="none"/>
          <w:lang w:bidi="ar"/>
        </w:rPr>
        <w:t>万元；公务接待费预算为</w:t>
      </w:r>
      <w:r>
        <w:rPr>
          <w:rFonts w:hint="eastAsia" w:ascii="仿宋_GB2312" w:eastAsia="仿宋_GB2312"/>
          <w:color w:val="auto"/>
          <w:sz w:val="32"/>
          <w:szCs w:val="32"/>
          <w:highlight w:val="none"/>
          <w:lang w:val="en-US" w:eastAsia="zh-CN"/>
        </w:rPr>
        <w:t>1</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万元；公务用车购置费预算为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0</w:t>
      </w:r>
      <w:r>
        <w:rPr>
          <w:rFonts w:hint="eastAsia" w:ascii="仿宋_GB2312" w:eastAsia="仿宋_GB2312" w:cs="宋体"/>
          <w:bCs/>
          <w:color w:val="auto"/>
          <w:sz w:val="32"/>
          <w:szCs w:val="32"/>
          <w:highlight w:val="none"/>
          <w:lang w:bidi="ar"/>
        </w:rPr>
        <w:t>万元；公务用车运行维护费预算为</w:t>
      </w:r>
      <w:r>
        <w:rPr>
          <w:rFonts w:hint="eastAsia" w:ascii="仿宋_GB2312" w:eastAsia="仿宋_GB2312"/>
          <w:color w:val="auto"/>
          <w:sz w:val="32"/>
          <w:szCs w:val="32"/>
          <w:highlight w:val="none"/>
          <w:lang w:val="en-US" w:eastAsia="zh-CN"/>
        </w:rPr>
        <w:t>50</w:t>
      </w:r>
      <w:r>
        <w:rPr>
          <w:rFonts w:hint="eastAsia" w:ascii="仿宋_GB2312" w:eastAsia="仿宋_GB2312" w:cs="宋体"/>
          <w:bCs/>
          <w:color w:val="auto"/>
          <w:sz w:val="32"/>
          <w:szCs w:val="32"/>
          <w:highlight w:val="none"/>
          <w:lang w:bidi="ar"/>
        </w:rPr>
        <w:t>万元，实际支出</w:t>
      </w:r>
      <w:r>
        <w:rPr>
          <w:rFonts w:hint="eastAsia" w:ascii="仿宋_GB2312" w:eastAsia="仿宋_GB2312"/>
          <w:color w:val="auto"/>
          <w:sz w:val="32"/>
          <w:szCs w:val="32"/>
          <w:highlight w:val="none"/>
          <w:lang w:val="en-US" w:eastAsia="zh-CN"/>
        </w:rPr>
        <w:t>49.64</w:t>
      </w:r>
      <w:r>
        <w:rPr>
          <w:rFonts w:hint="eastAsia" w:ascii="仿宋_GB2312" w:eastAsia="仿宋_GB2312" w:cs="宋体"/>
          <w:bCs/>
          <w:color w:val="auto"/>
          <w:sz w:val="32"/>
          <w:szCs w:val="32"/>
          <w:highlight w:val="none"/>
          <w:lang w:bidi="ar"/>
        </w:rPr>
        <w:t>万元，</w:t>
      </w:r>
      <w:r>
        <w:rPr>
          <w:rFonts w:hint="eastAsia" w:ascii="仿宋_GB2312" w:eastAsia="仿宋_GB2312" w:cs="宋体"/>
          <w:bCs/>
          <w:color w:val="auto"/>
          <w:sz w:val="32"/>
          <w:szCs w:val="32"/>
          <w:highlight w:val="none"/>
          <w:lang w:eastAsia="zh-Hans" w:bidi="ar"/>
        </w:rPr>
        <w:t>各项支出均</w:t>
      </w:r>
      <w:r>
        <w:rPr>
          <w:rFonts w:hint="eastAsia" w:ascii="仿宋_GB2312" w:eastAsia="仿宋_GB2312" w:cs="宋体"/>
          <w:bCs/>
          <w:color w:val="auto"/>
          <w:sz w:val="32"/>
          <w:szCs w:val="32"/>
          <w:highlight w:val="none"/>
          <w:lang w:bidi="ar"/>
        </w:rPr>
        <w:t>符合财政部门本年预算要求和相关管理制度要求。</w:t>
      </w:r>
    </w:p>
    <w:p>
      <w:pPr>
        <w:pStyle w:val="4"/>
        <w:numPr>
          <w:ilvl w:val="0"/>
          <w:numId w:val="2"/>
        </w:numPr>
        <w:spacing w:line="570" w:lineRule="exact"/>
        <w:ind w:firstLineChars="0"/>
        <w:rPr>
          <w:rFonts w:hint="eastAsia" w:ascii="楷体_GB2312" w:eastAsia="楷体_GB2312"/>
          <w:bCs/>
          <w:color w:val="auto"/>
          <w:szCs w:val="32"/>
          <w:highlight w:val="none"/>
        </w:rPr>
      </w:pPr>
      <w:r>
        <w:rPr>
          <w:rFonts w:hint="eastAsia" w:ascii="楷体_GB2312" w:eastAsia="楷体_GB2312"/>
          <w:bCs/>
          <w:color w:val="auto"/>
          <w:szCs w:val="32"/>
          <w:highlight w:val="none"/>
        </w:rPr>
        <w:t>项目支出预算安排及支出情况</w:t>
      </w:r>
    </w:p>
    <w:p>
      <w:pPr>
        <w:ind w:firstLine="643"/>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1.项目支出情况</w:t>
      </w:r>
    </w:p>
    <w:p>
      <w:pPr>
        <w:bidi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沙湾市人民政府办公室</w:t>
      </w:r>
      <w:r>
        <w:rPr>
          <w:rFonts w:hint="eastAsia" w:ascii="仿宋_GB2312" w:hAnsi="仿宋_GB2312" w:eastAsia="仿宋_GB2312" w:cs="仿宋_GB2312"/>
          <w:color w:val="auto"/>
          <w:sz w:val="32"/>
          <w:szCs w:val="32"/>
          <w:highlight w:val="none"/>
        </w:rPr>
        <w:t>项目支出年初预算金额为</w:t>
      </w:r>
      <w:r>
        <w:rPr>
          <w:rFonts w:hint="eastAsia" w:ascii="仿宋_GB2312" w:hAnsi="仿宋_GB2312" w:eastAsia="仿宋_GB2312" w:cs="仿宋_GB2312"/>
          <w:color w:val="auto"/>
          <w:sz w:val="32"/>
          <w:szCs w:val="32"/>
          <w:highlight w:val="none"/>
          <w:lang w:val="en-US" w:eastAsia="zh-CN"/>
        </w:rPr>
        <w:t>46.69</w:t>
      </w:r>
      <w:r>
        <w:rPr>
          <w:rFonts w:hint="eastAsia" w:ascii="仿宋_GB2312" w:hAnsi="仿宋_GB2312" w:eastAsia="仿宋_GB2312" w:cs="仿宋_GB2312"/>
          <w:color w:val="auto"/>
          <w:sz w:val="32"/>
          <w:szCs w:val="32"/>
          <w:highlight w:val="none"/>
        </w:rPr>
        <w:t>万元，实际支出金额为</w:t>
      </w:r>
      <w:r>
        <w:rPr>
          <w:rFonts w:hint="eastAsia" w:ascii="仿宋_GB2312" w:hAnsi="仿宋_GB2312" w:eastAsia="仿宋_GB2312" w:cs="仿宋_GB2312"/>
          <w:color w:val="auto"/>
          <w:sz w:val="32"/>
          <w:szCs w:val="32"/>
          <w:highlight w:val="none"/>
          <w:lang w:val="en-US" w:eastAsia="zh-CN"/>
        </w:rPr>
        <w:t>15.48</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33.2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年中调整预算金额为</w:t>
      </w:r>
      <w:r>
        <w:rPr>
          <w:rFonts w:hint="eastAsia" w:ascii="仿宋_GB2312" w:hAnsi="仿宋_GB2312" w:eastAsia="仿宋_GB2312" w:cs="仿宋_GB2312"/>
          <w:color w:val="auto"/>
          <w:sz w:val="32"/>
          <w:szCs w:val="32"/>
          <w:highlight w:val="none"/>
          <w:lang w:val="en-US" w:eastAsia="zh-CN"/>
        </w:rPr>
        <w:t>31.21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调整后项目支出预算总额</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15.48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全年项目预算</w:t>
      </w:r>
      <w:r>
        <w:rPr>
          <w:rFonts w:hint="eastAsia" w:ascii="仿宋_GB2312" w:hAnsi="仿宋_GB2312" w:eastAsia="仿宋_GB2312" w:cs="仿宋_GB2312"/>
          <w:color w:val="auto"/>
          <w:sz w:val="32"/>
          <w:szCs w:val="32"/>
          <w:highlight w:val="none"/>
        </w:rPr>
        <w:t>支出总额为</w:t>
      </w:r>
      <w:r>
        <w:rPr>
          <w:rFonts w:hint="eastAsia" w:ascii="仿宋_GB2312" w:hAnsi="仿宋_GB2312" w:eastAsia="仿宋_GB2312" w:cs="仿宋_GB2312"/>
          <w:color w:val="auto"/>
          <w:sz w:val="32"/>
          <w:szCs w:val="32"/>
          <w:highlight w:val="none"/>
          <w:lang w:val="en-US" w:eastAsia="zh-CN"/>
        </w:rPr>
        <w:t>15.48</w:t>
      </w:r>
      <w:r>
        <w:rPr>
          <w:rFonts w:hint="eastAsia" w:ascii="仿宋_GB2312" w:hAnsi="仿宋_GB2312" w:eastAsia="仿宋_GB2312" w:cs="仿宋_GB2312"/>
          <w:color w:val="auto"/>
          <w:sz w:val="32"/>
          <w:szCs w:val="32"/>
          <w:highlight w:val="none"/>
        </w:rPr>
        <w:t>万元，预算总执行率为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bidi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沙湾市人民政府办公室</w:t>
      </w:r>
      <w:r>
        <w:rPr>
          <w:rFonts w:hint="eastAsia" w:ascii="仿宋_GB2312" w:hAnsi="仿宋_GB2312" w:eastAsia="仿宋_GB2312" w:cs="仿宋_GB2312"/>
          <w:color w:val="auto"/>
          <w:sz w:val="32"/>
          <w:szCs w:val="32"/>
          <w:highlight w:val="none"/>
        </w:rPr>
        <w:t>共有</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个中央、自治区、地区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本级财力安排</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项目，已</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rPr>
        <w:t>完成项目</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个、未完成项目</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val="en-US" w:eastAsia="zh-CN"/>
        </w:rPr>
        <w:t>具体项目实施及资金支出情况如下：（全年所有项目按照中央专项、自治区专项、地区本级项目一一列示）</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（1）地区专项：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塔地财预[2023]25号沙民组办[2023]2号为民办实事工作专项经费项目，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12.48</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12.48</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项目已全部实施完成，并经验收合格；项目各项任务指标均已完成。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以上项目是本单位2023年度实施的地区</w:t>
      </w:r>
      <w:r>
        <w:rPr>
          <w:rFonts w:hint="eastAsia" w:ascii="仿宋_GB2312" w:hAnsi="仿宋_GB2312" w:eastAsia="仿宋_GB2312" w:cs="仿宋_GB2312"/>
          <w:color w:val="auto"/>
          <w:sz w:val="32"/>
          <w:szCs w:val="32"/>
          <w:highlight w:val="none"/>
        </w:rPr>
        <w:t>专项项目。</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本级项目：沙财字[2023]6号-归还沙湾大盘鸡产业规划欠款项目，</w:t>
      </w:r>
      <w:r>
        <w:rPr>
          <w:rFonts w:hint="eastAsia" w:ascii="仿宋_GB2312" w:hAnsi="仿宋_GB2312" w:eastAsia="仿宋_GB2312" w:cs="仿宋_GB2312"/>
          <w:color w:val="auto"/>
          <w:sz w:val="32"/>
          <w:szCs w:val="32"/>
          <w:highlight w:val="none"/>
        </w:rPr>
        <w:t>预算金额</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万元，执行金额</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项目已全部实施完成。</w:t>
      </w:r>
    </w:p>
    <w:p>
      <w:pPr>
        <w:bidi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以上项目是本单位2023年度实施的本级</w:t>
      </w:r>
      <w:r>
        <w:rPr>
          <w:rFonts w:hint="eastAsia" w:ascii="仿宋_GB2312" w:hAnsi="仿宋_GB2312" w:eastAsia="仿宋_GB2312" w:cs="仿宋_GB2312"/>
          <w:color w:val="auto"/>
          <w:sz w:val="32"/>
          <w:szCs w:val="32"/>
          <w:highlight w:val="none"/>
        </w:rPr>
        <w:t>专项项目。</w:t>
      </w:r>
    </w:p>
    <w:p>
      <w:pPr>
        <w:ind w:firstLine="643"/>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专项资金总投入及实际使用情况分析</w:t>
      </w:r>
    </w:p>
    <w:p>
      <w:pPr>
        <w:pStyle w:val="2"/>
        <w:spacing w:line="570" w:lineRule="exact"/>
        <w:ind w:firstLine="640"/>
        <w:rPr>
          <w:b w:val="0"/>
          <w:bCs w:val="0"/>
          <w:color w:val="auto"/>
          <w:sz w:val="32"/>
          <w:highlight w:val="none"/>
        </w:rPr>
      </w:pPr>
      <w:r>
        <w:rPr>
          <w:rFonts w:hint="eastAsia" w:cs="仿宋"/>
          <w:b w:val="0"/>
          <w:bCs w:val="0"/>
          <w:color w:val="auto"/>
          <w:sz w:val="32"/>
          <w:highlight w:val="none"/>
        </w:rPr>
        <w:t>注：本段专项资金指中央和自治区的专项资金</w:t>
      </w:r>
    </w:p>
    <w:p>
      <w:pPr>
        <w:pStyle w:val="10"/>
        <w:widowControl/>
        <w:spacing w:before="0" w:beforeAutospacing="0" w:after="0" w:afterAutospacing="0" w:line="570" w:lineRule="exact"/>
        <w:ind w:firstLine="640"/>
        <w:jc w:val="both"/>
        <w:rPr>
          <w:rFonts w:ascii="仿宋_GB2312" w:eastAsia="仿宋_GB2312" w:cs="仿宋"/>
          <w:color w:val="auto"/>
          <w:sz w:val="32"/>
          <w:szCs w:val="32"/>
          <w:highlight w:val="none"/>
        </w:rPr>
      </w:pPr>
      <w:r>
        <w:rPr>
          <w:rFonts w:hint="eastAsia" w:ascii="仿宋_GB2312" w:eastAsia="仿宋_GB2312" w:cs="仿宋"/>
          <w:color w:val="auto"/>
          <w:sz w:val="32"/>
          <w:szCs w:val="32"/>
          <w:highlight w:val="none"/>
          <w:lang w:eastAsia="zh-CN"/>
        </w:rPr>
        <w:t>2023</w:t>
      </w:r>
      <w:r>
        <w:rPr>
          <w:rFonts w:hint="eastAsia" w:ascii="仿宋_GB2312" w:eastAsia="仿宋_GB2312" w:cs="仿宋"/>
          <w:color w:val="auto"/>
          <w:sz w:val="32"/>
          <w:szCs w:val="32"/>
          <w:highlight w:val="none"/>
        </w:rPr>
        <w:t>年，中央和自治区专项转移支付预算安排专项资金</w:t>
      </w:r>
      <w:r>
        <w:rPr>
          <w:rFonts w:hint="eastAsia" w:ascii="仿宋_GB2312" w:eastAsia="仿宋_GB2312"/>
          <w:color w:val="auto"/>
          <w:sz w:val="32"/>
          <w:szCs w:val="32"/>
          <w:highlight w:val="none"/>
          <w:lang w:val="en-US" w:eastAsia="zh-CN"/>
        </w:rPr>
        <w:t>0</w:t>
      </w:r>
      <w:r>
        <w:rPr>
          <w:rFonts w:hint="eastAsia" w:ascii="仿宋_GB2312" w:eastAsia="仿宋_GB2312" w:cs="仿宋"/>
          <w:color w:val="auto"/>
          <w:sz w:val="32"/>
          <w:szCs w:val="32"/>
          <w:highlight w:val="none"/>
        </w:rPr>
        <w:t>万元</w:t>
      </w:r>
      <w:r>
        <w:rPr>
          <w:rFonts w:hint="eastAsia" w:ascii="仿宋_GB2312" w:eastAsia="仿宋_GB2312" w:cs="仿宋"/>
          <w:color w:val="auto"/>
          <w:sz w:val="32"/>
          <w:szCs w:val="32"/>
          <w:highlight w:val="none"/>
          <w:lang w:eastAsia="zh-CN"/>
        </w:rPr>
        <w:t>，</w:t>
      </w:r>
      <w:r>
        <w:rPr>
          <w:rFonts w:hint="eastAsia" w:ascii="仿宋_GB2312" w:eastAsia="仿宋_GB2312" w:cs="仿宋"/>
          <w:color w:val="auto"/>
          <w:sz w:val="32"/>
          <w:szCs w:val="32"/>
          <w:highlight w:val="none"/>
        </w:rPr>
        <w:t>实际使用</w:t>
      </w:r>
      <w:r>
        <w:rPr>
          <w:rFonts w:hint="eastAsia" w:ascii="仿宋_GB2312" w:eastAsia="仿宋_GB2312"/>
          <w:color w:val="auto"/>
          <w:sz w:val="32"/>
          <w:szCs w:val="32"/>
          <w:highlight w:val="none"/>
          <w:lang w:val="en-US" w:eastAsia="zh-CN"/>
        </w:rPr>
        <w:t>0</w:t>
      </w:r>
      <w:r>
        <w:rPr>
          <w:rFonts w:hint="eastAsia" w:ascii="仿宋_GB2312" w:eastAsia="仿宋_GB2312" w:cs="仿宋"/>
          <w:color w:val="auto"/>
          <w:sz w:val="32"/>
          <w:szCs w:val="32"/>
          <w:highlight w:val="none"/>
        </w:rPr>
        <w:t>万元</w:t>
      </w:r>
      <w:r>
        <w:rPr>
          <w:rFonts w:hint="eastAsia" w:ascii="仿宋_GB2312" w:eastAsia="仿宋_GB2312" w:cs="仿宋"/>
          <w:color w:val="auto"/>
          <w:sz w:val="32"/>
          <w:szCs w:val="32"/>
          <w:highlight w:val="none"/>
          <w:lang w:eastAsia="zh-CN"/>
        </w:rPr>
        <w:t>，</w:t>
      </w:r>
      <w:r>
        <w:rPr>
          <w:rFonts w:hint="eastAsia" w:ascii="仿宋_GB2312" w:eastAsia="仿宋_GB2312" w:cs="仿宋"/>
          <w:color w:val="auto"/>
          <w:sz w:val="32"/>
          <w:szCs w:val="32"/>
          <w:highlight w:val="none"/>
        </w:rPr>
        <w:t>结转</w:t>
      </w:r>
      <w:r>
        <w:rPr>
          <w:rFonts w:hint="eastAsia" w:ascii="仿宋_GB2312" w:eastAsia="仿宋_GB2312"/>
          <w:color w:val="auto"/>
          <w:sz w:val="32"/>
          <w:szCs w:val="32"/>
          <w:highlight w:val="none"/>
          <w:lang w:val="en-US" w:eastAsia="zh-CN"/>
        </w:rPr>
        <w:t>0</w:t>
      </w:r>
      <w:r>
        <w:rPr>
          <w:rFonts w:hint="eastAsia" w:ascii="仿宋_GB2312" w:eastAsia="仿宋_GB2312" w:cs="仿宋"/>
          <w:color w:val="auto"/>
          <w:sz w:val="32"/>
          <w:szCs w:val="32"/>
          <w:highlight w:val="none"/>
        </w:rPr>
        <w:t>万元。</w:t>
      </w:r>
    </w:p>
    <w:p>
      <w:pPr>
        <w:pStyle w:val="3"/>
        <w:spacing w:line="570" w:lineRule="exact"/>
        <w:ind w:firstLine="640"/>
        <w:rPr>
          <w:rFonts w:hint="eastAsia" w:ascii="黑体" w:hAnsi="黑体" w:eastAsia="黑体"/>
          <w:b w:val="0"/>
          <w:color w:val="auto"/>
          <w:sz w:val="32"/>
          <w:szCs w:val="32"/>
          <w:highlight w:val="none"/>
          <w:lang w:val="en-US" w:eastAsia="zh-CN"/>
        </w:rPr>
      </w:pPr>
      <w:r>
        <w:rPr>
          <w:rFonts w:hint="eastAsia" w:ascii="黑体" w:hAnsi="黑体"/>
          <w:b w:val="0"/>
          <w:color w:val="auto"/>
          <w:sz w:val="32"/>
          <w:szCs w:val="32"/>
          <w:highlight w:val="none"/>
          <w:lang w:val="en-US" w:eastAsia="zh-CN"/>
        </w:rPr>
        <w:t>三</w:t>
      </w:r>
      <w:r>
        <w:rPr>
          <w:rFonts w:hint="eastAsia" w:ascii="黑体" w:hAnsi="黑体"/>
          <w:b w:val="0"/>
          <w:color w:val="auto"/>
          <w:sz w:val="32"/>
          <w:szCs w:val="32"/>
          <w:highlight w:val="none"/>
        </w:rPr>
        <w:t>、部门单位整体支出</w:t>
      </w:r>
      <w:r>
        <w:rPr>
          <w:rFonts w:hint="eastAsia" w:ascii="黑体" w:hAnsi="黑体"/>
          <w:b w:val="0"/>
          <w:color w:val="auto"/>
          <w:sz w:val="32"/>
          <w:szCs w:val="32"/>
          <w:highlight w:val="none"/>
          <w:lang w:val="en-US" w:eastAsia="zh-CN"/>
        </w:rPr>
        <w:t>绩效分析</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（一）</w:t>
      </w:r>
      <w:r>
        <w:rPr>
          <w:rFonts w:hint="eastAsia" w:ascii="楷体_GB2312" w:eastAsia="楷体_GB2312"/>
          <w:color w:val="auto"/>
          <w:szCs w:val="32"/>
          <w:highlight w:val="none"/>
          <w:lang w:val="en-US" w:eastAsia="zh-CN"/>
        </w:rPr>
        <w:t>指标一：</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“印发政府文件数”指标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400件</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年中绩效运行完成值为“231件”，全年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427件</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年中绩效运行完成值与全年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本单位履职尽责，严格贯彻了日常文电的处理相关工作任务，落实了单位文件文稿的、修改、审核和制发、立卷、归档工作任务。通过政府文件文稿的、修改、审核和制发、立卷、归档工作的有效完成，解决了文稿分散和低效能的问题，显著提高了文件的使用率、提高了工作效率，明显改善了工作进度和工作环境，提升了工作效能，增强了工作归属感和信心。</w:t>
      </w:r>
    </w:p>
    <w:p>
      <w:pPr>
        <w:spacing w:line="57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综上，该指标分值20分，得20分。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二</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指标二：</w:t>
      </w:r>
    </w:p>
    <w:p>
      <w:pPr>
        <w:pStyle w:val="16"/>
        <w:snapToGrid w:val="0"/>
        <w:spacing w:line="570" w:lineRule="exact"/>
        <w:ind w:firstLine="624"/>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“政府网站发布信息条数”指标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700条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年中绩效运行完成值为“410条”，全年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829条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年中绩效运行完成值与全年指标完成值均不存在偏差。全年本单位履职尽责，遵循“严格依法、全面真实、及时便民”的原则，严格执行《中华人民共和国政府信息公开条例》，做好主动公开、依申请公开政府信息，全力推进政府网站和政务新媒体工作高质高效开展。</w:t>
      </w:r>
    </w:p>
    <w:p>
      <w:pPr>
        <w:spacing w:line="57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综上，该指标分值10分，得10分。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三</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指标三：</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“筹办政府全体会、党组会、常务会场次”指标</w:t>
      </w:r>
      <w:r>
        <w:rPr>
          <w:rFonts w:ascii="仿宋_GB2312" w:eastAsia="仿宋_GB2312"/>
          <w:color w:val="auto"/>
          <w:sz w:val="32"/>
          <w:szCs w:val="32"/>
          <w:highlight w:val="none"/>
        </w:rPr>
        <w:t>，</w:t>
      </w:r>
      <w:r>
        <w:rPr>
          <w:rFonts w:hint="eastAsia" w:ascii="仿宋_GB2312" w:eastAsia="仿宋_GB2312"/>
          <w:color w:val="auto"/>
          <w:sz w:val="32"/>
          <w:szCs w:val="32"/>
          <w:highlight w:val="none"/>
        </w:rPr>
        <w:t>预期指标值为“</w:t>
      </w:r>
      <w:r>
        <w:rPr>
          <w:rFonts w:hint="eastAsia" w:ascii="仿宋_GB2312" w:eastAsia="仿宋_GB2312"/>
          <w:color w:val="auto"/>
          <w:sz w:val="32"/>
          <w:szCs w:val="32"/>
          <w:highlight w:val="none"/>
          <w:lang w:eastAsia="zh-CN"/>
        </w:rPr>
        <w:t>大于等于</w:t>
      </w:r>
      <w:r>
        <w:rPr>
          <w:rFonts w:hint="eastAsia" w:ascii="仿宋_GB2312" w:eastAsia="仿宋_GB2312"/>
          <w:color w:val="auto"/>
          <w:sz w:val="32"/>
          <w:szCs w:val="32"/>
          <w:highlight w:val="none"/>
          <w:lang w:val="en-US" w:eastAsia="zh-CN"/>
        </w:rPr>
        <w:t>15次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年中绩效运行完成值为“8次”，全年</w:t>
      </w:r>
      <w:r>
        <w:rPr>
          <w:rFonts w:hint="eastAsia" w:ascii="仿宋_GB2312" w:eastAsia="仿宋_GB2312"/>
          <w:color w:val="auto"/>
          <w:sz w:val="32"/>
          <w:szCs w:val="32"/>
          <w:highlight w:val="none"/>
        </w:rPr>
        <w:t>实际完成指标值为“</w:t>
      </w:r>
      <w:r>
        <w:rPr>
          <w:rFonts w:hint="eastAsia" w:ascii="仿宋_GB2312" w:eastAsia="仿宋_GB2312"/>
          <w:color w:val="auto"/>
          <w:sz w:val="32"/>
          <w:szCs w:val="32"/>
          <w:highlight w:val="none"/>
          <w:lang w:val="en-US" w:eastAsia="zh-CN"/>
        </w:rPr>
        <w:t>18次</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rPr>
        <w:t>指标完成率为</w:t>
      </w:r>
      <w:r>
        <w:rPr>
          <w:rFonts w:hint="eastAsia" w:ascii="仿宋_GB2312" w:eastAsia="仿宋_GB2312"/>
          <w:bCs/>
          <w:color w:val="auto"/>
          <w:spacing w:val="-4"/>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。我办始终坚持按程序办会，扎实做好材料准备、会议通知、会议记录等各项工作，确保各类会议顺利召开。</w:t>
      </w:r>
    </w:p>
    <w:p>
      <w:pPr>
        <w:spacing w:line="570" w:lineRule="exact"/>
        <w:ind w:firstLine="640"/>
        <w:rPr>
          <w:rFonts w:hint="eastAsia"/>
          <w:color w:val="auto"/>
          <w:highlight w:val="none"/>
          <w:lang w:val="en-US" w:eastAsia="zh-CN"/>
        </w:rPr>
      </w:pPr>
      <w:r>
        <w:rPr>
          <w:rFonts w:hint="eastAsia" w:ascii="仿宋_GB2312" w:eastAsia="仿宋_GB2312"/>
          <w:color w:val="auto"/>
          <w:sz w:val="32"/>
          <w:szCs w:val="32"/>
          <w:highlight w:val="none"/>
          <w:lang w:val="en-US" w:eastAsia="zh-CN"/>
        </w:rPr>
        <w:t>综上，该指标分值10分，得10分。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指标四：</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编发报送信息篇数”指标，预期指标值为“大于等于450篇”，年中绩效运行完成值为“230篇”，全年实际完成指标值为“522篇”，全年指标完成率为100%。年中绩效运行完成值与全年指标完成值均不存在偏差。坚持提升质量、扩充数量和及时、准确、全面的原则，抓住重点工作“薄弱点”和基层工作“闪光点”，编写有情况、有分析、深层次、高质量的信息，为市领导各项科学决策和加强工作指导提供服务。截至年底，编辑《沙湾信息》522期，得到了上级的充分认可，连续十年位居塔城地区第一。</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综上，该指标分值10分，得10分。</w:t>
      </w:r>
    </w:p>
    <w:p>
      <w:pPr>
        <w:pStyle w:val="2"/>
        <w:numPr>
          <w:ilvl w:val="0"/>
          <w:numId w:val="0"/>
        </w:numPr>
        <w:ind w:left="420" w:leftChars="0"/>
        <w:rPr>
          <w:rFonts w:hint="eastAsia" w:ascii="楷体_GB2312" w:hAnsi="Arial" w:eastAsia="楷体_GB2312" w:cs="Times New Roman"/>
          <w:b/>
          <w:bCs w:val="0"/>
          <w:color w:val="auto"/>
          <w:kern w:val="2"/>
          <w:sz w:val="32"/>
          <w:szCs w:val="32"/>
          <w:highlight w:val="none"/>
          <w:lang w:val="en-US" w:eastAsia="zh-CN" w:bidi="ar-SA"/>
        </w:rPr>
      </w:pPr>
      <w:r>
        <w:rPr>
          <w:rFonts w:hint="eastAsia" w:ascii="楷体_GB2312" w:hAnsi="Arial" w:eastAsia="楷体_GB2312" w:cs="Times New Roman"/>
          <w:b/>
          <w:bCs w:val="0"/>
          <w:color w:val="auto"/>
          <w:kern w:val="2"/>
          <w:sz w:val="32"/>
          <w:szCs w:val="32"/>
          <w:highlight w:val="none"/>
          <w:lang w:val="en-US" w:eastAsia="zh-CN" w:bidi="ar-SA"/>
        </w:rPr>
        <w:t>（五）指标五：</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政务值班追责率”指标，预期指标值为“小于等于5%”，年中绩效运行完成值为“0%”，全年实际完成指标值为“1.2%”，全年指标完成率为100%。年中绩效运行完成值与全年指标完成值均不存在偏差。压实市、乡两级政务值班值守责任，落实重大节假日24小时领导在岗带班、干部值班制度，加大值班值守情况电话抽查力度，按季度下发值班值守情况通报。加强紧急突发信息报送力度，今年报送突发信息 17期。与市委办通力协作，做好党政办公大楼门口值班值守工作，确保办公场所安全平稳。追责率1.2%。</w:t>
      </w:r>
    </w:p>
    <w:p>
      <w:pPr>
        <w:pStyle w:val="2"/>
        <w:rPr>
          <w:rFonts w:hint="eastAsia" w:ascii="仿宋_GB2312" w:hAnsi="仿宋" w:eastAsia="仿宋_GB2312" w:cs="Times New Roman"/>
          <w:b w:val="0"/>
          <w:bCs w:val="0"/>
          <w:color w:val="auto"/>
          <w:kern w:val="2"/>
          <w:sz w:val="32"/>
          <w:szCs w:val="32"/>
          <w:highlight w:val="none"/>
          <w:lang w:val="en-US" w:eastAsia="zh-CN" w:bidi="ar-SA"/>
        </w:rPr>
      </w:pPr>
      <w:r>
        <w:rPr>
          <w:rFonts w:hint="eastAsia" w:ascii="仿宋_GB2312" w:hAnsi="仿宋" w:eastAsia="仿宋_GB2312" w:cs="Times New Roman"/>
          <w:b w:val="0"/>
          <w:bCs w:val="0"/>
          <w:color w:val="auto"/>
          <w:kern w:val="2"/>
          <w:sz w:val="32"/>
          <w:szCs w:val="32"/>
          <w:highlight w:val="none"/>
          <w:lang w:val="en-US" w:eastAsia="zh-CN" w:bidi="ar-SA"/>
        </w:rPr>
        <w:t>综上，该指标分值20分，得</w:t>
      </w:r>
      <w:r>
        <w:rPr>
          <w:rFonts w:hint="eastAsia" w:hAnsi="仿宋" w:cs="Times New Roman"/>
          <w:b w:val="0"/>
          <w:bCs w:val="0"/>
          <w:color w:val="auto"/>
          <w:kern w:val="2"/>
          <w:sz w:val="32"/>
          <w:szCs w:val="32"/>
          <w:highlight w:val="none"/>
          <w:lang w:val="en-US" w:eastAsia="zh-CN" w:bidi="ar-SA"/>
        </w:rPr>
        <w:t>19</w:t>
      </w:r>
      <w:r>
        <w:rPr>
          <w:rFonts w:hint="eastAsia" w:ascii="仿宋_GB2312" w:hAnsi="仿宋" w:eastAsia="仿宋_GB2312" w:cs="Times New Roman"/>
          <w:b w:val="0"/>
          <w:bCs w:val="0"/>
          <w:color w:val="auto"/>
          <w:kern w:val="2"/>
          <w:sz w:val="32"/>
          <w:szCs w:val="32"/>
          <w:highlight w:val="none"/>
          <w:lang w:val="en-US" w:eastAsia="zh-CN" w:bidi="ar-SA"/>
        </w:rPr>
        <w:t>分。</w:t>
      </w:r>
    </w:p>
    <w:p>
      <w:pPr>
        <w:pStyle w:val="4"/>
        <w:spacing w:line="570" w:lineRule="exact"/>
        <w:ind w:firstLine="643"/>
        <w:rPr>
          <w:rFonts w:hint="default" w:ascii="仿宋_GB2312" w:eastAsia="楷体_GB2312"/>
          <w:bCs/>
          <w:color w:val="auto"/>
          <w:spacing w:val="-4"/>
          <w:sz w:val="32"/>
          <w:szCs w:val="32"/>
          <w:highlight w:val="none"/>
          <w:lang w:val="en-US" w:eastAsia="zh-CN"/>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六</w:t>
      </w: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指标六：</w:t>
      </w:r>
    </w:p>
    <w:p>
      <w:pPr>
        <w:spacing w:line="570" w:lineRule="exact"/>
        <w:ind w:firstLine="64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督查、督办事项完成率”指标，预期指标值为“大于等于95%”，年中绩效运行完成值为“100%”，全年实际完成指标值为“100%”，全年指标完成率为100%。年中绩效运行完成值与全年指标完成值均不存在偏差。严格落实市政府重要决策跟踪督办制度，认真做好《互联网+督查》《中国政府网》《书记信箱》《市长信箱》《网民留言》《政府工作报告》目标任务、市政府重要会议议定事项和重大工作部署的分解落实，围绕重要文件、重要会议、重大决策、领导批示及人大代表议案和政协委员提案办理等，加强跟踪检查与督促，全方位、多角度地督查各责任单位的工作进度，确保督查事项件件有落实、事事有反馈。截至目前，下发督查、督办通知19件，办理完成人大代表议案3件、建议42个，政协委员提案45件,完成率100%。</w:t>
      </w:r>
    </w:p>
    <w:p>
      <w:p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综上，该指标分值20分，得20分。</w:t>
      </w:r>
    </w:p>
    <w:p>
      <w:pPr>
        <w:pStyle w:val="3"/>
        <w:numPr>
          <w:ilvl w:val="0"/>
          <w:numId w:val="3"/>
        </w:numPr>
        <w:spacing w:line="570" w:lineRule="exact"/>
        <w:ind w:firstLine="640"/>
        <w:rPr>
          <w:rFonts w:hint="eastAsia" w:ascii="黑体" w:hAnsi="黑体"/>
          <w:b w:val="0"/>
          <w:color w:val="auto"/>
          <w:sz w:val="32"/>
          <w:szCs w:val="32"/>
          <w:highlight w:val="none"/>
          <w:lang w:val="en-US" w:eastAsia="zh-CN"/>
        </w:rPr>
      </w:pPr>
      <w:r>
        <w:rPr>
          <w:rFonts w:hint="eastAsia" w:ascii="黑体" w:hAnsi="黑体"/>
          <w:b w:val="0"/>
          <w:color w:val="auto"/>
          <w:sz w:val="32"/>
          <w:szCs w:val="32"/>
          <w:highlight w:val="none"/>
          <w:lang w:val="en-US" w:eastAsia="zh-CN"/>
        </w:rPr>
        <w:t>评价结论</w:t>
      </w:r>
    </w:p>
    <w:p>
      <w:pPr>
        <w:spacing w:line="570" w:lineRule="exact"/>
        <w:ind w:firstLine="640"/>
        <w:rPr>
          <w:rFonts w:hint="default"/>
          <w:color w:val="auto"/>
          <w:highlight w:val="none"/>
          <w:lang w:val="en-US" w:eastAsia="zh-CN"/>
        </w:rPr>
      </w:pPr>
      <w:r>
        <w:rPr>
          <w:rFonts w:hint="eastAsia" w:ascii="仿宋_GB2312" w:eastAsia="仿宋_GB2312"/>
          <w:color w:val="auto"/>
          <w:sz w:val="32"/>
          <w:szCs w:val="32"/>
          <w:highlight w:val="none"/>
          <w:lang w:val="en-US" w:eastAsia="zh-CN"/>
        </w:rPr>
        <w:t>2023年度</w:t>
      </w:r>
      <w:r>
        <w:rPr>
          <w:rFonts w:hint="eastAsia" w:ascii="仿宋_GB2312" w:eastAsia="仿宋_GB2312"/>
          <w:color w:val="auto"/>
          <w:sz w:val="32"/>
          <w:szCs w:val="32"/>
          <w:highlight w:val="none"/>
          <w:lang w:eastAsia="zh-CN"/>
        </w:rPr>
        <w:t>沙湾市人民政府办公室</w:t>
      </w:r>
      <w:r>
        <w:rPr>
          <w:rFonts w:hint="eastAsia" w:ascii="仿宋_GB2312" w:eastAsia="仿宋_GB2312"/>
          <w:color w:val="auto"/>
          <w:sz w:val="32"/>
          <w:szCs w:val="32"/>
          <w:highlight w:val="none"/>
          <w:lang w:val="en-US" w:eastAsia="zh-CN"/>
        </w:rPr>
        <w:t>单位部门整体支出绩效自评综合得分99分</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评价结果为“</w:t>
      </w:r>
      <w:r>
        <w:rPr>
          <w:rFonts w:hint="eastAsia" w:ascii="仿宋_GB2312" w:eastAsia="仿宋_GB2312"/>
          <w:color w:val="auto"/>
          <w:sz w:val="32"/>
          <w:szCs w:val="32"/>
          <w:highlight w:val="none"/>
          <w:lang w:eastAsia="zh-CN"/>
        </w:rPr>
        <w:t>优</w:t>
      </w:r>
      <w:r>
        <w:rPr>
          <w:rFonts w:hint="eastAsia" w:ascii="仿宋_GB2312" w:eastAsia="仿宋_GB2312"/>
          <w:color w:val="auto"/>
          <w:sz w:val="32"/>
          <w:szCs w:val="32"/>
          <w:highlight w:val="none"/>
          <w:lang w:val="en-US" w:eastAsia="zh-CN"/>
        </w:rPr>
        <w:t>”。</w:t>
      </w:r>
    </w:p>
    <w:p>
      <w:pPr>
        <w:pStyle w:val="3"/>
        <w:spacing w:line="570" w:lineRule="exact"/>
        <w:ind w:firstLine="640"/>
        <w:rPr>
          <w:rFonts w:hint="default" w:ascii="黑体" w:hAnsi="黑体" w:eastAsia="黑体"/>
          <w:b w:val="0"/>
          <w:color w:val="auto"/>
          <w:sz w:val="32"/>
          <w:szCs w:val="32"/>
          <w:highlight w:val="none"/>
          <w:lang w:val="en-US" w:eastAsia="zh-CN"/>
        </w:rPr>
      </w:pPr>
      <w:r>
        <w:rPr>
          <w:rFonts w:hint="eastAsia" w:ascii="黑体" w:hAnsi="黑体"/>
          <w:b w:val="0"/>
          <w:color w:val="auto"/>
          <w:sz w:val="32"/>
          <w:szCs w:val="32"/>
          <w:highlight w:val="none"/>
          <w:lang w:val="en-US" w:eastAsia="zh-CN"/>
        </w:rPr>
        <w:t>五</w:t>
      </w:r>
      <w:r>
        <w:rPr>
          <w:rFonts w:hint="eastAsia" w:ascii="黑体" w:hAnsi="黑体"/>
          <w:b w:val="0"/>
          <w:color w:val="auto"/>
          <w:sz w:val="32"/>
          <w:szCs w:val="32"/>
          <w:highlight w:val="none"/>
        </w:rPr>
        <w:t>、存在的主要问题</w:t>
      </w:r>
      <w:r>
        <w:rPr>
          <w:rFonts w:hint="eastAsia" w:ascii="黑体" w:hAnsi="黑体"/>
          <w:b w:val="0"/>
          <w:color w:val="auto"/>
          <w:sz w:val="32"/>
          <w:szCs w:val="32"/>
          <w:highlight w:val="none"/>
          <w:lang w:val="en-US" w:eastAsia="zh-CN"/>
        </w:rPr>
        <w:t>及原因分析</w:t>
      </w:r>
    </w:p>
    <w:p>
      <w:pPr>
        <w:pStyle w:val="4"/>
        <w:spacing w:line="570" w:lineRule="exact"/>
        <w:ind w:firstLine="643"/>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（一）绩效管理方面</w:t>
      </w:r>
    </w:p>
    <w:p>
      <w:pPr>
        <w:numPr>
          <w:ilvl w:val="0"/>
          <w:numId w:val="4"/>
        </w:num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预算绩效管理工作时间紧、任务重、专业性强，我单位的预算绩效存在一些不足之处需要完善。</w:t>
      </w:r>
    </w:p>
    <w:p>
      <w:pPr>
        <w:numPr>
          <w:ilvl w:val="0"/>
          <w:numId w:val="4"/>
        </w:numPr>
        <w:spacing w:line="57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预算绩效管理缺乏系统的培训，造成预算绩效管理指导不到位、认识不到位，理解不充分，对预算绩效管理工作重点把握不到位。</w:t>
      </w:r>
    </w:p>
    <w:p>
      <w:pPr>
        <w:pStyle w:val="4"/>
        <w:numPr>
          <w:ilvl w:val="0"/>
          <w:numId w:val="5"/>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资产管理方面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b w:val="0"/>
          <w:bCs/>
          <w:color w:val="auto"/>
          <w:sz w:val="32"/>
          <w:szCs w:val="32"/>
          <w:highlight w:val="none"/>
          <w:lang w:val="en-US" w:eastAsia="zh-CN"/>
        </w:rPr>
      </w:pPr>
      <w:r>
        <w:rPr>
          <w:rFonts w:hint="eastAsia" w:ascii="仿宋_GB2312" w:hAnsi="Arial" w:eastAsia="仿宋_GB2312" w:cs="Times New Roman"/>
          <w:b w:val="0"/>
          <w:bCs/>
          <w:color w:val="auto"/>
          <w:kern w:val="2"/>
          <w:sz w:val="32"/>
          <w:szCs w:val="32"/>
          <w:highlight w:val="none"/>
          <w:lang w:val="en-US" w:eastAsia="zh-CN" w:bidi="ar-SA"/>
        </w:rPr>
        <w:t>固定资产日常管理不够规范。未能及时按照《行政事业单位内部控制规范（试行）》（财会</w:t>
      </w:r>
      <w:r>
        <w:rPr>
          <w:rFonts w:hint="eastAsia" w:ascii="仿宋_GB2312" w:hAnsi="宋体" w:eastAsia="仿宋_GB2312" w:cs="宋体"/>
          <w:bCs/>
          <w:color w:val="auto"/>
          <w:kern w:val="0"/>
          <w:sz w:val="32"/>
          <w:szCs w:val="32"/>
          <w:highlight w:val="none"/>
          <w:lang w:val="en-US" w:eastAsia="zh-CN" w:bidi="ar"/>
        </w:rPr>
        <w:t>〔2012〕21号</w:t>
      </w:r>
      <w:r>
        <w:rPr>
          <w:rFonts w:hint="eastAsia" w:ascii="仿宋_GB2312" w:hAnsi="Arial" w:eastAsia="仿宋_GB2312" w:cs="Times New Roman"/>
          <w:b w:val="0"/>
          <w:bCs/>
          <w:color w:val="auto"/>
          <w:kern w:val="2"/>
          <w:sz w:val="32"/>
          <w:szCs w:val="32"/>
          <w:highlight w:val="none"/>
          <w:lang w:val="en-US" w:eastAsia="zh-CN" w:bidi="ar-SA"/>
        </w:rPr>
        <w:t>）文件规定定期对固定资产进行盘点。未按《行政事业单位资产清查核实管理办法》（财资</w:t>
      </w:r>
      <w:r>
        <w:rPr>
          <w:rFonts w:hint="eastAsia" w:ascii="仿宋_GB2312" w:hAnsi="宋体" w:eastAsia="仿宋_GB2312" w:cs="宋体"/>
          <w:bCs/>
          <w:color w:val="auto"/>
          <w:kern w:val="0"/>
          <w:sz w:val="32"/>
          <w:szCs w:val="32"/>
          <w:highlight w:val="none"/>
          <w:lang w:val="en-US" w:eastAsia="zh-CN" w:bidi="ar"/>
        </w:rPr>
        <w:t>〔2016〕1号</w:t>
      </w:r>
      <w:r>
        <w:rPr>
          <w:rFonts w:hint="eastAsia" w:ascii="仿宋_GB2312" w:hAnsi="Arial" w:eastAsia="仿宋_GB2312" w:cs="Times New Roman"/>
          <w:b w:val="0"/>
          <w:bCs/>
          <w:color w:val="auto"/>
          <w:kern w:val="2"/>
          <w:sz w:val="32"/>
          <w:szCs w:val="32"/>
          <w:highlight w:val="none"/>
          <w:lang w:val="en-US" w:eastAsia="zh-CN" w:bidi="ar-SA"/>
        </w:rPr>
        <w:t>）文件规定对固定资产进行卡片管理。导致固定资产财务报表与决算报表数据有一定误差。</w:t>
      </w:r>
    </w:p>
    <w:p>
      <w:pPr>
        <w:pStyle w:val="4"/>
        <w:numPr>
          <w:ilvl w:val="0"/>
          <w:numId w:val="5"/>
        </w:numPr>
        <w:spacing w:line="570" w:lineRule="exact"/>
        <w:ind w:firstLine="643"/>
        <w:rPr>
          <w:rFonts w:hint="eastAsia" w:ascii="楷体_GB2312" w:eastAsia="楷体_GB2312"/>
          <w:color w:val="auto"/>
          <w:szCs w:val="32"/>
          <w:highlight w:val="none"/>
          <w:lang w:val="en-US" w:eastAsia="zh-CN"/>
        </w:rPr>
      </w:pPr>
      <w:r>
        <w:rPr>
          <w:rFonts w:hint="eastAsia" w:ascii="楷体_GB2312" w:eastAsia="楷体_GB2312"/>
          <w:color w:val="auto"/>
          <w:szCs w:val="32"/>
          <w:highlight w:val="none"/>
          <w:lang w:val="en-US" w:eastAsia="zh-CN"/>
        </w:rPr>
        <w:t>预算管理方面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textAlignment w:val="auto"/>
        <w:rPr>
          <w:rFonts w:hint="eastAsia" w:ascii="仿宋_GB2312" w:eastAsia="仿宋_GB2312"/>
          <w:b w:val="0"/>
          <w:bCs/>
          <w:color w:val="auto"/>
          <w:sz w:val="32"/>
          <w:szCs w:val="32"/>
          <w:highlight w:val="none"/>
          <w:lang w:val="en-US" w:eastAsia="zh-CN"/>
        </w:rPr>
      </w:pPr>
      <w:r>
        <w:rPr>
          <w:rFonts w:hint="eastAsia" w:ascii="仿宋_GB2312" w:eastAsia="仿宋_GB2312"/>
          <w:b w:val="0"/>
          <w:bCs/>
          <w:color w:val="auto"/>
          <w:sz w:val="32"/>
          <w:szCs w:val="32"/>
          <w:highlight w:val="none"/>
          <w:lang w:val="en-US" w:eastAsia="zh-CN"/>
        </w:rPr>
        <w:t>1.经费预算编制精准度有待提高。由于预算执行中的不确定性，实际经费核算的科目、支出内容与预算会出现一定偏差。</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Arial" w:eastAsia="仿宋_GB2312" w:cs="Times New Roman"/>
          <w:b w:val="0"/>
          <w:bCs/>
          <w:color w:val="auto"/>
          <w:kern w:val="2"/>
          <w:sz w:val="32"/>
          <w:szCs w:val="32"/>
          <w:highlight w:val="none"/>
          <w:lang w:val="en-US" w:eastAsia="zh-CN" w:bidi="ar-SA"/>
        </w:rPr>
      </w:pPr>
      <w:r>
        <w:rPr>
          <w:rFonts w:hint="eastAsia" w:ascii="仿宋_GB2312" w:eastAsia="仿宋_GB2312"/>
          <w:b w:val="0"/>
          <w:bCs/>
          <w:color w:val="auto"/>
          <w:sz w:val="32"/>
          <w:szCs w:val="32"/>
          <w:highlight w:val="none"/>
          <w:lang w:val="en-US" w:eastAsia="zh-CN"/>
        </w:rPr>
        <w:t>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pStyle w:val="3"/>
        <w:spacing w:line="570" w:lineRule="exact"/>
        <w:ind w:firstLine="640"/>
        <w:rPr>
          <w:rFonts w:ascii="仿宋_GB2312" w:eastAsia="仿宋_GB2312"/>
          <w:color w:val="auto"/>
          <w:spacing w:val="-4"/>
          <w:sz w:val="32"/>
          <w:szCs w:val="32"/>
          <w:highlight w:val="none"/>
          <w:lang w:eastAsia="zh-Hans"/>
        </w:rPr>
      </w:pPr>
      <w:r>
        <w:rPr>
          <w:rFonts w:hint="eastAsia" w:ascii="黑体" w:hAnsi="黑体"/>
          <w:b w:val="0"/>
          <w:color w:val="auto"/>
          <w:sz w:val="32"/>
          <w:szCs w:val="32"/>
          <w:highlight w:val="none"/>
          <w:lang w:val="en-US" w:eastAsia="zh-CN"/>
        </w:rPr>
        <w:t>六</w:t>
      </w:r>
      <w:r>
        <w:rPr>
          <w:rFonts w:hint="eastAsia" w:ascii="黑体" w:hAnsi="黑体"/>
          <w:b w:val="0"/>
          <w:color w:val="auto"/>
          <w:sz w:val="32"/>
          <w:szCs w:val="32"/>
          <w:highlight w:val="none"/>
        </w:rPr>
        <w:t>、改进措施和建议</w:t>
      </w:r>
    </w:p>
    <w:p>
      <w:pPr>
        <w:pStyle w:val="2"/>
        <w:numPr>
          <w:ilvl w:val="0"/>
          <w:numId w:val="6"/>
        </w:numPr>
        <w:spacing w:line="570" w:lineRule="exact"/>
        <w:ind w:left="-83" w:leftChars="0" w:firstLine="643" w:firstLineChars="0"/>
        <w:rPr>
          <w:rFonts w:ascii="楷体_GB2312" w:hAnsi="楷体_GB2312" w:eastAsia="楷体_GB2312" w:cs="楷体_GB2312"/>
          <w:color w:val="auto"/>
          <w:sz w:val="32"/>
          <w:highlight w:val="none"/>
          <w:lang w:eastAsia="zh-Hans"/>
        </w:rPr>
      </w:pPr>
      <w:r>
        <w:rPr>
          <w:rFonts w:hint="eastAsia" w:ascii="楷体_GB2312" w:hAnsi="楷体_GB2312" w:eastAsia="楷体_GB2312" w:cs="楷体_GB2312"/>
          <w:color w:val="auto"/>
          <w:sz w:val="32"/>
          <w:highlight w:val="none"/>
          <w:lang w:eastAsia="zh-Hans"/>
        </w:rPr>
        <w:t>改进措施</w:t>
      </w:r>
    </w:p>
    <w:p>
      <w:pPr>
        <w:pStyle w:val="16"/>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lang w:val="en-US" w:eastAsia="zh-CN"/>
        </w:rPr>
        <w:t>1.</w:t>
      </w:r>
      <w:r>
        <w:rPr>
          <w:rStyle w:val="14"/>
          <w:rFonts w:hint="eastAsia" w:ascii="仿宋_GB2312" w:hAnsi="仿宋_GB2312" w:eastAsia="仿宋_GB2312" w:cs="仿宋_GB2312"/>
          <w:b w:val="0"/>
          <w:bCs w:val="0"/>
          <w:color w:val="auto"/>
          <w:spacing w:val="-4"/>
          <w:sz w:val="32"/>
          <w:szCs w:val="32"/>
          <w:highlight w:val="none"/>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6"/>
        <w:snapToGrid w:val="0"/>
        <w:spacing w:line="570" w:lineRule="exact"/>
        <w:ind w:firstLine="624"/>
        <w:rPr>
          <w:rStyle w:val="14"/>
          <w:rFonts w:hint="default" w:ascii="仿宋_GB2312" w:hAnsi="仿宋_GB2312" w:eastAsia="仿宋_GB2312" w:cs="仿宋_GB2312"/>
          <w:b w:val="0"/>
          <w:bCs w:val="0"/>
          <w:color w:val="auto"/>
          <w:spacing w:val="-4"/>
          <w:sz w:val="32"/>
          <w:szCs w:val="32"/>
          <w:highlight w:val="none"/>
          <w:lang w:val="en-US" w:eastAsia="zh-CN"/>
        </w:rPr>
      </w:pPr>
      <w:r>
        <w:rPr>
          <w:rStyle w:val="14"/>
          <w:rFonts w:hint="eastAsia" w:ascii="仿宋_GB2312" w:hAnsi="仿宋_GB2312" w:eastAsia="仿宋_GB2312" w:cs="仿宋_GB2312"/>
          <w:b w:val="0"/>
          <w:bCs w:val="0"/>
          <w:color w:val="auto"/>
          <w:spacing w:val="-4"/>
          <w:sz w:val="32"/>
          <w:szCs w:val="32"/>
          <w:highlight w:val="none"/>
          <w:lang w:val="en-US" w:eastAsia="zh-CN"/>
        </w:rPr>
        <w:t>2.</w:t>
      </w:r>
      <w:r>
        <w:rPr>
          <w:rStyle w:val="14"/>
          <w:rFonts w:hint="default" w:ascii="仿宋_GB2312" w:hAnsi="仿宋_GB2312" w:eastAsia="仿宋_GB2312" w:cs="仿宋_GB2312"/>
          <w:b w:val="0"/>
          <w:bCs w:val="0"/>
          <w:color w:val="auto"/>
          <w:spacing w:val="-4"/>
          <w:sz w:val="32"/>
          <w:szCs w:val="32"/>
          <w:highlight w:val="none"/>
          <w:lang w:val="en-US" w:eastAsia="zh-CN"/>
        </w:rPr>
        <w:t>是通过对每笔资金的细致化管理来保障资金使用的合规、合法性，并据此分析各类资金支出产生的效益，使本单位的绩效工作上一个新台阶。</w:t>
      </w:r>
    </w:p>
    <w:p>
      <w:pPr>
        <w:pStyle w:val="2"/>
        <w:numPr>
          <w:ilvl w:val="0"/>
          <w:numId w:val="6"/>
        </w:numPr>
        <w:spacing w:line="570" w:lineRule="exact"/>
        <w:ind w:left="-83" w:leftChars="0" w:firstLine="643" w:firstLineChars="0"/>
        <w:rPr>
          <w:rFonts w:ascii="楷体_GB2312" w:hAnsi="楷体_GB2312" w:eastAsia="楷体_GB2312" w:cs="楷体_GB2312"/>
          <w:color w:val="auto"/>
          <w:sz w:val="32"/>
          <w:highlight w:val="none"/>
          <w:lang w:eastAsia="zh-Hans"/>
        </w:rPr>
      </w:pPr>
      <w:r>
        <w:rPr>
          <w:rFonts w:hint="eastAsia" w:ascii="楷体_GB2312" w:hAnsi="楷体_GB2312" w:eastAsia="楷体_GB2312" w:cs="楷体_GB2312"/>
          <w:color w:val="auto"/>
          <w:sz w:val="32"/>
          <w:highlight w:val="none"/>
          <w:lang w:eastAsia="zh-Hans"/>
        </w:rPr>
        <w:t>建议</w:t>
      </w:r>
    </w:p>
    <w:p>
      <w:pPr>
        <w:pStyle w:val="16"/>
        <w:snapToGrid w:val="0"/>
        <w:spacing w:line="570" w:lineRule="exact"/>
        <w:ind w:firstLine="624"/>
        <w:rPr>
          <w:rStyle w:val="14"/>
          <w:rFonts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1</w:t>
      </w:r>
      <w:r>
        <w:rPr>
          <w:rStyle w:val="14"/>
          <w:rFonts w:ascii="仿宋_GB2312" w:hAnsi="仿宋_GB2312" w:eastAsia="仿宋_GB2312" w:cs="仿宋_GB2312"/>
          <w:b w:val="0"/>
          <w:bCs w:val="0"/>
          <w:color w:val="auto"/>
          <w:spacing w:val="-4"/>
          <w:sz w:val="32"/>
          <w:szCs w:val="32"/>
          <w:highlight w:val="none"/>
        </w:rPr>
        <w:t>.</w:t>
      </w:r>
      <w:r>
        <w:rPr>
          <w:rStyle w:val="14"/>
          <w:rFonts w:hint="eastAsia" w:ascii="仿宋_GB2312" w:hAnsi="仿宋_GB2312" w:eastAsia="仿宋_GB2312" w:cs="仿宋_GB2312"/>
          <w:b w:val="0"/>
          <w:bCs w:val="0"/>
          <w:color w:val="auto"/>
          <w:spacing w:val="-4"/>
          <w:sz w:val="32"/>
          <w:szCs w:val="32"/>
          <w:highlight w:val="none"/>
        </w:rPr>
        <w:t>按照实事求是、统筹兼顾、量入为出、保重点、重平衡的原则编制财政预算，细化财政收支预算，保证部门预算资金准确可靠。</w:t>
      </w:r>
    </w:p>
    <w:p>
      <w:pPr>
        <w:pStyle w:val="16"/>
        <w:snapToGrid w:val="0"/>
        <w:spacing w:line="570" w:lineRule="exact"/>
        <w:ind w:firstLine="624"/>
        <w:rPr>
          <w:rStyle w:val="14"/>
          <w:rFonts w:hint="eastAsia" w:ascii="仿宋_GB2312" w:hAnsi="仿宋_GB2312" w:eastAsia="仿宋_GB2312" w:cs="仿宋_GB2312"/>
          <w:b w:val="0"/>
          <w:bCs w:val="0"/>
          <w:color w:val="auto"/>
          <w:spacing w:val="-4"/>
          <w:sz w:val="32"/>
          <w:szCs w:val="32"/>
          <w:highlight w:val="none"/>
        </w:rPr>
      </w:pPr>
      <w:r>
        <w:rPr>
          <w:rStyle w:val="14"/>
          <w:rFonts w:hint="eastAsia" w:ascii="仿宋_GB2312" w:hAnsi="仿宋_GB2312" w:eastAsia="仿宋_GB2312" w:cs="仿宋_GB2312"/>
          <w:b w:val="0"/>
          <w:bCs w:val="0"/>
          <w:color w:val="auto"/>
          <w:spacing w:val="-4"/>
          <w:sz w:val="32"/>
          <w:szCs w:val="32"/>
          <w:highlight w:val="none"/>
        </w:rPr>
        <w:t>2.将单位财务人员进行集中培训，进一步树牢绩效观念，提高本单位工作人员的绩效管理能力和工作水平，为预算绩效管理相关工作的顺利开展提供保障。</w:t>
      </w:r>
    </w:p>
    <w:p>
      <w:pPr>
        <w:pStyle w:val="3"/>
        <w:spacing w:line="570" w:lineRule="exact"/>
        <w:ind w:firstLine="640"/>
        <w:rPr>
          <w:rFonts w:ascii="黑体" w:hAnsi="黑体"/>
          <w:b w:val="0"/>
          <w:color w:val="auto"/>
          <w:sz w:val="32"/>
          <w:szCs w:val="32"/>
          <w:highlight w:val="none"/>
        </w:rPr>
      </w:pPr>
      <w:r>
        <w:rPr>
          <w:rFonts w:hint="eastAsia" w:ascii="黑体" w:hAnsi="黑体"/>
          <w:b w:val="0"/>
          <w:color w:val="auto"/>
          <w:sz w:val="32"/>
          <w:szCs w:val="32"/>
          <w:highlight w:val="none"/>
          <w:lang w:val="en-US" w:eastAsia="zh-CN"/>
        </w:rPr>
        <w:t>七</w:t>
      </w:r>
      <w:r>
        <w:rPr>
          <w:rFonts w:hint="eastAsia" w:ascii="黑体" w:hAnsi="黑体"/>
          <w:b w:val="0"/>
          <w:color w:val="auto"/>
          <w:sz w:val="32"/>
          <w:szCs w:val="32"/>
          <w:highlight w:val="none"/>
        </w:rPr>
        <w:t>、附表</w:t>
      </w:r>
    </w:p>
    <w:p>
      <w:pPr>
        <w:spacing w:line="57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《部门整体支出绩效目标自评表》</w:t>
      </w:r>
    </w:p>
    <w:p>
      <w:pPr>
        <w:spacing w:line="570" w:lineRule="exact"/>
        <w:ind w:firstLine="640"/>
        <w:rPr>
          <w:rFonts w:ascii="仿宋_GB2312" w:eastAsia="仿宋_GB2312"/>
          <w:color w:val="auto"/>
          <w:sz w:val="32"/>
          <w:szCs w:val="32"/>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5194959"/>
        <w:showingPlcHdr/>
      </w:sdtPr>
      <w:sdtContent>
        <w:r>
          <w:t xml:space="preserve">     </w:t>
        </w:r>
      </w:sdtContent>
    </w:sdt>
  </w:p>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A7F3E"/>
    <w:multiLevelType w:val="singleLevel"/>
    <w:tmpl w:val="D35A7F3E"/>
    <w:lvl w:ilvl="0" w:tentative="0">
      <w:start w:val="2"/>
      <w:numFmt w:val="chineseCounting"/>
      <w:suff w:val="nothing"/>
      <w:lvlText w:val="（%1）"/>
      <w:lvlJc w:val="left"/>
      <w:rPr>
        <w:rFonts w:hint="eastAsia"/>
      </w:rPr>
    </w:lvl>
  </w:abstractNum>
  <w:abstractNum w:abstractNumId="1">
    <w:nsid w:val="EBF28373"/>
    <w:multiLevelType w:val="singleLevel"/>
    <w:tmpl w:val="EBF28373"/>
    <w:lvl w:ilvl="0" w:tentative="0">
      <w:start w:val="1"/>
      <w:numFmt w:val="decimal"/>
      <w:suff w:val="nothing"/>
      <w:lvlText w:val="%1、"/>
      <w:lvlJc w:val="left"/>
    </w:lvl>
  </w:abstractNum>
  <w:abstractNum w:abstractNumId="2">
    <w:nsid w:val="EFFE516D"/>
    <w:multiLevelType w:val="singleLevel"/>
    <w:tmpl w:val="EFFE516D"/>
    <w:lvl w:ilvl="0" w:tentative="0">
      <w:start w:val="2"/>
      <w:numFmt w:val="chineseCounting"/>
      <w:suff w:val="nothing"/>
      <w:lvlText w:val="（%1）"/>
      <w:lvlJc w:val="left"/>
      <w:rPr>
        <w:rFonts w:hint="eastAsia"/>
      </w:rPr>
    </w:lvl>
  </w:abstractNum>
  <w:abstractNum w:abstractNumId="3">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4">
    <w:nsid w:val="3F3F91C3"/>
    <w:multiLevelType w:val="singleLevel"/>
    <w:tmpl w:val="3F3F91C3"/>
    <w:lvl w:ilvl="0" w:tentative="0">
      <w:start w:val="4"/>
      <w:numFmt w:val="chineseCounting"/>
      <w:suff w:val="nothing"/>
      <w:lvlText w:val="%1、"/>
      <w:lvlJc w:val="left"/>
      <w:rPr>
        <w:rFonts w:hint="eastAsia"/>
      </w:rPr>
    </w:lvl>
  </w:abstractNum>
  <w:abstractNum w:abstractNumId="5">
    <w:nsid w:val="622ADB77"/>
    <w:multiLevelType w:val="singleLevel"/>
    <w:tmpl w:val="622ADB77"/>
    <w:lvl w:ilvl="0" w:tentative="0">
      <w:start w:val="1"/>
      <w:numFmt w:val="chineseCounting"/>
      <w:suff w:val="nothing"/>
      <w:lvlText w:val="（%1）"/>
      <w:lvlJc w:val="left"/>
      <w:pPr>
        <w:ind w:left="-83"/>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M2IzOTUwZGE3MjY5MzMwYTE5N2RjZDMyNGU1OTU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5709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D4A54"/>
    <w:rsid w:val="012D3D63"/>
    <w:rsid w:val="01330A6C"/>
    <w:rsid w:val="01487A18"/>
    <w:rsid w:val="01720865"/>
    <w:rsid w:val="0189003F"/>
    <w:rsid w:val="01C42D66"/>
    <w:rsid w:val="02C15BF6"/>
    <w:rsid w:val="03673532"/>
    <w:rsid w:val="0379691F"/>
    <w:rsid w:val="03BE7262"/>
    <w:rsid w:val="04313FCA"/>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CA63EE"/>
    <w:rsid w:val="07D07530"/>
    <w:rsid w:val="08170519"/>
    <w:rsid w:val="08436556"/>
    <w:rsid w:val="0856616F"/>
    <w:rsid w:val="08622524"/>
    <w:rsid w:val="086A7EAD"/>
    <w:rsid w:val="08881A41"/>
    <w:rsid w:val="08E604A1"/>
    <w:rsid w:val="08EF03CC"/>
    <w:rsid w:val="092D6339"/>
    <w:rsid w:val="097A0CA3"/>
    <w:rsid w:val="09DA2AA5"/>
    <w:rsid w:val="0A570F00"/>
    <w:rsid w:val="0AD23979"/>
    <w:rsid w:val="0AE14729"/>
    <w:rsid w:val="0B4635B9"/>
    <w:rsid w:val="0B6C582B"/>
    <w:rsid w:val="0B735A1E"/>
    <w:rsid w:val="0B927CE4"/>
    <w:rsid w:val="0BB6664C"/>
    <w:rsid w:val="0BCC05A7"/>
    <w:rsid w:val="0C1D3D6A"/>
    <w:rsid w:val="0C8959A0"/>
    <w:rsid w:val="0C9B591B"/>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2160F32"/>
    <w:rsid w:val="129C5FBF"/>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5CE10DA"/>
    <w:rsid w:val="16050D98"/>
    <w:rsid w:val="164D645C"/>
    <w:rsid w:val="167B52F3"/>
    <w:rsid w:val="16811A70"/>
    <w:rsid w:val="16D97F04"/>
    <w:rsid w:val="16DC79A8"/>
    <w:rsid w:val="16F4505A"/>
    <w:rsid w:val="17136C0E"/>
    <w:rsid w:val="17383D5F"/>
    <w:rsid w:val="177D3D5F"/>
    <w:rsid w:val="17C573FD"/>
    <w:rsid w:val="18142FD5"/>
    <w:rsid w:val="18647115"/>
    <w:rsid w:val="187B711C"/>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A0200"/>
    <w:rsid w:val="1CCE5055"/>
    <w:rsid w:val="1CD529D6"/>
    <w:rsid w:val="1DEB6607"/>
    <w:rsid w:val="1DED007E"/>
    <w:rsid w:val="1DFB6F14"/>
    <w:rsid w:val="1E410E2F"/>
    <w:rsid w:val="1E47773B"/>
    <w:rsid w:val="1E4B6E86"/>
    <w:rsid w:val="1F0539AE"/>
    <w:rsid w:val="1F7D50C8"/>
    <w:rsid w:val="1F893367"/>
    <w:rsid w:val="1FCB3375"/>
    <w:rsid w:val="1FD2732F"/>
    <w:rsid w:val="1FE173B4"/>
    <w:rsid w:val="1FE72E58"/>
    <w:rsid w:val="200667A3"/>
    <w:rsid w:val="20173A7C"/>
    <w:rsid w:val="203B1607"/>
    <w:rsid w:val="20783813"/>
    <w:rsid w:val="20F25F2A"/>
    <w:rsid w:val="20F27184"/>
    <w:rsid w:val="212F5EEF"/>
    <w:rsid w:val="213A4AC2"/>
    <w:rsid w:val="218738BE"/>
    <w:rsid w:val="21B21339"/>
    <w:rsid w:val="21BF20AD"/>
    <w:rsid w:val="21C43928"/>
    <w:rsid w:val="21F330F9"/>
    <w:rsid w:val="22235E02"/>
    <w:rsid w:val="228C2437"/>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7371F3"/>
    <w:rsid w:val="278E79B1"/>
    <w:rsid w:val="27C51152"/>
    <w:rsid w:val="280447C3"/>
    <w:rsid w:val="284171EC"/>
    <w:rsid w:val="286B4689"/>
    <w:rsid w:val="288E1363"/>
    <w:rsid w:val="289F2164"/>
    <w:rsid w:val="28B60026"/>
    <w:rsid w:val="29350CD3"/>
    <w:rsid w:val="29784CA5"/>
    <w:rsid w:val="29B80C93"/>
    <w:rsid w:val="29BB20D2"/>
    <w:rsid w:val="29D44C7C"/>
    <w:rsid w:val="29F33C34"/>
    <w:rsid w:val="2A380298"/>
    <w:rsid w:val="2A7B46E1"/>
    <w:rsid w:val="2A886FA9"/>
    <w:rsid w:val="2A9E4BD3"/>
    <w:rsid w:val="2AC64A60"/>
    <w:rsid w:val="2C085CD5"/>
    <w:rsid w:val="2C5033C5"/>
    <w:rsid w:val="2C5C6A3E"/>
    <w:rsid w:val="2C757BAF"/>
    <w:rsid w:val="2C8606C5"/>
    <w:rsid w:val="2C8C2E69"/>
    <w:rsid w:val="2C974E3D"/>
    <w:rsid w:val="2D07338F"/>
    <w:rsid w:val="2DB93477"/>
    <w:rsid w:val="2DF65048"/>
    <w:rsid w:val="2E165B2D"/>
    <w:rsid w:val="2E9C69DA"/>
    <w:rsid w:val="2EE84ED3"/>
    <w:rsid w:val="2EF10FC5"/>
    <w:rsid w:val="2F047E61"/>
    <w:rsid w:val="2F062134"/>
    <w:rsid w:val="2F21289E"/>
    <w:rsid w:val="2F8507EF"/>
    <w:rsid w:val="2F912F13"/>
    <w:rsid w:val="2FCA3447"/>
    <w:rsid w:val="30315A18"/>
    <w:rsid w:val="308C4C8C"/>
    <w:rsid w:val="30A14448"/>
    <w:rsid w:val="31121DE6"/>
    <w:rsid w:val="31672BA5"/>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33A5C50"/>
    <w:rsid w:val="43826A74"/>
    <w:rsid w:val="4389139C"/>
    <w:rsid w:val="43B22635"/>
    <w:rsid w:val="43DC59FD"/>
    <w:rsid w:val="43F77BE5"/>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A74195A"/>
    <w:rsid w:val="4A7A3D76"/>
    <w:rsid w:val="4A8B6AB4"/>
    <w:rsid w:val="4A9F3033"/>
    <w:rsid w:val="4AAE190E"/>
    <w:rsid w:val="4AB61F7A"/>
    <w:rsid w:val="4AE70AB8"/>
    <w:rsid w:val="4B7E595B"/>
    <w:rsid w:val="4BA672E3"/>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9D6C5F"/>
    <w:rsid w:val="4ED065C7"/>
    <w:rsid w:val="4ED60D0E"/>
    <w:rsid w:val="4F5E0911"/>
    <w:rsid w:val="4F6C7D95"/>
    <w:rsid w:val="4F7B7863"/>
    <w:rsid w:val="4FBC77EB"/>
    <w:rsid w:val="4FBD4AFA"/>
    <w:rsid w:val="50206576"/>
    <w:rsid w:val="50303A7C"/>
    <w:rsid w:val="50453781"/>
    <w:rsid w:val="50775F09"/>
    <w:rsid w:val="50A26FF3"/>
    <w:rsid w:val="50FD84BF"/>
    <w:rsid w:val="51525315"/>
    <w:rsid w:val="515C17D5"/>
    <w:rsid w:val="519223A8"/>
    <w:rsid w:val="51B45CF8"/>
    <w:rsid w:val="51CB5559"/>
    <w:rsid w:val="520F3713"/>
    <w:rsid w:val="52CF7054"/>
    <w:rsid w:val="52EA6EF6"/>
    <w:rsid w:val="52FD6971"/>
    <w:rsid w:val="53223E56"/>
    <w:rsid w:val="53275AB8"/>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A535BA"/>
    <w:rsid w:val="54B8713B"/>
    <w:rsid w:val="54C50696"/>
    <w:rsid w:val="54D77B5C"/>
    <w:rsid w:val="55132799"/>
    <w:rsid w:val="554B2A91"/>
    <w:rsid w:val="556B3AD8"/>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F37117"/>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B9748"/>
    <w:rsid w:val="5F7F5CDE"/>
    <w:rsid w:val="5FCC33D8"/>
    <w:rsid w:val="5FFFCD3B"/>
    <w:rsid w:val="60033350"/>
    <w:rsid w:val="602266C7"/>
    <w:rsid w:val="603B7C36"/>
    <w:rsid w:val="60534AA3"/>
    <w:rsid w:val="60680187"/>
    <w:rsid w:val="60832CD9"/>
    <w:rsid w:val="609E15C4"/>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4E219B4"/>
    <w:rsid w:val="652B7127"/>
    <w:rsid w:val="656B579F"/>
    <w:rsid w:val="656E592B"/>
    <w:rsid w:val="65A165E9"/>
    <w:rsid w:val="65C14A06"/>
    <w:rsid w:val="65C15488"/>
    <w:rsid w:val="65FF5BB2"/>
    <w:rsid w:val="660D76B4"/>
    <w:rsid w:val="667136F9"/>
    <w:rsid w:val="66841ED9"/>
    <w:rsid w:val="66B24A2C"/>
    <w:rsid w:val="67024FEA"/>
    <w:rsid w:val="671073D1"/>
    <w:rsid w:val="67897F01"/>
    <w:rsid w:val="678E06CE"/>
    <w:rsid w:val="679A602D"/>
    <w:rsid w:val="67E028BC"/>
    <w:rsid w:val="68001E12"/>
    <w:rsid w:val="68537B47"/>
    <w:rsid w:val="68620DC9"/>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20BB5"/>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45636FD"/>
    <w:rsid w:val="745E33A9"/>
    <w:rsid w:val="74802249"/>
    <w:rsid w:val="74EB4810"/>
    <w:rsid w:val="75155729"/>
    <w:rsid w:val="75266207"/>
    <w:rsid w:val="754D258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4E098B"/>
    <w:rsid w:val="79550880"/>
    <w:rsid w:val="799E36F7"/>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1425</Words>
  <Characters>8128</Characters>
  <Lines>67</Lines>
  <Paragraphs>19</Paragraphs>
  <TotalTime>14</TotalTime>
  <ScaleCrop>false</ScaleCrop>
  <LinksUpToDate>false</LinksUpToDate>
  <CharactersWithSpaces>9534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2025-02-24T04:07:21Z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6F8204887D6308FE9CA7B7650F36CEED_42</vt:lpwstr>
  </property>
</Properties>
</file>