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058C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1EF26A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A61DB6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沙湾市人民代表大会常务委员会</w:t>
      </w:r>
    </w:p>
    <w:p w14:paraId="70CD4B1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8D5C21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C59020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FBC615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439E9E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FAC9CF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57958E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78FA55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42B17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0DF0C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50276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650736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67C4CB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34A34D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96048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3ECFD1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C54DA2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49BB6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DD22C5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F4EF1B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4085FA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06CBA1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179B8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D66B2E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8842DD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179E8C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2E33A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CCE76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7E74C1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DD949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6DBAA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A5B34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7713E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F099A2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53D712B">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9FA30C3">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235CB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840D3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331794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是监督职责。主要是通过执法检查、听取和审议“一府两院”工作报告等方式，督促政府和法院、检察院依法行政、公正司法，配合上级人大开展各项执法检查和调研活动。二是人事任免职责。主要是对市级国家机关的有关人员进行任免。包括：在本级人民代表大会闭会期间，决定副市长的个别任免；在市长、市人民法院院长、市人民检察院检察长因故不能担任职务的时候，从本级人民政府、人民法院、人民检察院副职领导人员中决定代理检察长的人选，决定代理检察长须报上一级人民检察院和人大常委会备案；根据市长、法院院长、检察院检察长的提名，决定“一府两院”组成部门负责人的任免。任免本级人大常委会委员会主任、副主任和委员。补选上一级人民代表大会出缺的代表和罢免个别代表。三是决定重大事项职责。主要通过人大常委会集体行使权利，依法讨论、决定本行政区域内的政治、经济、科学、文化、卫生、环境和资源保护、民政、民族等工作的重大事项。</w:t>
      </w:r>
    </w:p>
    <w:p w14:paraId="0B0AEB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A77C9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沙湾市人民代表大会常务委员会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45</w:t>
      </w:r>
      <w:r>
        <w:rPr>
          <w:rFonts w:hint="eastAsia" w:ascii="仿宋_GB2312" w:eastAsia="仿宋_GB2312"/>
          <w:color w:val="auto"/>
          <w:sz w:val="32"/>
          <w:szCs w:val="32"/>
          <w:highlight w:val="none"/>
        </w:rPr>
        <w:t>人。</w:t>
      </w:r>
    </w:p>
    <w:p w14:paraId="607392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单位无下属预算单位，下设5个处室，分别是：预算工作委员会，代表工作委员会、教科文卫工作委员会、法制工作委员会、机关办公室。</w:t>
      </w:r>
    </w:p>
    <w:p w14:paraId="0F9251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default" w:ascii="仿宋_GB2312" w:eastAsia="仿宋_GB2312"/>
          <w:color w:val="auto"/>
          <w:sz w:val="32"/>
          <w:szCs w:val="32"/>
          <w:highlight w:val="none"/>
          <w:lang w:val="en-US" w:eastAsia="zh-CN"/>
        </w:rPr>
        <w:br w:type="page"/>
      </w:r>
    </w:p>
    <w:p w14:paraId="36CF9E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2293BA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673905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500.98万元，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500.98万元，使用非财政拨款结余0.00万元，年初结转和结余0.00万元。</w:t>
      </w:r>
    </w:p>
    <w:p w14:paraId="18DBF3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500.98万元，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500.98万元，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35B412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增加21.66万元</w:t>
      </w:r>
      <w:r>
        <w:rPr>
          <w:rFonts w:hint="eastAsia" w:ascii="仿宋_GB2312" w:eastAsia="仿宋_GB2312"/>
          <w:color w:val="auto"/>
          <w:spacing w:val="0"/>
          <w:sz w:val="32"/>
          <w:szCs w:val="32"/>
          <w:highlight w:val="none"/>
          <w:lang w:eastAsia="zh-CN"/>
        </w:rPr>
        <w:t>，增长4.52%，主要原因是：</w:t>
      </w:r>
      <w:r>
        <w:rPr>
          <w:rFonts w:hint="eastAsia" w:ascii="仿宋_GB2312" w:eastAsia="仿宋_GB2312"/>
          <w:color w:val="auto"/>
          <w:spacing w:val="0"/>
          <w:sz w:val="32"/>
          <w:szCs w:val="32"/>
          <w:highlight w:val="none"/>
          <w:lang w:val="en-US" w:eastAsia="zh-CN"/>
        </w:rPr>
        <w:t>工资调整、社保基数增加、补发绩效。</w:t>
      </w:r>
    </w:p>
    <w:p w14:paraId="0C23A6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B641A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500.98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498.65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99.53%</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2.33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0.47%</w:t>
      </w:r>
      <w:r>
        <w:rPr>
          <w:rFonts w:hint="eastAsia" w:ascii="仿宋_GB2312" w:eastAsia="仿宋_GB2312"/>
          <w:color w:val="auto"/>
          <w:sz w:val="32"/>
          <w:szCs w:val="32"/>
          <w:highlight w:val="none"/>
        </w:rPr>
        <w:t>。</w:t>
      </w:r>
    </w:p>
    <w:p w14:paraId="03FB42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02E48D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本年支出500.98万元，其中：基本支出439.75万元，占87.78%；项目支出61.22万元，占12.22%；上缴上级支出0.00万元，占0.00%；经营支出0.00万元，占0.00%；对附属单位补助支出0.00万元，占0.00%。</w:t>
      </w:r>
    </w:p>
    <w:p w14:paraId="42B614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5CC83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498.65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498.65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498.65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498.65</w:t>
      </w:r>
      <w:r>
        <w:rPr>
          <w:rFonts w:hint="eastAsia" w:ascii="仿宋_GB2312" w:eastAsia="仿宋_GB2312"/>
          <w:color w:val="auto"/>
          <w:spacing w:val="0"/>
          <w:sz w:val="32"/>
          <w:szCs w:val="32"/>
          <w:highlight w:val="none"/>
          <w:lang w:eastAsia="zh-CN"/>
        </w:rPr>
        <w:t>万元。</w:t>
      </w:r>
    </w:p>
    <w:p w14:paraId="4C8A71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增加19.33万元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464.88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498.65</w:t>
      </w:r>
      <w:r>
        <w:rPr>
          <w:rFonts w:hint="eastAsia" w:ascii="仿宋_GB2312" w:eastAsia="仿宋_GB2312"/>
          <w:color w:val="auto"/>
          <w:spacing w:val="0"/>
          <w:sz w:val="32"/>
          <w:szCs w:val="32"/>
          <w:highlight w:val="none"/>
          <w:lang w:eastAsia="zh-CN"/>
        </w:rPr>
        <w:t>万元，预决算差异率7.26%，主要原因是：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14:paraId="3CD6CC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08F62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7DEF73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2023年度一般公共预算财政拨款支出498.65万元，占本年支出合计的</w:t>
      </w:r>
      <w:r>
        <w:rPr>
          <w:rFonts w:hint="eastAsia" w:ascii="仿宋_GB2312" w:eastAsia="仿宋_GB2312"/>
          <w:color w:val="auto"/>
          <w:spacing w:val="0"/>
          <w:sz w:val="32"/>
          <w:szCs w:val="32"/>
          <w:highlight w:val="none"/>
          <w:lang w:val="zh-CN" w:eastAsia="zh-CN"/>
        </w:rPr>
        <w:t>99.53%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增加19.33万元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464.88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498.65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7.26%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14:paraId="215371D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680747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359.73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72.14%</w:t>
      </w:r>
      <w:r>
        <w:rPr>
          <w:rFonts w:hint="default" w:ascii="仿宋_GB2312" w:hAnsi="Times New Roman" w:eastAsia="仿宋_GB2312" w:cs="Times New Roman"/>
          <w:color w:val="auto"/>
          <w:spacing w:val="0"/>
          <w:kern w:val="2"/>
          <w:sz w:val="32"/>
          <w:szCs w:val="32"/>
          <w:highlight w:val="none"/>
          <w:lang w:val="zh-CN" w:eastAsia="zh-CN" w:bidi="ar-SA"/>
        </w:rPr>
        <w:t>；</w:t>
      </w:r>
    </w:p>
    <w:p w14:paraId="3FEBB2C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87.66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17.58%</w:t>
      </w:r>
      <w:r>
        <w:rPr>
          <w:rFonts w:hint="default" w:ascii="仿宋_GB2312" w:hAnsi="Times New Roman" w:eastAsia="仿宋_GB2312" w:cs="Times New Roman"/>
          <w:color w:val="auto"/>
          <w:spacing w:val="0"/>
          <w:kern w:val="2"/>
          <w:sz w:val="32"/>
          <w:szCs w:val="32"/>
          <w:highlight w:val="none"/>
          <w:lang w:val="zh-CN" w:eastAsia="zh-CN" w:bidi="ar-SA"/>
        </w:rPr>
        <w:t>；</w:t>
      </w:r>
    </w:p>
    <w:p w14:paraId="611B569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22.07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4.43%</w:t>
      </w:r>
      <w:r>
        <w:rPr>
          <w:rFonts w:hint="default" w:ascii="仿宋_GB2312" w:hAnsi="Times New Roman" w:eastAsia="仿宋_GB2312" w:cs="Times New Roman"/>
          <w:color w:val="auto"/>
          <w:spacing w:val="0"/>
          <w:kern w:val="2"/>
          <w:sz w:val="32"/>
          <w:szCs w:val="32"/>
          <w:highlight w:val="none"/>
          <w:lang w:val="zh-CN" w:eastAsia="zh-CN" w:bidi="ar-SA"/>
        </w:rPr>
        <w:t>；</w:t>
      </w:r>
    </w:p>
    <w:p w14:paraId="2A62E2D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24.19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4.85%</w:t>
      </w:r>
      <w:r>
        <w:rPr>
          <w:rFonts w:hint="default" w:ascii="仿宋_GB2312" w:hAnsi="Times New Roman" w:eastAsia="仿宋_GB2312" w:cs="Times New Roman"/>
          <w:color w:val="auto"/>
          <w:spacing w:val="0"/>
          <w:kern w:val="2"/>
          <w:sz w:val="32"/>
          <w:szCs w:val="32"/>
          <w:highlight w:val="none"/>
          <w:lang w:val="zh-CN" w:eastAsia="zh-CN" w:bidi="ar-SA"/>
        </w:rPr>
        <w:t>；</w:t>
      </w:r>
    </w:p>
    <w:p w14:paraId="23DFADE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5.00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w:t>
      </w:r>
      <w:r>
        <w:rPr>
          <w:rFonts w:hint="default" w:ascii="仿宋_GB2312" w:hAnsi="Times New Roman" w:eastAsia="仿宋_GB2312" w:cs="Times New Roman"/>
          <w:color w:val="auto"/>
          <w:spacing w:val="0"/>
          <w:kern w:val="2"/>
          <w:sz w:val="32"/>
          <w:szCs w:val="32"/>
          <w:highlight w:val="none"/>
          <w:lang w:val="zh-CN" w:eastAsia="zh-CN" w:bidi="ar-SA"/>
        </w:rPr>
        <w:t>；</w:t>
      </w:r>
    </w:p>
    <w:p w14:paraId="0D43E5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9BBE9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1.卫生健康支出（类）行政事业单位医疗（款）行政单位医疗（项）:支出决算数为14.64万元，比上年决算减少21.02万元，下降58.95%，主要原因是：医保政策变化，部分退休人员医保退休后，不再需要缴纳基本医疗</w:t>
      </w:r>
      <w:r>
        <w:rPr>
          <w:rFonts w:hint="eastAsia" w:ascii="仿宋_GB2312" w:hAnsi="仿宋_GB2312" w:eastAsia="仿宋_GB2312" w:cs="仿宋_GB2312"/>
          <w:color w:val="auto"/>
          <w:kern w:val="2"/>
          <w:sz w:val="32"/>
          <w:szCs w:val="32"/>
          <w:highlight w:val="none"/>
          <w:lang w:val="zh-CN" w:eastAsia="zh-CN" w:bidi="ar-SA"/>
        </w:rPr>
        <w:t>。</w:t>
      </w:r>
    </w:p>
    <w:p w14:paraId="2D4BD3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2.卫生健康支出（类）行政事业单位医疗（款）事业单位医疗（项）:支出决算数为0.89万元，比上年决算增加0.35万元，增长64.81%，主要原因是：单位本年调入人员1人，事业医疗缴费增加</w:t>
      </w:r>
      <w:r>
        <w:rPr>
          <w:rFonts w:hint="eastAsia" w:ascii="仿宋_GB2312" w:hAnsi="仿宋_GB2312" w:eastAsia="仿宋_GB2312" w:cs="仿宋_GB2312"/>
          <w:color w:val="auto"/>
          <w:kern w:val="2"/>
          <w:sz w:val="32"/>
          <w:szCs w:val="32"/>
          <w:highlight w:val="none"/>
          <w:lang w:val="zh-CN" w:eastAsia="zh-CN" w:bidi="ar-SA"/>
        </w:rPr>
        <w:t>。</w:t>
      </w:r>
    </w:p>
    <w:p w14:paraId="5411F5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3.卫生健康支出（类）行政事业单位医疗（款）公务员医疗补助（项）:支出决算数为6.54万元，比上年决算减少9.88万元，下降60.17%，主要原因是：医保政策变化，部分退休人员退休后，不再需要缴纳公务员医疗</w:t>
      </w:r>
      <w:r>
        <w:rPr>
          <w:rFonts w:hint="eastAsia" w:ascii="仿宋_GB2312" w:hAnsi="仿宋_GB2312" w:eastAsia="仿宋_GB2312" w:cs="仿宋_GB2312"/>
          <w:color w:val="auto"/>
          <w:kern w:val="2"/>
          <w:sz w:val="32"/>
          <w:szCs w:val="32"/>
          <w:highlight w:val="none"/>
          <w:lang w:val="zh-CN" w:eastAsia="zh-CN" w:bidi="ar-SA"/>
        </w:rPr>
        <w:t>。</w:t>
      </w:r>
    </w:p>
    <w:p w14:paraId="67FF02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一般公共服务支出（类）人大事务（款）事业运行（项）:支出决算数为15.91万元，比上年决算增加15.91万元，增长100%，主要原因是：2022年决算事业运行合并在行政运行支出中，2023年事业运行和行政运行经费分开核算，单独列支。</w:t>
      </w:r>
    </w:p>
    <w:p w14:paraId="5292755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5.住房保障支出（类）住房改革支出（款）住房公积金（项）:支出决算数为24.19万元，比上年决算增加0.72万元，增长3.07%，主要原因是：</w:t>
      </w:r>
      <w:r>
        <w:rPr>
          <w:rFonts w:hint="eastAsia" w:ascii="仿宋_GB2312" w:eastAsia="仿宋_GB2312"/>
          <w:color w:val="auto"/>
          <w:spacing w:val="0"/>
          <w:sz w:val="32"/>
          <w:szCs w:val="32"/>
          <w:highlight w:val="none"/>
          <w:lang w:val="en-US" w:eastAsia="zh-CN"/>
        </w:rPr>
        <w:t>工资调整、公积金基数增加，缴费增加</w:t>
      </w:r>
      <w:r>
        <w:rPr>
          <w:rFonts w:hint="eastAsia" w:ascii="仿宋_GB2312" w:hAnsi="仿宋_GB2312" w:eastAsia="仿宋_GB2312" w:cs="仿宋_GB2312"/>
          <w:color w:val="auto"/>
          <w:kern w:val="2"/>
          <w:sz w:val="32"/>
          <w:szCs w:val="32"/>
          <w:highlight w:val="none"/>
          <w:lang w:val="zh-CN" w:eastAsia="zh-CN" w:bidi="ar-SA"/>
        </w:rPr>
        <w:t>。</w:t>
      </w:r>
    </w:p>
    <w:p w14:paraId="7DF15D7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6.社会保障和就业支出（类）行政事业单位养老支出（款）行政单位离退休（项）:支出决算数为29.00万元，比上年决算增加13.32万元，增长84.95%，主要原因是：本年发放退休人员绩效工资</w:t>
      </w:r>
      <w:r>
        <w:rPr>
          <w:rFonts w:hint="eastAsia" w:ascii="仿宋_GB2312" w:hAnsi="仿宋_GB2312" w:eastAsia="仿宋_GB2312" w:cs="仿宋_GB2312"/>
          <w:color w:val="auto"/>
          <w:kern w:val="2"/>
          <w:sz w:val="32"/>
          <w:szCs w:val="32"/>
          <w:highlight w:val="none"/>
          <w:lang w:val="zh-CN" w:eastAsia="zh-CN" w:bidi="ar-SA"/>
        </w:rPr>
        <w:t>。</w:t>
      </w:r>
    </w:p>
    <w:p w14:paraId="0B619A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7.社会保障和就业支出（类）行政事业单位养老支出（款）机关事业单位职业年金缴费支出（项）:支出决算数为27.61万元，比上年决算增加21.74万元，增长370.36%，主要原因是：本年4人在职转退休，缴纳职业年金</w:t>
      </w:r>
      <w:r>
        <w:rPr>
          <w:rFonts w:hint="eastAsia" w:ascii="仿宋_GB2312" w:hAnsi="仿宋_GB2312" w:eastAsia="仿宋_GB2312" w:cs="仿宋_GB2312"/>
          <w:color w:val="auto"/>
          <w:kern w:val="2"/>
          <w:sz w:val="32"/>
          <w:szCs w:val="32"/>
          <w:highlight w:val="none"/>
          <w:lang w:val="zh-CN" w:eastAsia="zh-CN" w:bidi="ar-SA"/>
        </w:rPr>
        <w:t>。</w:t>
      </w:r>
    </w:p>
    <w:p w14:paraId="4B9810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8.社会保障和就业支出（类）行政事业单位养老支出（款）机关事业单位基本养老保险缴费支出（项）:支出决算数为31.05万元，比上年决算增加4.51万元，增长16.99%，主要原因是：</w:t>
      </w:r>
      <w:r>
        <w:rPr>
          <w:rFonts w:hint="eastAsia" w:ascii="仿宋_GB2312" w:eastAsia="仿宋_GB2312"/>
          <w:color w:val="auto"/>
          <w:spacing w:val="0"/>
          <w:sz w:val="32"/>
          <w:szCs w:val="32"/>
          <w:highlight w:val="none"/>
          <w:lang w:val="en-US" w:eastAsia="zh-CN"/>
        </w:rPr>
        <w:t>工资调整、</w:t>
      </w:r>
      <w:r>
        <w:rPr>
          <w:rFonts w:hint="eastAsia" w:ascii="仿宋_GB2312" w:hAnsi="仿宋_GB2312" w:eastAsia="仿宋_GB2312" w:cs="仿宋_GB2312"/>
          <w:color w:val="auto"/>
          <w:kern w:val="2"/>
          <w:sz w:val="32"/>
          <w:szCs w:val="32"/>
          <w:highlight w:val="none"/>
          <w:lang w:val="en-US" w:eastAsia="zh-CN" w:bidi="ar-SA"/>
        </w:rPr>
        <w:t>养老保险</w:t>
      </w:r>
      <w:r>
        <w:rPr>
          <w:rFonts w:hint="eastAsia" w:ascii="仿宋_GB2312" w:eastAsia="仿宋_GB2312"/>
          <w:color w:val="auto"/>
          <w:spacing w:val="0"/>
          <w:sz w:val="32"/>
          <w:szCs w:val="32"/>
          <w:highlight w:val="none"/>
          <w:lang w:val="en-US" w:eastAsia="zh-CN"/>
        </w:rPr>
        <w:t>基数增加，缴费增加</w:t>
      </w:r>
      <w:r>
        <w:rPr>
          <w:rFonts w:hint="eastAsia" w:ascii="仿宋_GB2312" w:hAnsi="仿宋_GB2312" w:eastAsia="仿宋_GB2312" w:cs="仿宋_GB2312"/>
          <w:color w:val="auto"/>
          <w:kern w:val="2"/>
          <w:sz w:val="32"/>
          <w:szCs w:val="32"/>
          <w:highlight w:val="none"/>
          <w:lang w:val="zh-CN" w:eastAsia="zh-CN" w:bidi="ar-SA"/>
        </w:rPr>
        <w:t>。</w:t>
      </w:r>
    </w:p>
    <w:p w14:paraId="008AF20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9.一般公共服务支出（类）人大事务（款）人大会议（项）:支出决算数为18.04万元，比上年决算减少14.47万元，下降44.51%，主要原因是：上年安排会议费32.51万元，其中19.94万元用于以前年度会议费支出，本年会议费18.04万元，其中10万元用于以前年度会议费支出，所以本年人大会议决算数比上年减少。</w:t>
      </w:r>
    </w:p>
    <w:p w14:paraId="4339F8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人大事务（款）代表工作（项）:支出决算数为15.39万元，比上年决算增加15.39万元，增长100%，主要原因是：2022年决算无代表工作经费支出，2023年根据塔地财行[2023]10号文件，年中调整人大代表工作经费，单位从行政运行经费中调整出15.39万元经费，用于代表工作支出。</w:t>
      </w:r>
    </w:p>
    <w:p w14:paraId="1BF3EFA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11.一般公共服务支出（类）人大事务（款）行政运行（项）:支出决算数为287.60万元，比上年决算减少19.03万元，下降6.21%，主要原因是：单位2023从行政运行经费中调整出15.39万元到代表工作经费，本年公务用车运行费用下降，所以本年行政运行经费减少。</w:t>
      </w:r>
    </w:p>
    <w:p w14:paraId="67AF1EB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一般公共服务支出（类）人大事务（款）其他人大事务支出（项）:支出决算数为22.80万元，比上年决算增加11.80万元，增长107.27%，主要原因是：本年增加人大预算联网监督平台建设费用及“家室站”费用，所以支出增大</w:t>
      </w:r>
      <w:r>
        <w:rPr>
          <w:rFonts w:hint="eastAsia" w:ascii="仿宋_GB2312" w:hAnsi="仿宋_GB2312" w:eastAsia="仿宋_GB2312" w:cs="仿宋_GB2312"/>
          <w:color w:val="auto"/>
          <w:kern w:val="2"/>
          <w:sz w:val="32"/>
          <w:szCs w:val="32"/>
          <w:highlight w:val="none"/>
          <w:lang w:val="zh-CN" w:eastAsia="zh-CN" w:bidi="ar-SA"/>
        </w:rPr>
        <w:t>。</w:t>
      </w:r>
    </w:p>
    <w:p w14:paraId="7FA8FFE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13.其他支出（类）其他支出（款）其他支出（项）:支出决算数为5.00万元，比上年决算增加0.00万元，增长0.00%，主要原因是：与上年持平</w:t>
      </w:r>
      <w:r>
        <w:rPr>
          <w:rFonts w:hint="eastAsia" w:ascii="仿宋_GB2312" w:hAnsi="仿宋_GB2312" w:eastAsia="仿宋_GB2312" w:cs="仿宋_GB2312"/>
          <w:color w:val="auto"/>
          <w:kern w:val="2"/>
          <w:sz w:val="32"/>
          <w:szCs w:val="32"/>
          <w:highlight w:val="none"/>
          <w:lang w:val="zh-CN" w:eastAsia="zh-CN" w:bidi="ar-SA"/>
        </w:rPr>
        <w:t>。</w:t>
      </w:r>
    </w:p>
    <w:p w14:paraId="561471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01BC9B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437.43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394.59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生活补助、其他对个人和家庭的补助。</w:t>
      </w:r>
    </w:p>
    <w:p w14:paraId="1D4ACCE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42.84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办公费、电费、邮电费、差旅费、公务接待费、劳务费、工会经费、公务用车运行维护费、其他商品和服务支出。</w:t>
      </w:r>
    </w:p>
    <w:p w14:paraId="50125B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24C4D0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“三公”经费支出14.06万元，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减少13.94万元，</w:t>
      </w:r>
      <w:r>
        <w:rPr>
          <w:rFonts w:hint="eastAsia" w:ascii="仿宋_GB2312" w:eastAsia="仿宋_GB2312"/>
          <w:color w:val="auto"/>
          <w:spacing w:val="0"/>
          <w:sz w:val="32"/>
          <w:szCs w:val="32"/>
          <w:highlight w:val="none"/>
          <w:lang w:val="en-US" w:eastAsia="zh-CN"/>
        </w:rPr>
        <w:t>下降49.79%,</w:t>
      </w:r>
      <w:r>
        <w:rPr>
          <w:rFonts w:hint="eastAsia" w:ascii="仿宋_GB2312" w:eastAsia="仿宋_GB2312"/>
          <w:color w:val="auto"/>
          <w:sz w:val="32"/>
          <w:szCs w:val="32"/>
          <w:highlight w:val="none"/>
          <w:lang w:val="zh-CN" w:eastAsia="zh-CN"/>
        </w:rPr>
        <w:t>主要原因是：上年安排</w:t>
      </w:r>
      <w:r>
        <w:rPr>
          <w:rFonts w:hint="eastAsia" w:ascii="仿宋_GB2312" w:eastAsia="仿宋_GB2312"/>
          <w:color w:val="auto"/>
          <w:sz w:val="32"/>
          <w:szCs w:val="32"/>
          <w:highlight w:val="none"/>
          <w:lang w:val="en-US" w:eastAsia="zh-CN"/>
        </w:rPr>
        <w:t>28万元“三公”经费，其中12.36万元用于历欠公务用车维护费支出，当年无安排历欠公务用车维护费支出，所以“三公”经费支出比上年下降。</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我单位无因公出国（境）费支出</w:t>
      </w:r>
      <w:r>
        <w:rPr>
          <w:rFonts w:hint="eastAsia" w:ascii="仿宋_GB2312" w:eastAsia="仿宋_GB2312"/>
          <w:color w:val="auto"/>
          <w:sz w:val="32"/>
          <w:szCs w:val="32"/>
          <w:highlight w:val="none"/>
          <w:lang w:val="zh-CN" w:eastAsia="zh-CN"/>
        </w:rPr>
        <w:t>；公务用车购置及运行维护费支出13.90万元，占98.86%，比上年减少14.10万元，</w:t>
      </w:r>
      <w:r>
        <w:rPr>
          <w:rFonts w:hint="eastAsia" w:ascii="仿宋_GB2312" w:eastAsia="仿宋_GB2312"/>
          <w:color w:val="auto"/>
          <w:sz w:val="32"/>
          <w:szCs w:val="32"/>
          <w:highlight w:val="none"/>
          <w:lang w:val="en-US" w:eastAsia="zh-CN"/>
        </w:rPr>
        <w:t>下降50.36%,</w:t>
      </w:r>
      <w:r>
        <w:rPr>
          <w:rFonts w:hint="eastAsia" w:ascii="仿宋_GB2312" w:eastAsia="仿宋_GB2312"/>
          <w:color w:val="auto"/>
          <w:sz w:val="32"/>
          <w:szCs w:val="32"/>
          <w:highlight w:val="none"/>
          <w:lang w:val="zh-CN" w:eastAsia="zh-CN"/>
        </w:rPr>
        <w:t>主要原因是：上年安排</w:t>
      </w:r>
      <w:r>
        <w:rPr>
          <w:rFonts w:hint="eastAsia" w:ascii="仿宋_GB2312" w:eastAsia="仿宋_GB2312"/>
          <w:color w:val="auto"/>
          <w:sz w:val="32"/>
          <w:szCs w:val="32"/>
          <w:highlight w:val="none"/>
          <w:lang w:val="en-US" w:eastAsia="zh-CN"/>
        </w:rPr>
        <w:t>28万元公务运行维护费，其中12.36万元用于历欠公务运行维护费支出，当年无安排历欠公务用车维护费支出，所以</w:t>
      </w:r>
      <w:r>
        <w:rPr>
          <w:rFonts w:hint="eastAsia" w:ascii="仿宋_GB2312" w:eastAsia="仿宋_GB2312"/>
          <w:color w:val="auto"/>
          <w:sz w:val="32"/>
          <w:szCs w:val="32"/>
          <w:highlight w:val="none"/>
          <w:lang w:val="zh-CN" w:eastAsia="zh-CN"/>
        </w:rPr>
        <w:t>公务用车购置及运行维护费支出下降；公务接待费支出0.16万元，占1.14%，比上年增加0.16万元，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上年无安排接待，本年各级代表活动产生接待费</w:t>
      </w:r>
      <w:r>
        <w:rPr>
          <w:rFonts w:hint="eastAsia" w:ascii="仿宋_GB2312" w:eastAsia="仿宋_GB2312"/>
          <w:color w:val="auto"/>
          <w:sz w:val="32"/>
          <w:szCs w:val="32"/>
          <w:highlight w:val="none"/>
          <w:lang w:val="zh-CN" w:eastAsia="zh-CN"/>
        </w:rPr>
        <w:t>。</w:t>
      </w:r>
    </w:p>
    <w:p w14:paraId="1CAFCA8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1BB12D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14:paraId="3DCCB9D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13.90万元，其中：公务用车购置费0.00万元，公务用车运行维护费13.90万元。公务用车运行维护费开支内容包括车辆维修及加油费用。公务用车购置数0辆，公务用车保有量6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14:paraId="205EFDE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公务接待费0.16万元，开支内容包括</w:t>
      </w:r>
      <w:r>
        <w:rPr>
          <w:rFonts w:hint="eastAsia" w:ascii="仿宋_GB2312" w:eastAsia="仿宋_GB2312"/>
          <w:color w:val="auto"/>
          <w:sz w:val="32"/>
          <w:szCs w:val="32"/>
          <w:highlight w:val="none"/>
          <w:lang w:val="en-US" w:eastAsia="zh-CN"/>
        </w:rPr>
        <w:t>本年各级代表活动产生接待费</w:t>
      </w:r>
      <w:r>
        <w:rPr>
          <w:rFonts w:hint="eastAsia" w:ascii="仿宋_GB2312" w:eastAsia="仿宋_GB2312"/>
          <w:color w:val="auto"/>
          <w:sz w:val="32"/>
          <w:szCs w:val="32"/>
          <w:highlight w:val="none"/>
          <w:lang w:val="zh-CN" w:eastAsia="zh-CN"/>
        </w:rPr>
        <w:t>。单位全年安排的国内公务接待2批次，35人次。</w:t>
      </w:r>
    </w:p>
    <w:p w14:paraId="74100565">
      <w:pPr>
        <w:keepNext w:val="0"/>
        <w:keepLines w:val="0"/>
        <w:pageBreakBefore w:val="0"/>
        <w:widowControl w:val="0"/>
        <w:kinsoku/>
        <w:wordWrap/>
        <w:overflowPunct/>
        <w:topLinePunct w:val="0"/>
        <w:autoSpaceDE/>
        <w:autoSpaceDN/>
        <w:adjustRightInd/>
        <w:snapToGrid/>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预算数14.06万元，决算数14.06万元，预决算差异率0.00%，主要原因是：财政拨款“三公”经费支出预算数和决算数无变化，预决算无差异。其中：因公出国（境）费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0.00万元，决算数0.00万元，预决算差异率0.00%，主要原因是：财政拨款“三公”经费支出预算数和决算数无变化，预决算无差异；公务用车购置费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预算数13.90万元，决算数13.90万元，预决算差异率0.00%，主要原因是：公务用车运行费预算数和决算数无变化，预决算无差异；公务接待费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预算数0.16万元，决算数0.16万元，预决算差异率0.00%，主要原因是：我单位公务接待费预算数和决算数无变化，预决算无差异。</w:t>
      </w:r>
    </w:p>
    <w:p w14:paraId="1ADD51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C914F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4D090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B8B29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1C785D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4F455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48173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沙湾市人民代表大会常务委员会（行政单位和参照公务员法管理事业</w:t>
      </w:r>
      <w:bookmarkStart w:id="48" w:name="_GoBack"/>
      <w:bookmarkEnd w:id="48"/>
      <w:r>
        <w:rPr>
          <w:rFonts w:hint="eastAsia" w:ascii="仿宋_GB2312" w:hAnsi="仿宋_GB2312" w:eastAsia="仿宋_GB2312" w:cs="仿宋_GB2312"/>
          <w:color w:val="auto"/>
          <w:sz w:val="32"/>
          <w:szCs w:val="32"/>
          <w:highlight w:val="none"/>
          <w:lang w:val="en-US" w:eastAsia="zh-CN"/>
        </w:rPr>
        <w:t>单位）机关运行经费支出42.84万元，</w:t>
      </w:r>
      <w:r>
        <w:rPr>
          <w:rFonts w:hint="eastAsia" w:ascii="仿宋_GB2312" w:hAnsi="仿宋_GB2312" w:eastAsia="仿宋_GB2312" w:cs="仿宋_GB2312"/>
          <w:color w:val="auto"/>
          <w:sz w:val="32"/>
          <w:szCs w:val="32"/>
          <w:highlight w:val="none"/>
          <w:lang w:val="zh-CN" w:eastAsia="zh-CN"/>
        </w:rPr>
        <w:t>比上年减少15.84万元，下降26.99%，主要原因是：</w:t>
      </w:r>
      <w:r>
        <w:rPr>
          <w:rFonts w:hint="eastAsia" w:ascii="仿宋_GB2312" w:hAnsi="仿宋_GB2312" w:eastAsia="仿宋_GB2312" w:cs="仿宋_GB2312"/>
          <w:color w:val="auto"/>
          <w:sz w:val="32"/>
          <w:szCs w:val="32"/>
          <w:highlight w:val="none"/>
          <w:lang w:val="en-US" w:eastAsia="zh-CN"/>
        </w:rPr>
        <w:t>本年单位</w:t>
      </w:r>
      <w:r>
        <w:rPr>
          <w:rFonts w:hint="eastAsia" w:ascii="仿宋_GB2312" w:hAnsi="仿宋_GB2312" w:eastAsia="仿宋_GB2312" w:cs="仿宋_GB2312"/>
          <w:color w:val="auto"/>
          <w:kern w:val="2"/>
          <w:sz w:val="32"/>
          <w:szCs w:val="32"/>
          <w:highlight w:val="none"/>
          <w:lang w:val="en-US" w:eastAsia="zh-CN" w:bidi="ar-SA"/>
        </w:rPr>
        <w:t>将代表工作支出从公用经费调出，所以运行费用减少</w:t>
      </w:r>
      <w:r>
        <w:rPr>
          <w:rFonts w:hint="eastAsia" w:ascii="仿宋_GB2312" w:hAnsi="仿宋_GB2312" w:eastAsia="仿宋_GB2312" w:cs="仿宋_GB2312"/>
          <w:color w:val="auto"/>
          <w:sz w:val="32"/>
          <w:szCs w:val="32"/>
          <w:highlight w:val="none"/>
          <w:lang w:val="zh-CN" w:eastAsia="zh-CN"/>
        </w:rPr>
        <w:t>。</w:t>
      </w:r>
    </w:p>
    <w:p w14:paraId="24D9C989">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34C53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28.46万元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其中：政府采购货物支出18.95万元、政府采购工程支出0.00万元、政府采购服务支出9.51万元。</w:t>
      </w:r>
    </w:p>
    <w:p w14:paraId="0B60D9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授予中小企业合同金额28.46万元，占政府采购支出总额的100.00%，其中：授予小微企业合同金额28.46万元，占政府采购支出总额的100.00%</w:t>
      </w:r>
      <w:r>
        <w:rPr>
          <w:rFonts w:hint="eastAsia" w:ascii="仿宋_GB2312" w:hAnsi="仿宋_GB2312" w:eastAsia="仿宋_GB2312" w:cs="仿宋_GB2312"/>
          <w:color w:val="auto"/>
          <w:sz w:val="32"/>
          <w:szCs w:val="32"/>
          <w:highlight w:val="none"/>
          <w:lang w:val="en-US" w:eastAsia="zh-CN"/>
        </w:rPr>
        <w:t>。</w:t>
      </w:r>
    </w:p>
    <w:p w14:paraId="7F7C29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4247D6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250.68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屋105.00平方米，价值5.40万元。车辆6辆，价值176.77万元，其中：副部（省）级及以上领导用车0辆、主要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用车0辆、其他用车6辆，其他用车主要是：服务机关办公用车；单价100万元（含）以上设备（不含车辆）0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6EFB94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AD4DB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宋体"/>
          <w:bCs/>
          <w:color w:val="auto"/>
          <w:kern w:val="0"/>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预算总额698.65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实际执行总额498.65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61.22万元，全年执行数61.22万元。本单位sm项目1个，全年预算数5万元，全年执行数5万元，不予以公开。预算绩效管理取得的成效：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1F9DC4E5">
      <w:pPr>
        <w:keepNext w:val="0"/>
        <w:keepLines w:val="0"/>
        <w:pageBreakBefore w:val="0"/>
        <w:widowControl w:val="0"/>
        <w:kinsoku/>
        <w:wordWrap/>
        <w:overflowPunct/>
        <w:topLinePunct w:val="0"/>
        <w:bidi w:val="0"/>
        <w:adjustRightInd/>
        <w:snapToGrid/>
        <w:spacing w:line="240" w:lineRule="auto"/>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7C4510B">
      <w:pPr>
        <w:keepNext w:val="0"/>
        <w:keepLines w:val="0"/>
        <w:pageBreakBefore w:val="0"/>
        <w:widowControl w:val="0"/>
        <w:kinsoku/>
        <w:wordWrap/>
        <w:overflowPunct/>
        <w:topLinePunct w:val="0"/>
        <w:autoSpaceDE/>
        <w:autoSpaceDN/>
        <w:bidi w:val="0"/>
        <w:adjustRightInd/>
        <w:snapToGrid/>
        <w:spacing w:line="240" w:lineRule="auto"/>
        <w:ind w:firstLine="736" w:firstLineChars="230"/>
        <w:jc w:val="both"/>
        <w:textAlignment w:val="auto"/>
        <w:outlineLvl w:val="0"/>
        <w:rPr>
          <w:rFonts w:hint="eastAsia" w:ascii="仿宋_GB2312" w:eastAsia="仿宋_GB2312"/>
          <w:color w:val="auto"/>
          <w:sz w:val="32"/>
          <w:szCs w:val="32"/>
          <w:highlight w:val="none"/>
          <w:lang w:val="en-US" w:eastAsia="zh-CN"/>
        </w:rPr>
      </w:pPr>
      <w:bookmarkStart w:id="30" w:name="_Toc24143"/>
      <w:bookmarkStart w:id="31" w:name="_Toc3250"/>
      <w:r>
        <w:rPr>
          <w:rFonts w:hint="eastAsia" w:ascii="仿宋_GB2312" w:eastAsia="仿宋_GB2312"/>
          <w:color w:val="auto"/>
          <w:sz w:val="32"/>
          <w:szCs w:val="32"/>
          <w:highlight w:val="none"/>
          <w:lang w:val="en-US" w:eastAsia="zh-CN"/>
        </w:rPr>
        <w:t>本单位sm项目1个，全年预算数5万元，全年执行数5万元，不予以公开绩效自评表。</w:t>
      </w:r>
    </w:p>
    <w:p w14:paraId="36922B2F">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14:paraId="3C0CAC4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79419A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47069B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1E7797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63C895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C824CA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153CB7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B6641B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603709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15D14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6771B3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A70E10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824D2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5465F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B2F876F">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2A926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66653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0D67CB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3F4C85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079BC6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1DAFCB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0156E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CFC2E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74CECD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4FA7F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4265D1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CAE14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5970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29260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929260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61A57"/>
    <w:rsid w:val="07093795"/>
    <w:rsid w:val="07804730"/>
    <w:rsid w:val="079052BE"/>
    <w:rsid w:val="07C97F07"/>
    <w:rsid w:val="08145C21"/>
    <w:rsid w:val="08422688"/>
    <w:rsid w:val="085854ED"/>
    <w:rsid w:val="0879188F"/>
    <w:rsid w:val="08A0354D"/>
    <w:rsid w:val="08CD4C49"/>
    <w:rsid w:val="09114954"/>
    <w:rsid w:val="095A5B83"/>
    <w:rsid w:val="096466E3"/>
    <w:rsid w:val="0968304D"/>
    <w:rsid w:val="09AF3D17"/>
    <w:rsid w:val="0A48785F"/>
    <w:rsid w:val="0A7809B7"/>
    <w:rsid w:val="0A7B4867"/>
    <w:rsid w:val="0A840954"/>
    <w:rsid w:val="0A9928ED"/>
    <w:rsid w:val="0B61769D"/>
    <w:rsid w:val="0B8C3ECC"/>
    <w:rsid w:val="0B9C639D"/>
    <w:rsid w:val="0BB052B2"/>
    <w:rsid w:val="0BD33FFC"/>
    <w:rsid w:val="0BD3415E"/>
    <w:rsid w:val="0BE97AC1"/>
    <w:rsid w:val="0C1C4780"/>
    <w:rsid w:val="0C3613A3"/>
    <w:rsid w:val="0C5E519C"/>
    <w:rsid w:val="0C7227A7"/>
    <w:rsid w:val="0CA52EE8"/>
    <w:rsid w:val="0CBD6988"/>
    <w:rsid w:val="0CD208AC"/>
    <w:rsid w:val="0D172DAA"/>
    <w:rsid w:val="0D4903E8"/>
    <w:rsid w:val="0D7A4A46"/>
    <w:rsid w:val="0DC42AFB"/>
    <w:rsid w:val="0E640559"/>
    <w:rsid w:val="0E725D0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DF31CA"/>
    <w:rsid w:val="160D1149"/>
    <w:rsid w:val="163563C0"/>
    <w:rsid w:val="164315EF"/>
    <w:rsid w:val="16557DFE"/>
    <w:rsid w:val="167268FB"/>
    <w:rsid w:val="16770D0A"/>
    <w:rsid w:val="169A0039"/>
    <w:rsid w:val="16D50C50"/>
    <w:rsid w:val="16E120E1"/>
    <w:rsid w:val="17385A05"/>
    <w:rsid w:val="173B3901"/>
    <w:rsid w:val="176747F9"/>
    <w:rsid w:val="178D31D5"/>
    <w:rsid w:val="17954A6E"/>
    <w:rsid w:val="17BE2C86"/>
    <w:rsid w:val="180059E9"/>
    <w:rsid w:val="18034B32"/>
    <w:rsid w:val="184510FD"/>
    <w:rsid w:val="190648B0"/>
    <w:rsid w:val="19071D6C"/>
    <w:rsid w:val="19D26CD4"/>
    <w:rsid w:val="19E60D19"/>
    <w:rsid w:val="1A3E3450"/>
    <w:rsid w:val="1AD807E5"/>
    <w:rsid w:val="1B39345B"/>
    <w:rsid w:val="1B8A64F3"/>
    <w:rsid w:val="1BFB2A1F"/>
    <w:rsid w:val="1C015D4A"/>
    <w:rsid w:val="1C290ED5"/>
    <w:rsid w:val="1C317E4F"/>
    <w:rsid w:val="1C472464"/>
    <w:rsid w:val="1D22799A"/>
    <w:rsid w:val="1D5C1A72"/>
    <w:rsid w:val="1DAF458D"/>
    <w:rsid w:val="1E086ACE"/>
    <w:rsid w:val="1E62130A"/>
    <w:rsid w:val="1E97358B"/>
    <w:rsid w:val="1EAA4A5F"/>
    <w:rsid w:val="1EE869A7"/>
    <w:rsid w:val="1F3F37CF"/>
    <w:rsid w:val="1F753A7B"/>
    <w:rsid w:val="1FA15E62"/>
    <w:rsid w:val="1FED69B6"/>
    <w:rsid w:val="2064678E"/>
    <w:rsid w:val="20DC1AB9"/>
    <w:rsid w:val="20DD6197"/>
    <w:rsid w:val="212631E0"/>
    <w:rsid w:val="2138666F"/>
    <w:rsid w:val="21742080"/>
    <w:rsid w:val="21A53757"/>
    <w:rsid w:val="21F879E1"/>
    <w:rsid w:val="221236C6"/>
    <w:rsid w:val="22D7662C"/>
    <w:rsid w:val="23031DC0"/>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1520DA"/>
    <w:rsid w:val="2A2131BB"/>
    <w:rsid w:val="2AF5378F"/>
    <w:rsid w:val="2BB94DBF"/>
    <w:rsid w:val="2BF37410"/>
    <w:rsid w:val="2C6F314E"/>
    <w:rsid w:val="2CC206BE"/>
    <w:rsid w:val="2D1136DF"/>
    <w:rsid w:val="2D20606D"/>
    <w:rsid w:val="2D6729FE"/>
    <w:rsid w:val="2DB87198"/>
    <w:rsid w:val="2DB93C54"/>
    <w:rsid w:val="2E224C6D"/>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0D4684"/>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5710C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2E4A9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AA4FE9"/>
    <w:rsid w:val="4BDB3730"/>
    <w:rsid w:val="4C200F7A"/>
    <w:rsid w:val="4CEE3180"/>
    <w:rsid w:val="4D0F4AF6"/>
    <w:rsid w:val="4DF94F37"/>
    <w:rsid w:val="4E0A1DD5"/>
    <w:rsid w:val="4E3160E5"/>
    <w:rsid w:val="4E4D37AF"/>
    <w:rsid w:val="4E653F20"/>
    <w:rsid w:val="4E8C6496"/>
    <w:rsid w:val="4EFD18DE"/>
    <w:rsid w:val="4F144236"/>
    <w:rsid w:val="4F663C87"/>
    <w:rsid w:val="4F7E29A8"/>
    <w:rsid w:val="4F9E1FFC"/>
    <w:rsid w:val="50447CC2"/>
    <w:rsid w:val="50874A7C"/>
    <w:rsid w:val="50895EE7"/>
    <w:rsid w:val="50921B9D"/>
    <w:rsid w:val="50D16158"/>
    <w:rsid w:val="50DB5F45"/>
    <w:rsid w:val="50E009BF"/>
    <w:rsid w:val="51025EB1"/>
    <w:rsid w:val="51141503"/>
    <w:rsid w:val="511F17EA"/>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BF3A8E"/>
    <w:rsid w:val="58CD2491"/>
    <w:rsid w:val="591B41B2"/>
    <w:rsid w:val="59254A26"/>
    <w:rsid w:val="59326325"/>
    <w:rsid w:val="595C505B"/>
    <w:rsid w:val="595E55C3"/>
    <w:rsid w:val="596E7E20"/>
    <w:rsid w:val="59CE2883"/>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272B21"/>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147EAE"/>
    <w:rsid w:val="6A2C39D4"/>
    <w:rsid w:val="6B5000AD"/>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052C4B"/>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87153E"/>
    <w:rsid w:val="739B6D9E"/>
    <w:rsid w:val="73A35FF3"/>
    <w:rsid w:val="73BC1D76"/>
    <w:rsid w:val="73FB6630"/>
    <w:rsid w:val="748D790E"/>
    <w:rsid w:val="749820CC"/>
    <w:rsid w:val="74CE04EC"/>
    <w:rsid w:val="74E76DCD"/>
    <w:rsid w:val="75187FCC"/>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6246</Words>
  <Characters>7016</Characters>
  <Lines>0</Lines>
  <Paragraphs>0</Paragraphs>
  <TotalTime>4</TotalTime>
  <ScaleCrop>false</ScaleCrop>
  <LinksUpToDate>false</LinksUpToDate>
  <CharactersWithSpaces>7032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cp:lastPrinted>2024-09-18T05:44:00Z</cp:lastPrinted>
  <dcterms:modified xsi:type="dcterms:W3CDTF">2025-03-28T04:12:22Z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