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沙湾市关心下一代工作委员会办公室</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1、着力进行学习和宣传，在广大未成年人中贯彻社会主义核心价值观，营造感恩伟大祖国、永远跟党走的氛围和共识。</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2、继续深入开展“五好关工委”创建活动，协调指导全县关心下一代工作持续健康发展。</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3、以各级关工组织宣讲团为载体，在各族青少年中深入开展党史、法治、民族团结、心理健康、家庭教育等活动。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4、加强协调指导，构建学校、家庭、社会“三位一体”教育网络，增强关工工作的生机和活力。</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5、认真做好关心帮助青少年群体工作，为青少年办实事、做好事、解难事。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6、立足基层，加强调研，运用典型推动工作。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7、加强关工委自身建设，认真开展“四型班子”建设活动，提高关心下一代工作能力和水平。</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沙湾市关心下一代工作委员会办公室</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5</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5</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rPr>
        <w:t>单位无下属预算单位，下设</w:t>
      </w:r>
      <w:r>
        <w:rPr>
          <w:rFonts w:hint="eastAsia" w:ascii="仿宋_GB2312" w:eastAsia="仿宋_GB2312"/>
          <w:color w:val="auto"/>
          <w:sz w:val="32"/>
          <w:szCs w:val="32"/>
          <w:highlight w:val="none"/>
          <w:lang w:val="en-US" w:eastAsia="zh-CN"/>
        </w:rPr>
        <w:t>0</w:t>
      </w:r>
      <w:r>
        <w:rPr>
          <w:rFonts w:hint="eastAsia" w:ascii="仿宋_GB2312" w:hAnsi="黑体" w:eastAsia="仿宋_GB2312" w:cs="宋体"/>
          <w:bCs/>
          <w:color w:val="auto"/>
          <w:kern w:val="0"/>
          <w:sz w:val="32"/>
          <w:szCs w:val="32"/>
          <w:highlight w:val="none"/>
        </w:rPr>
        <w:t>个处室，分别是：</w:t>
      </w:r>
      <w:r>
        <w:rPr>
          <w:rFonts w:hint="eastAsia" w:ascii="仿宋_GB2312" w:hAnsi="宋体" w:eastAsia="仿宋_GB2312" w:cs="宋体"/>
          <w:color w:val="auto"/>
          <w:kern w:val="0"/>
          <w:sz w:val="32"/>
          <w:szCs w:val="32"/>
          <w:highlight w:val="none"/>
          <w:lang w:eastAsia="zh-CN"/>
        </w:rPr>
        <w:t>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80.78万元，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80.78万元，使用非财政拨款结余0.00万元，年初结转和结余0.00万元。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80.78万元，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80.78万元，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增加8.56万元</w:t>
      </w:r>
      <w:r>
        <w:rPr>
          <w:rFonts w:hint="eastAsia" w:ascii="仿宋_GB2312" w:eastAsia="仿宋_GB2312"/>
          <w:color w:val="auto"/>
          <w:spacing w:val="0"/>
          <w:sz w:val="32"/>
          <w:szCs w:val="32"/>
          <w:highlight w:val="none"/>
          <w:lang w:eastAsia="zh-CN"/>
        </w:rPr>
        <w:t>，增长11.85%，主要</w:t>
      </w:r>
      <w:r>
        <w:rPr>
          <w:rFonts w:hint="eastAsia" w:ascii="仿宋_GB2312" w:eastAsia="仿宋_GB2312"/>
          <w:color w:val="auto"/>
          <w:spacing w:val="0"/>
          <w:sz w:val="32"/>
          <w:szCs w:val="32"/>
          <w:highlight w:val="none"/>
          <w:lang w:val="en-US" w:eastAsia="zh-CN"/>
        </w:rPr>
        <w:t>原因是：</w:t>
      </w:r>
      <w:r>
        <w:rPr>
          <w:rFonts w:hint="eastAsia" w:ascii="仿宋_GB2312" w:eastAsia="仿宋_GB2312"/>
          <w:color w:val="auto"/>
          <w:spacing w:val="0"/>
          <w:sz w:val="32"/>
          <w:szCs w:val="32"/>
          <w:highlight w:val="none"/>
          <w:lang w:val="zh-CN" w:eastAsia="zh-CN"/>
        </w:rPr>
        <w:t>人员工资调增</w:t>
      </w:r>
      <w:r>
        <w:rPr>
          <w:rFonts w:hint="eastAsia" w:ascii="仿宋_GB2312" w:eastAsia="仿宋_GB2312"/>
          <w:color w:val="auto"/>
          <w:spacing w:val="0"/>
          <w:sz w:val="32"/>
          <w:szCs w:val="32"/>
          <w:highlight w:val="none"/>
          <w:lang w:eastAsia="zh-CN"/>
        </w:rPr>
        <w:t>以及增发</w:t>
      </w:r>
      <w:r>
        <w:rPr>
          <w:rFonts w:hint="eastAsia" w:ascii="仿宋_GB2312" w:eastAsia="仿宋_GB2312"/>
          <w:color w:val="auto"/>
          <w:spacing w:val="0"/>
          <w:sz w:val="32"/>
          <w:szCs w:val="32"/>
          <w:highlight w:val="none"/>
          <w:lang w:val="en-US" w:eastAsia="zh-CN"/>
        </w:rPr>
        <w:t>绩效奖，</w:t>
      </w:r>
      <w:r>
        <w:rPr>
          <w:rFonts w:hint="eastAsia" w:ascii="仿宋_GB2312" w:eastAsia="仿宋_GB2312"/>
          <w:color w:val="auto"/>
          <w:spacing w:val="0"/>
          <w:sz w:val="32"/>
          <w:szCs w:val="32"/>
          <w:highlight w:val="none"/>
          <w:lang w:eastAsia="zh-CN"/>
        </w:rPr>
        <w:t>增加了日常保障支出和工会经费支出</w:t>
      </w:r>
      <w:r>
        <w:rPr>
          <w:rFonts w:hint="eastAsia" w:ascii="仿宋_GB2312" w:eastAsia="仿宋_GB2312"/>
          <w:color w:val="auto"/>
          <w:spacing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80.78</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80.78</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本年支出80.78万元，其中：基本支出80.78万元，占100.00%；项目支出0.00万元，占0.00%；上缴上级支出0.00万元，占0.00%；经营支出0.00万元，占0.00%；对附属单位补助支出0.00万元，占0.00%。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80.78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80.78</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80.78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80.78</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增加8.56万元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增长11.85%,</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zh-CN" w:eastAsia="zh-CN"/>
        </w:rPr>
        <w:t>人员工资调增</w:t>
      </w:r>
      <w:r>
        <w:rPr>
          <w:rFonts w:hint="eastAsia" w:ascii="仿宋_GB2312" w:eastAsia="仿宋_GB2312"/>
          <w:color w:val="auto"/>
          <w:spacing w:val="0"/>
          <w:sz w:val="32"/>
          <w:szCs w:val="32"/>
          <w:highlight w:val="none"/>
          <w:lang w:eastAsia="zh-CN"/>
        </w:rPr>
        <w:t>以及增发</w:t>
      </w:r>
      <w:r>
        <w:rPr>
          <w:rFonts w:hint="eastAsia" w:ascii="仿宋_GB2312" w:eastAsia="仿宋_GB2312"/>
          <w:color w:val="auto"/>
          <w:spacing w:val="0"/>
          <w:sz w:val="32"/>
          <w:szCs w:val="32"/>
          <w:highlight w:val="none"/>
          <w:lang w:val="en-US" w:eastAsia="zh-CN"/>
        </w:rPr>
        <w:t>绩效奖，</w:t>
      </w:r>
      <w:r>
        <w:rPr>
          <w:rFonts w:hint="eastAsia" w:ascii="仿宋_GB2312" w:eastAsia="仿宋_GB2312"/>
          <w:color w:val="auto"/>
          <w:spacing w:val="0"/>
          <w:sz w:val="32"/>
          <w:szCs w:val="32"/>
          <w:highlight w:val="none"/>
          <w:lang w:eastAsia="zh-CN"/>
        </w:rPr>
        <w:t>增加了日常保障支出和工会经费支出。与年初预算相比，年初预算数</w:t>
      </w:r>
      <w:r>
        <w:rPr>
          <w:rFonts w:hint="eastAsia" w:ascii="仿宋_GB2312" w:eastAsia="仿宋_GB2312"/>
          <w:color w:val="auto"/>
          <w:spacing w:val="0"/>
          <w:sz w:val="32"/>
          <w:szCs w:val="32"/>
          <w:highlight w:val="none"/>
          <w:lang w:val="zh-CN" w:eastAsia="zh-CN"/>
        </w:rPr>
        <w:t>76.00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80.78</w:t>
      </w:r>
      <w:r>
        <w:rPr>
          <w:rFonts w:hint="eastAsia" w:ascii="仿宋_GB2312" w:eastAsia="仿宋_GB2312"/>
          <w:color w:val="auto"/>
          <w:spacing w:val="0"/>
          <w:sz w:val="32"/>
          <w:szCs w:val="32"/>
          <w:highlight w:val="none"/>
          <w:lang w:eastAsia="zh-CN"/>
        </w:rPr>
        <w:t>万元，预决算差异率6.29%，主要原因是：</w:t>
      </w:r>
      <w:r>
        <w:rPr>
          <w:rFonts w:hint="eastAsia" w:ascii="仿宋_GB2312" w:eastAsia="仿宋_GB2312"/>
          <w:color w:val="auto"/>
          <w:spacing w:val="0"/>
          <w:sz w:val="32"/>
          <w:szCs w:val="32"/>
          <w:highlight w:val="none"/>
          <w:lang w:val="en-US" w:eastAsia="zh-CN"/>
        </w:rPr>
        <w:t>2023年调增基础绩效奖、艰苦津贴调标、增发2022年年度考核奖、2018年下半年绩效奖及2020年一季度绩效奖等</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2023年度一般公共预算财政拨款支出80.78万元，占本年支出合计的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增加8.56万元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增长11.85%,</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zh-CN" w:eastAsia="zh-CN"/>
        </w:rPr>
        <w:t>人员工资调增</w:t>
      </w:r>
      <w:r>
        <w:rPr>
          <w:rFonts w:hint="eastAsia" w:ascii="仿宋_GB2312" w:eastAsia="仿宋_GB2312"/>
          <w:color w:val="auto"/>
          <w:spacing w:val="0"/>
          <w:sz w:val="32"/>
          <w:szCs w:val="32"/>
          <w:highlight w:val="none"/>
          <w:lang w:eastAsia="zh-CN"/>
        </w:rPr>
        <w:t>以及增发</w:t>
      </w:r>
      <w:r>
        <w:rPr>
          <w:rFonts w:hint="eastAsia" w:ascii="仿宋_GB2312" w:eastAsia="仿宋_GB2312"/>
          <w:color w:val="auto"/>
          <w:spacing w:val="0"/>
          <w:sz w:val="32"/>
          <w:szCs w:val="32"/>
          <w:highlight w:val="none"/>
          <w:lang w:val="en-US" w:eastAsia="zh-CN"/>
        </w:rPr>
        <w:t>绩效奖，</w:t>
      </w:r>
      <w:r>
        <w:rPr>
          <w:rFonts w:hint="eastAsia" w:ascii="仿宋_GB2312" w:eastAsia="仿宋_GB2312"/>
          <w:color w:val="auto"/>
          <w:spacing w:val="0"/>
          <w:sz w:val="32"/>
          <w:szCs w:val="32"/>
          <w:highlight w:val="none"/>
          <w:lang w:eastAsia="zh-CN"/>
        </w:rPr>
        <w:t>增加了日常保障支出和工会经费支出。与年初预算相比，年初预算数</w:t>
      </w:r>
      <w:r>
        <w:rPr>
          <w:rFonts w:hint="eastAsia" w:ascii="仿宋_GB2312" w:eastAsia="仿宋_GB2312"/>
          <w:color w:val="auto"/>
          <w:spacing w:val="0"/>
          <w:sz w:val="32"/>
          <w:szCs w:val="32"/>
          <w:highlight w:val="none"/>
          <w:lang w:val="zh-CN" w:eastAsia="zh-CN"/>
        </w:rPr>
        <w:t>76.00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80.78</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6.29%</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2023年调增基础绩效奖、艰苦津贴调标、增发2022年年度考核奖、2018年下半年绩效奖及2020年一季度绩效奖等</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仿宋_GB2312" w:eastAsia="仿宋_GB2312" w:cs="仿宋_GB2312"/>
          <w:color w:val="auto"/>
          <w:kern w:val="2"/>
          <w:sz w:val="32"/>
          <w:szCs w:val="32"/>
          <w:highlight w:val="none"/>
          <w:lang w:val="zh-CN" w:eastAsia="zh-CN" w:bidi="ar-SA"/>
        </w:rPr>
      </w:pPr>
      <w:r>
        <w:rPr>
          <w:rFonts w:hint="default" w:ascii="仿宋_GB2312" w:hAnsi="仿宋_GB2312" w:eastAsia="仿宋_GB2312" w:cs="仿宋_GB2312"/>
          <w:color w:val="auto"/>
          <w:kern w:val="2"/>
          <w:sz w:val="32"/>
          <w:szCs w:val="32"/>
          <w:highlight w:val="none"/>
          <w:lang w:val="zh-CN" w:eastAsia="zh-CN" w:bidi="ar-SA"/>
        </w:rPr>
        <w:t>1.一般公共服务支出（类）</w:t>
      </w:r>
      <w:r>
        <w:rPr>
          <w:rFonts w:hint="eastAsia" w:ascii="仿宋_GB2312" w:hAnsi="仿宋_GB2312" w:eastAsia="仿宋_GB2312" w:cs="仿宋_GB2312"/>
          <w:color w:val="auto"/>
          <w:kern w:val="2"/>
          <w:sz w:val="32"/>
          <w:szCs w:val="32"/>
          <w:highlight w:val="none"/>
          <w:lang w:val="zh-CN" w:eastAsia="zh-CN" w:bidi="ar-SA"/>
        </w:rPr>
        <w:t>62.59</w:t>
      </w:r>
      <w:r>
        <w:rPr>
          <w:rFonts w:hint="default" w:ascii="仿宋_GB2312" w:hAnsi="仿宋_GB2312" w:eastAsia="仿宋_GB2312" w:cs="仿宋_GB2312"/>
          <w:color w:val="auto"/>
          <w:kern w:val="2"/>
          <w:sz w:val="32"/>
          <w:szCs w:val="32"/>
          <w:highlight w:val="none"/>
          <w:lang w:val="zh-CN" w:eastAsia="zh-CN" w:bidi="ar-SA"/>
        </w:rPr>
        <w:t>万元，占</w:t>
      </w:r>
      <w:r>
        <w:rPr>
          <w:rFonts w:hint="eastAsia" w:ascii="仿宋_GB2312" w:hAnsi="仿宋_GB2312" w:eastAsia="仿宋_GB2312" w:cs="仿宋_GB2312"/>
          <w:color w:val="auto"/>
          <w:kern w:val="2"/>
          <w:sz w:val="32"/>
          <w:szCs w:val="32"/>
          <w:highlight w:val="none"/>
          <w:lang w:val="zh-CN" w:eastAsia="zh-CN" w:bidi="ar-SA"/>
        </w:rPr>
        <w:t>77.4</w:t>
      </w:r>
      <w:r>
        <w:rPr>
          <w:rFonts w:hint="eastAsia" w:ascii="仿宋_GB2312" w:hAnsi="仿宋_GB2312" w:eastAsia="仿宋_GB2312" w:cs="仿宋_GB2312"/>
          <w:color w:val="auto"/>
          <w:kern w:val="2"/>
          <w:sz w:val="32"/>
          <w:szCs w:val="32"/>
          <w:highlight w:val="none"/>
          <w:lang w:val="en-US" w:eastAsia="zh-CN" w:bidi="ar-SA"/>
        </w:rPr>
        <w:t>9</w:t>
      </w:r>
      <w:r>
        <w:rPr>
          <w:rFonts w:hint="eastAsia" w:ascii="仿宋_GB2312" w:hAnsi="仿宋_GB2312" w:eastAsia="仿宋_GB2312" w:cs="仿宋_GB2312"/>
          <w:color w:val="auto"/>
          <w:kern w:val="2"/>
          <w:sz w:val="32"/>
          <w:szCs w:val="32"/>
          <w:highlight w:val="none"/>
          <w:lang w:val="zh-CN" w:eastAsia="zh-CN" w:bidi="ar-SA"/>
        </w:rPr>
        <w:t>%</w:t>
      </w:r>
      <w:r>
        <w:rPr>
          <w:rFonts w:hint="default" w:ascii="仿宋_GB2312" w:hAnsi="仿宋_GB2312" w:eastAsia="仿宋_GB2312" w:cs="仿宋_GB2312"/>
          <w:color w:val="auto"/>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仿宋_GB2312" w:eastAsia="仿宋_GB2312" w:cs="仿宋_GB2312"/>
          <w:color w:val="auto"/>
          <w:kern w:val="2"/>
          <w:sz w:val="32"/>
          <w:szCs w:val="32"/>
          <w:highlight w:val="none"/>
          <w:lang w:val="en-US" w:eastAsia="zh-CN" w:bidi="ar-SA"/>
        </w:rPr>
      </w:pPr>
      <w:r>
        <w:rPr>
          <w:rFonts w:hint="default" w:ascii="仿宋_GB2312" w:hAnsi="仿宋_GB2312" w:eastAsia="仿宋_GB2312" w:cs="仿宋_GB2312"/>
          <w:color w:val="auto"/>
          <w:kern w:val="2"/>
          <w:sz w:val="32"/>
          <w:szCs w:val="32"/>
          <w:highlight w:val="none"/>
          <w:lang w:val="en-US" w:eastAsia="zh-CN" w:bidi="ar-SA"/>
        </w:rPr>
        <w:t>2.</w:t>
      </w:r>
      <w:r>
        <w:rPr>
          <w:rFonts w:hint="default" w:ascii="仿宋_GB2312" w:hAnsi="仿宋_GB2312" w:eastAsia="仿宋_GB2312" w:cs="仿宋_GB2312"/>
          <w:color w:val="auto"/>
          <w:kern w:val="2"/>
          <w:sz w:val="32"/>
          <w:szCs w:val="32"/>
          <w:highlight w:val="none"/>
          <w:lang w:val="zh-CN" w:eastAsia="zh-CN" w:bidi="ar-SA"/>
        </w:rPr>
        <w:t>社会保障和就业支出（类）</w:t>
      </w:r>
      <w:r>
        <w:rPr>
          <w:rFonts w:hint="eastAsia" w:ascii="仿宋_GB2312" w:hAnsi="仿宋_GB2312" w:eastAsia="仿宋_GB2312" w:cs="仿宋_GB2312"/>
          <w:color w:val="auto"/>
          <w:kern w:val="2"/>
          <w:sz w:val="32"/>
          <w:szCs w:val="32"/>
          <w:highlight w:val="none"/>
          <w:lang w:val="zh-CN" w:eastAsia="zh-CN" w:bidi="ar-SA"/>
        </w:rPr>
        <w:t>7.49</w:t>
      </w:r>
      <w:r>
        <w:rPr>
          <w:rFonts w:hint="default" w:ascii="仿宋_GB2312" w:hAnsi="仿宋_GB2312" w:eastAsia="仿宋_GB2312" w:cs="仿宋_GB2312"/>
          <w:color w:val="auto"/>
          <w:kern w:val="2"/>
          <w:sz w:val="32"/>
          <w:szCs w:val="32"/>
          <w:highlight w:val="none"/>
          <w:lang w:val="zh-CN" w:eastAsia="zh-CN" w:bidi="ar-SA"/>
        </w:rPr>
        <w:t>万元，占</w:t>
      </w:r>
      <w:r>
        <w:rPr>
          <w:rFonts w:hint="eastAsia" w:ascii="仿宋_GB2312" w:hAnsi="仿宋_GB2312" w:eastAsia="仿宋_GB2312" w:cs="仿宋_GB2312"/>
          <w:color w:val="auto"/>
          <w:kern w:val="2"/>
          <w:sz w:val="32"/>
          <w:szCs w:val="32"/>
          <w:highlight w:val="none"/>
          <w:lang w:val="zh-CN" w:eastAsia="zh-CN" w:bidi="ar-SA"/>
        </w:rPr>
        <w:t>9.2</w:t>
      </w:r>
      <w:r>
        <w:rPr>
          <w:rFonts w:hint="eastAsia" w:ascii="仿宋_GB2312" w:hAnsi="仿宋_GB2312" w:eastAsia="仿宋_GB2312" w:cs="仿宋_GB2312"/>
          <w:color w:val="auto"/>
          <w:kern w:val="2"/>
          <w:sz w:val="32"/>
          <w:szCs w:val="32"/>
          <w:highlight w:val="none"/>
          <w:lang w:val="en-US" w:eastAsia="zh-CN" w:bidi="ar-SA"/>
        </w:rPr>
        <w:t>8</w:t>
      </w:r>
      <w:r>
        <w:rPr>
          <w:rFonts w:hint="eastAsia" w:ascii="仿宋_GB2312" w:hAnsi="仿宋_GB2312" w:eastAsia="仿宋_GB2312" w:cs="仿宋_GB2312"/>
          <w:color w:val="auto"/>
          <w:kern w:val="2"/>
          <w:sz w:val="32"/>
          <w:szCs w:val="32"/>
          <w:highlight w:val="none"/>
          <w:lang w:val="zh-CN" w:eastAsia="zh-CN" w:bidi="ar-SA"/>
        </w:rPr>
        <w:t>%</w:t>
      </w:r>
      <w:r>
        <w:rPr>
          <w:rFonts w:hint="default" w:ascii="仿宋_GB2312" w:hAnsi="仿宋_GB2312" w:eastAsia="仿宋_GB2312" w:cs="仿宋_GB2312"/>
          <w:color w:val="auto"/>
          <w:kern w:val="2"/>
          <w:sz w:val="32"/>
          <w:szCs w:val="32"/>
          <w:highlight w:val="none"/>
          <w:lang w:val="en-US"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仿宋_GB2312" w:eastAsia="仿宋_GB2312" w:cs="仿宋_GB2312"/>
          <w:color w:val="auto"/>
          <w:kern w:val="2"/>
          <w:sz w:val="32"/>
          <w:szCs w:val="32"/>
          <w:highlight w:val="none"/>
          <w:lang w:val="zh-CN" w:eastAsia="zh-CN" w:bidi="ar-SA"/>
        </w:rPr>
      </w:pPr>
      <w:r>
        <w:rPr>
          <w:rFonts w:hint="default" w:ascii="仿宋_GB2312" w:hAnsi="仿宋_GB2312" w:eastAsia="仿宋_GB2312" w:cs="仿宋_GB2312"/>
          <w:color w:val="auto"/>
          <w:kern w:val="2"/>
          <w:sz w:val="32"/>
          <w:szCs w:val="32"/>
          <w:highlight w:val="none"/>
          <w:lang w:val="zh-CN" w:eastAsia="zh-CN" w:bidi="ar-SA"/>
        </w:rPr>
        <w:t>3.卫生健康支出（类）</w:t>
      </w:r>
      <w:r>
        <w:rPr>
          <w:rFonts w:hint="eastAsia" w:ascii="仿宋_GB2312" w:hAnsi="仿宋_GB2312" w:eastAsia="仿宋_GB2312" w:cs="仿宋_GB2312"/>
          <w:color w:val="auto"/>
          <w:kern w:val="2"/>
          <w:sz w:val="32"/>
          <w:szCs w:val="32"/>
          <w:highlight w:val="none"/>
          <w:lang w:val="zh-CN" w:eastAsia="zh-CN" w:bidi="ar-SA"/>
        </w:rPr>
        <w:t>4.80</w:t>
      </w:r>
      <w:r>
        <w:rPr>
          <w:rFonts w:hint="default" w:ascii="仿宋_GB2312" w:hAnsi="仿宋_GB2312" w:eastAsia="仿宋_GB2312" w:cs="仿宋_GB2312"/>
          <w:color w:val="auto"/>
          <w:kern w:val="2"/>
          <w:sz w:val="32"/>
          <w:szCs w:val="32"/>
          <w:highlight w:val="none"/>
          <w:lang w:val="zh-CN" w:eastAsia="zh-CN" w:bidi="ar-SA"/>
        </w:rPr>
        <w:t>万元，占</w:t>
      </w:r>
      <w:r>
        <w:rPr>
          <w:rFonts w:hint="eastAsia" w:ascii="仿宋_GB2312" w:hAnsi="仿宋_GB2312" w:eastAsia="仿宋_GB2312" w:cs="仿宋_GB2312"/>
          <w:color w:val="auto"/>
          <w:kern w:val="2"/>
          <w:sz w:val="32"/>
          <w:szCs w:val="32"/>
          <w:highlight w:val="none"/>
          <w:lang w:val="zh-CN" w:eastAsia="zh-CN" w:bidi="ar-SA"/>
        </w:rPr>
        <w:t>5.94%</w:t>
      </w:r>
      <w:r>
        <w:rPr>
          <w:rFonts w:hint="default" w:ascii="仿宋_GB2312" w:hAnsi="仿宋_GB2312" w:eastAsia="仿宋_GB2312" w:cs="仿宋_GB2312"/>
          <w:color w:val="auto"/>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FF0000"/>
          <w:spacing w:val="0"/>
          <w:kern w:val="2"/>
          <w:sz w:val="32"/>
          <w:szCs w:val="32"/>
          <w:highlight w:val="none"/>
          <w:lang w:val="zh-CN" w:eastAsia="zh-CN" w:bidi="ar-SA"/>
        </w:rPr>
      </w:pPr>
      <w:r>
        <w:rPr>
          <w:rFonts w:hint="default" w:ascii="仿宋_GB2312" w:hAnsi="仿宋_GB2312" w:eastAsia="仿宋_GB2312" w:cs="仿宋_GB2312"/>
          <w:color w:val="auto"/>
          <w:kern w:val="2"/>
          <w:sz w:val="32"/>
          <w:szCs w:val="32"/>
          <w:highlight w:val="none"/>
          <w:lang w:val="zh-CN" w:eastAsia="zh-CN" w:bidi="ar-SA"/>
        </w:rPr>
        <w:t>4.住房保障支出（类）</w:t>
      </w:r>
      <w:r>
        <w:rPr>
          <w:rFonts w:hint="eastAsia" w:ascii="仿宋_GB2312" w:hAnsi="仿宋_GB2312" w:eastAsia="仿宋_GB2312" w:cs="仿宋_GB2312"/>
          <w:color w:val="auto"/>
          <w:kern w:val="2"/>
          <w:sz w:val="32"/>
          <w:szCs w:val="32"/>
          <w:highlight w:val="none"/>
          <w:lang w:val="zh-CN" w:eastAsia="zh-CN" w:bidi="ar-SA"/>
        </w:rPr>
        <w:t>5.89</w:t>
      </w:r>
      <w:r>
        <w:rPr>
          <w:rFonts w:hint="default" w:ascii="仿宋_GB2312" w:hAnsi="仿宋_GB2312" w:eastAsia="仿宋_GB2312" w:cs="仿宋_GB2312"/>
          <w:color w:val="auto"/>
          <w:kern w:val="2"/>
          <w:sz w:val="32"/>
          <w:szCs w:val="32"/>
          <w:highlight w:val="none"/>
          <w:lang w:val="zh-CN" w:eastAsia="zh-CN" w:bidi="ar-SA"/>
        </w:rPr>
        <w:t>万元，占</w:t>
      </w:r>
      <w:r>
        <w:rPr>
          <w:rFonts w:hint="eastAsia" w:ascii="仿宋_GB2312" w:hAnsi="仿宋_GB2312" w:eastAsia="仿宋_GB2312" w:cs="仿宋_GB2312"/>
          <w:color w:val="auto"/>
          <w:kern w:val="2"/>
          <w:sz w:val="32"/>
          <w:szCs w:val="32"/>
          <w:highlight w:val="none"/>
          <w:lang w:val="zh-CN" w:eastAsia="zh-CN" w:bidi="ar-SA"/>
        </w:rPr>
        <w:t>7.29%</w:t>
      </w:r>
      <w:r>
        <w:rPr>
          <w:rFonts w:hint="default"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1.一般公共服务支出（类）群众团体事务（款）行政运行（项）:支出决算数为62.59万元，比上年决算增加6.69万元，增长11.97%，主要原因是：</w:t>
      </w:r>
      <w:r>
        <w:rPr>
          <w:rFonts w:hint="eastAsia" w:ascii="仿宋_GB2312" w:eastAsia="仿宋_GB2312"/>
          <w:color w:val="auto"/>
          <w:spacing w:val="0"/>
          <w:sz w:val="32"/>
          <w:szCs w:val="32"/>
          <w:highlight w:val="none"/>
          <w:lang w:val="zh-CN" w:eastAsia="zh-CN"/>
        </w:rPr>
        <w:t>人员工资调增</w:t>
      </w:r>
      <w:r>
        <w:rPr>
          <w:rFonts w:hint="eastAsia" w:ascii="仿宋_GB2312" w:eastAsia="仿宋_GB2312"/>
          <w:color w:val="auto"/>
          <w:spacing w:val="0"/>
          <w:sz w:val="32"/>
          <w:szCs w:val="32"/>
          <w:highlight w:val="none"/>
          <w:lang w:eastAsia="zh-CN"/>
        </w:rPr>
        <w:t>以及增发</w:t>
      </w:r>
      <w:r>
        <w:rPr>
          <w:rFonts w:hint="eastAsia" w:ascii="仿宋_GB2312" w:eastAsia="仿宋_GB2312"/>
          <w:color w:val="auto"/>
          <w:spacing w:val="0"/>
          <w:sz w:val="32"/>
          <w:szCs w:val="32"/>
          <w:highlight w:val="none"/>
          <w:lang w:val="en-US" w:eastAsia="zh-CN"/>
        </w:rPr>
        <w:t>绩效奖，</w:t>
      </w:r>
      <w:r>
        <w:rPr>
          <w:rFonts w:hint="eastAsia" w:ascii="仿宋_GB2312" w:eastAsia="仿宋_GB2312"/>
          <w:color w:val="auto"/>
          <w:spacing w:val="0"/>
          <w:sz w:val="32"/>
          <w:szCs w:val="32"/>
          <w:highlight w:val="none"/>
          <w:lang w:eastAsia="zh-CN"/>
        </w:rPr>
        <w:t>增加了日常保障支出和工会经费支出</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2.卫生健康支出（类）行政事业单位医疗（款）行政单位医疗（项）:支出决算数为3.20万元，比上年决算增加0.13万元，增长4.23%，主要原因是：</w:t>
      </w:r>
      <w:r>
        <w:rPr>
          <w:rFonts w:hint="eastAsia" w:ascii="仿宋_GB2312" w:hAnsi="仿宋_GB2312" w:eastAsia="仿宋_GB2312" w:cs="仿宋_GB2312"/>
          <w:color w:val="auto"/>
          <w:kern w:val="2"/>
          <w:sz w:val="32"/>
          <w:szCs w:val="32"/>
          <w:highlight w:val="none"/>
          <w:lang w:val="zh-CN" w:eastAsia="zh-CN" w:bidi="ar-SA"/>
        </w:rPr>
        <w:t>在职人员社保缴费基数调增，</w:t>
      </w:r>
      <w:r>
        <w:rPr>
          <w:rFonts w:hint="eastAsia" w:ascii="仿宋_GB2312" w:eastAsia="仿宋_GB2312"/>
          <w:color w:val="auto"/>
          <w:spacing w:val="0"/>
          <w:sz w:val="32"/>
          <w:szCs w:val="32"/>
          <w:highlight w:val="none"/>
          <w:lang w:eastAsia="zh-CN"/>
        </w:rPr>
        <w:t>增加了</w:t>
      </w:r>
      <w:r>
        <w:rPr>
          <w:rFonts w:hint="eastAsia" w:ascii="仿宋_GB2312" w:hAnsi="仿宋_GB2312" w:eastAsia="仿宋_GB2312" w:cs="仿宋_GB2312"/>
          <w:color w:val="auto"/>
          <w:kern w:val="2"/>
          <w:sz w:val="32"/>
          <w:szCs w:val="32"/>
          <w:highlight w:val="none"/>
          <w:lang w:val="en-US" w:eastAsia="zh-CN" w:bidi="ar-SA"/>
        </w:rPr>
        <w:t>行政单位医疗</w:t>
      </w:r>
      <w:r>
        <w:rPr>
          <w:rFonts w:hint="eastAsia" w:ascii="仿宋_GB2312" w:eastAsia="仿宋_GB2312"/>
          <w:color w:val="auto"/>
          <w:spacing w:val="0"/>
          <w:sz w:val="32"/>
          <w:szCs w:val="32"/>
          <w:highlight w:val="none"/>
          <w:lang w:eastAsia="zh-CN"/>
        </w:rPr>
        <w:t>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3.卫生健康支出（类）行政事业单位医疗（款）公务员医疗补助（项）:支出决算数为1.60万元，比上年决算增加0.11万元，增长7.38%，主要原因是：</w:t>
      </w:r>
      <w:r>
        <w:rPr>
          <w:rFonts w:hint="eastAsia" w:ascii="仿宋_GB2312" w:hAnsi="仿宋_GB2312" w:eastAsia="仿宋_GB2312" w:cs="仿宋_GB2312"/>
          <w:color w:val="auto"/>
          <w:kern w:val="2"/>
          <w:sz w:val="32"/>
          <w:szCs w:val="32"/>
          <w:highlight w:val="none"/>
          <w:lang w:val="zh-CN" w:eastAsia="zh-CN" w:bidi="ar-SA"/>
        </w:rPr>
        <w:t>在职人员社保缴费基数调增，</w:t>
      </w:r>
      <w:r>
        <w:rPr>
          <w:rFonts w:hint="eastAsia" w:ascii="仿宋_GB2312" w:eastAsia="仿宋_GB2312"/>
          <w:color w:val="auto"/>
          <w:spacing w:val="0"/>
          <w:sz w:val="32"/>
          <w:szCs w:val="32"/>
          <w:highlight w:val="none"/>
          <w:lang w:eastAsia="zh-CN"/>
        </w:rPr>
        <w:t>增加了</w:t>
      </w:r>
      <w:r>
        <w:rPr>
          <w:rFonts w:hint="eastAsia" w:ascii="仿宋_GB2312" w:hAnsi="仿宋_GB2312" w:eastAsia="仿宋_GB2312" w:cs="仿宋_GB2312"/>
          <w:color w:val="auto"/>
          <w:kern w:val="2"/>
          <w:sz w:val="32"/>
          <w:szCs w:val="32"/>
          <w:highlight w:val="none"/>
          <w:lang w:val="en-US" w:eastAsia="zh-CN" w:bidi="ar-SA"/>
        </w:rPr>
        <w:t>行公务员医疗补助</w:t>
      </w:r>
      <w:r>
        <w:rPr>
          <w:rFonts w:hint="eastAsia" w:ascii="仿宋_GB2312" w:eastAsia="仿宋_GB2312"/>
          <w:color w:val="auto"/>
          <w:spacing w:val="0"/>
          <w:sz w:val="32"/>
          <w:szCs w:val="32"/>
          <w:highlight w:val="none"/>
          <w:lang w:eastAsia="zh-CN"/>
        </w:rPr>
        <w:t>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4.住房保障支出（类）住房改革支出（款）住房公积金（项）:支出决算数为5.89万元，比上年决算增加0.33万元，增长5.94%，主要原因是：</w:t>
      </w:r>
      <w:r>
        <w:rPr>
          <w:rFonts w:hint="eastAsia" w:ascii="仿宋_GB2312" w:hAnsi="仿宋_GB2312" w:eastAsia="仿宋_GB2312" w:cs="仿宋_GB2312"/>
          <w:color w:val="auto"/>
          <w:kern w:val="2"/>
          <w:sz w:val="32"/>
          <w:szCs w:val="32"/>
          <w:highlight w:val="none"/>
          <w:lang w:val="zh-CN" w:eastAsia="zh-CN" w:bidi="ar-SA"/>
        </w:rPr>
        <w:t>在职人员住房公积金缴费基数调增。</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5.社会保障和就业支出（类）行政事业单位养老支出（款）机关事业单位基本养老保险缴费支出（项）:支出决算数为7.49万元，比上年决算增加1.29万元，增长20.81%，主要原因是：</w:t>
      </w:r>
      <w:r>
        <w:rPr>
          <w:rFonts w:hint="eastAsia" w:ascii="仿宋_GB2312" w:hAnsi="仿宋_GB2312" w:eastAsia="仿宋_GB2312" w:cs="仿宋_GB2312"/>
          <w:color w:val="auto"/>
          <w:kern w:val="2"/>
          <w:sz w:val="32"/>
          <w:szCs w:val="32"/>
          <w:highlight w:val="none"/>
          <w:lang w:val="zh-CN" w:eastAsia="zh-CN" w:bidi="ar-SA"/>
        </w:rPr>
        <w:t>在职人员社保缴费基数调增。</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80.78</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79.46</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基本工资、津贴补贴、奖金、机关事业单位基本养老保险缴费、职工基本医疗保险缴费、公务员医疗补助缴费、其他社会保障缴费、住房公积金。</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1.31</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办公费、工会经费。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主要原因是：压缩三公经费、节约资源。其中：因公出国（境）费支出0.00万元，占0.00%，比上年增加0.00万元，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主要原因是：没有安排因公出国（境）费支出；公务用车购置及运行维护费支出0.00万元，占0.00%，比上年增加0.00万元，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主要原因是：没有安排公务用车购置及运行维护费支出；公务接待费支出0.00万元，占0.00%，比上年增加0.00万元，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主要原因是：没有安排公务接待费支出。</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因公出国（境）费支出0.00万元，开支内容包括没有安排因公出国（境）费支出。单位全年安排的因公出国（境）团组0个，因公出国（境）0人次。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没有安排公务用车购置及运行维护费支出。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0辆，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原因是：无差异。</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公务接待费0.00万元，开支内容包括没有安排公务接待费支出。单位全年安排的国内公务接待0批次，0人次。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预算数0.00万元，决算数0.00万元，预决算差异率0.00%，主要原因是：压缩三公经费、节约资源。其中：因公出国（境）费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0.00万元，决算数0.00万元，预决算差异率0.00%，主要原因是：没有安排因公出国（境）费支出；公务用车购置费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预算数0.00万元，决算数0.00万元，预决算差异率0.00%，主要原因是：没有安排公务用车购置费支出；公务用车运行费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预算数0.00万元，决算数0.00万元，预决算差异率0.00%，主要原因是：没有安排公务用车运行费支出；公务接待费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预算数0.00万元，决算数0.00万元，预决算差异率0.00%，主要原因是：没有安排公务接待费支出。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w:t>
      </w:r>
      <w:r>
        <w:rPr>
          <w:rFonts w:hint="eastAsia" w:ascii="仿宋_GB2312" w:hAnsi="仿宋_GB2312" w:eastAsia="仿宋_GB2312" w:cs="仿宋_GB2312"/>
          <w:color w:val="auto"/>
          <w:sz w:val="32"/>
          <w:szCs w:val="32"/>
          <w:highlight w:val="none"/>
          <w:lang w:val="en-US" w:eastAsia="zh-CN"/>
        </w:rPr>
        <w:t>结余，政府性基金预算财政拨款收入支出决算表为空表。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zh-CN" w:eastAsia="zh-CN"/>
        </w:rPr>
      </w:pPr>
      <w:bookmarkStart w:id="24" w:name="_Toc227"/>
      <w:bookmarkStart w:id="25" w:name="_Toc26704"/>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沙湾市关心下一代工作委员会办公室（行政单位和参照公务员法管理事业单位）机关运行经费支出1.31万元，</w:t>
      </w:r>
      <w:r>
        <w:rPr>
          <w:rFonts w:hint="eastAsia" w:ascii="仿宋_GB2312" w:hAnsi="仿宋_GB2312" w:eastAsia="仿宋_GB2312" w:cs="仿宋_GB2312"/>
          <w:color w:val="auto"/>
          <w:sz w:val="32"/>
          <w:szCs w:val="32"/>
          <w:highlight w:val="none"/>
          <w:lang w:val="zh-CN" w:eastAsia="zh-CN"/>
        </w:rPr>
        <w:t>比上年增加0.72万元，增长122.03%，主要原因是：</w:t>
      </w:r>
      <w:r>
        <w:rPr>
          <w:rFonts w:hint="eastAsia" w:ascii="仿宋_GB2312" w:eastAsia="仿宋_GB2312"/>
          <w:color w:val="auto"/>
          <w:spacing w:val="0"/>
          <w:sz w:val="32"/>
          <w:szCs w:val="32"/>
          <w:highlight w:val="none"/>
          <w:lang w:eastAsia="zh-CN"/>
        </w:rPr>
        <w:t>增加了日常保障支出和工会经费支出</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0.00万元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其中：政府采购货物支出0.00万元、政府采购工程支出0.00万元、政府采购服务支出0.00万元。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授予中小企业合同金额0.00万元，占政府采购支出总额的0.00%，其中：授予小微企业合同金额0.00万元，占政府采购支出总额的0.00%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0"/>
          <w:highlight w:val="none"/>
          <w:lang w:val="zh-CN" w:eastAsia="zh-CN"/>
        </w:rPr>
      </w:pPr>
      <w:bookmarkStart w:id="26" w:name="_Toc4591"/>
      <w:bookmarkStart w:id="27" w:name="_Toc8391"/>
      <w:r>
        <w:rPr>
          <w:rFonts w:hint="eastAsia" w:ascii="仿宋_GB2312" w:hAnsi="仿宋_GB2312" w:eastAsia="仿宋_GB2312" w:cs="仿宋_GB2312"/>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2.78</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屋0.00平方米，价值0.00万元。车辆0辆，价值0.00万元，其中：副部（省）级及以上领导用车0辆、主要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用车0辆、其他用车0辆，其他用车主要是：无其他用车；单价100万元（含）以上设备（不含车辆）0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预算总额80.78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实际执行总额80.78</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。预算绩效管理取得的成效：一是</w:t>
      </w: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有效提高了本单位</w:t>
      </w:r>
      <w:r>
        <w:rPr>
          <w:rStyle w:val="10"/>
          <w:rFonts w:hint="eastAsia" w:ascii="仿宋_GB2312" w:hAnsi="仿宋_GB2312" w:eastAsia="仿宋_GB2312" w:cs="仿宋_GB2312"/>
          <w:b w:val="0"/>
          <w:color w:val="000000" w:themeColor="text1"/>
          <w:sz w:val="32"/>
          <w:szCs w:val="32"/>
          <w:lang w:eastAsia="zh-CN" w:bidi="ar"/>
          <w14:textFill>
            <w14:solidFill>
              <w14:schemeClr w14:val="tx1"/>
            </w14:solidFill>
          </w14:textFill>
        </w:rPr>
        <w:t>高效地履行</w:t>
      </w: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工作职能，较</w:t>
      </w:r>
      <w:r>
        <w:rPr>
          <w:rStyle w:val="10"/>
          <w:rFonts w:hint="eastAsia" w:ascii="仿宋_GB2312" w:hAnsi="仿宋_GB2312" w:eastAsia="仿宋_GB2312" w:cs="仿宋_GB2312"/>
          <w:b w:val="0"/>
          <w:color w:val="000000" w:themeColor="text1"/>
          <w:sz w:val="32"/>
          <w:szCs w:val="32"/>
          <w:lang w:eastAsia="zh-CN" w:bidi="ar"/>
          <w14:textFill>
            <w14:solidFill>
              <w14:schemeClr w14:val="tx1"/>
            </w14:solidFill>
          </w14:textFill>
        </w:rPr>
        <w:t>好地促进</w:t>
      </w:r>
      <w:r>
        <w:rPr>
          <w:rStyle w:val="10"/>
          <w:rFonts w:hint="eastAsia" w:ascii="仿宋_GB2312" w:hAnsi="仿宋_GB2312" w:eastAsia="仿宋_GB2312" w:cs="仿宋_GB2312"/>
          <w:b w:val="0"/>
          <w:color w:val="000000" w:themeColor="text1"/>
          <w:sz w:val="32"/>
          <w:szCs w:val="32"/>
          <w:lang w:bidi="ar"/>
          <w14:textFill>
            <w14:solidFill>
              <w14:schemeClr w14:val="tx1"/>
            </w14:solidFill>
          </w14:textFill>
        </w:rPr>
        <w:t>了相关事业的发展</w:t>
      </w:r>
      <w:r>
        <w:rPr>
          <w:rFonts w:hint="eastAsia" w:ascii="仿宋_GB2312" w:eastAsia="仿宋_GB2312"/>
          <w:color w:val="auto"/>
          <w:sz w:val="32"/>
          <w:szCs w:val="32"/>
          <w:highlight w:val="none"/>
          <w:lang w:eastAsia="zh-CN"/>
        </w:rPr>
        <w:t>；二是</w:t>
      </w:r>
      <w:r>
        <w:rPr>
          <w:rStyle w:val="10"/>
          <w:rFonts w:hint="eastAsia" w:ascii="仿宋_GB2312" w:hAnsi="仿宋_GB2312" w:eastAsia="仿宋_GB2312" w:cs="仿宋_GB2312"/>
          <w:b w:val="0"/>
          <w:color w:val="333333"/>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r>
        <w:rPr>
          <w:rFonts w:hint="eastAsia" w:ascii="仿宋_GB2312" w:eastAsia="仿宋_GB2312"/>
          <w:color w:val="auto"/>
          <w:sz w:val="32"/>
          <w:szCs w:val="32"/>
          <w:highlight w:val="none"/>
          <w:lang w:eastAsia="zh-CN"/>
        </w:rPr>
        <w:t>。发现的问题及原因：一是</w:t>
      </w:r>
      <w:r>
        <w:rPr>
          <w:rFonts w:hint="eastAsia" w:ascii="仿宋_GB2312" w:hAnsi="Arial" w:eastAsia="仿宋_GB2312" w:cs="Times New Roman"/>
          <w:b w:val="0"/>
          <w:bCs/>
          <w:kern w:val="2"/>
          <w:sz w:val="32"/>
          <w:szCs w:val="32"/>
          <w:highlight w:val="none"/>
          <w:lang w:val="en-US" w:eastAsia="zh-CN" w:bidi="ar-SA"/>
        </w:rPr>
        <w:t>部分活动的覆盖面不够广等，工作发展不够平衡，工作缺乏连续性。预算绩效专业性强，不足之处需要完善</w:t>
      </w:r>
      <w:r>
        <w:rPr>
          <w:rFonts w:hint="eastAsia" w:ascii="仿宋_GB2312" w:eastAsia="仿宋_GB2312"/>
          <w:color w:val="auto"/>
          <w:sz w:val="32"/>
          <w:szCs w:val="32"/>
          <w:highlight w:val="none"/>
          <w:lang w:eastAsia="zh-CN"/>
        </w:rPr>
        <w:t>；二是</w:t>
      </w:r>
      <w:r>
        <w:rPr>
          <w:rFonts w:hint="eastAsia" w:ascii="仿宋_GB2312" w:eastAsia="仿宋_GB2312"/>
          <w:b w:val="0"/>
          <w:bCs/>
          <w:sz w:val="32"/>
          <w:szCs w:val="32"/>
          <w:highlight w:val="none"/>
          <w:lang w:val="en-US" w:eastAsia="zh-CN"/>
        </w:rPr>
        <w:t>经费预算编制精准度有待提高。由于预算执行中的不确定性，实际经费核算的科目、支出内容与预算会出现一定偏差</w:t>
      </w:r>
      <w:r>
        <w:rPr>
          <w:rFonts w:hint="eastAsia" w:ascii="仿宋_GB2312" w:eastAsia="仿宋_GB2312"/>
          <w:color w:val="auto"/>
          <w:sz w:val="32"/>
          <w:szCs w:val="32"/>
          <w:highlight w:val="none"/>
          <w:lang w:eastAsia="zh-CN"/>
        </w:rPr>
        <w:t>；三是</w:t>
      </w:r>
      <w:r>
        <w:rPr>
          <w:rFonts w:hint="eastAsia" w:ascii="仿宋_GB2312" w:eastAsia="仿宋_GB2312"/>
          <w:b w:val="0"/>
          <w:bCs/>
          <w:sz w:val="32"/>
          <w:szCs w:val="32"/>
          <w:highlight w:val="none"/>
          <w:lang w:val="en-US" w:eastAsia="zh-CN"/>
        </w:rPr>
        <w:t>财务人员业务素质有待进一步提高。由于缺乏系统学习，财务人员对预算绩效管理认识不到位、理解不充分，对预算绩效管理业务不了解、不熟悉，对工作重点把握不到位，由此造成绩效评价工作还未摆脱财务考评或工验收的影响</w:t>
      </w:r>
      <w:r>
        <w:rPr>
          <w:rFonts w:hint="eastAsia" w:ascii="仿宋_GB2312" w:eastAsia="仿宋_GB2312"/>
          <w:color w:val="auto"/>
          <w:sz w:val="32"/>
          <w:szCs w:val="32"/>
          <w:highlight w:val="none"/>
          <w:lang w:eastAsia="zh-CN"/>
        </w:rPr>
        <w:t>。下一步改进措施：</w:t>
      </w:r>
      <w:r>
        <w:rPr>
          <w:rFonts w:hint="eastAsia" w:ascii="仿宋_GB2312" w:hAnsi="Times New Roman" w:eastAsia="仿宋_GB2312" w:cs="Times New Roman"/>
          <w:b w:val="0"/>
          <w:bCs/>
          <w:sz w:val="32"/>
          <w:szCs w:val="32"/>
          <w:highlight w:val="none"/>
          <w:lang w:val="en-US" w:eastAsia="zh-CN"/>
        </w:rPr>
        <w:t>一是提高资金的使用效益。本单位将以工作实际需求为依据，预算编制与工作实际相结合，按照规定的开支范围与开支标准，科学合理预测各项内容并按经济用途逐级细化分类，提高预算编制的科学性和准确性，优化支出结构，</w:t>
      </w:r>
      <w:bookmarkStart w:id="48" w:name="_GoBack"/>
      <w:bookmarkEnd w:id="48"/>
      <w:r>
        <w:rPr>
          <w:rFonts w:hint="eastAsia" w:ascii="仿宋_GB2312" w:hAnsi="Times New Roman" w:eastAsia="仿宋_GB2312" w:cs="Times New Roman"/>
          <w:b w:val="0"/>
          <w:bCs/>
          <w:sz w:val="32"/>
          <w:szCs w:val="32"/>
          <w:highlight w:val="none"/>
          <w:lang w:val="en-US" w:eastAsia="zh-CN"/>
        </w:rPr>
        <w:t>减少支出的随意性和盲目性，最大限度地将有限资源配置到效益最佳的部门并发挥最大效益；二是不断完善预算绩效管理相关工作制度，建立全过程预算绩效管理链条，有效贯彻落实全面实施绩效管理的精神。</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授予中小企业合同金额、授予小微企业合同金额为0万元，是因为本单位的办公支出都是小额、零散紧急支出，达不到订立合同层面。</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VlZWRmZWIzNDBhZGIzOWVjNDlmZGRkNDZiYjFiODcifQ=="/>
    <w:docVar w:name="KSO_WPS_MARK_KEY" w:val="41ee2a61-2d54-4f93-83be-afdb9a40d732"/>
  </w:docVars>
  <w:rsids>
    <w:rsidRoot w:val="00000000"/>
    <w:rsid w:val="00213C59"/>
    <w:rsid w:val="003210CE"/>
    <w:rsid w:val="00B70D59"/>
    <w:rsid w:val="00F52A8D"/>
    <w:rsid w:val="019404F8"/>
    <w:rsid w:val="01C30B6B"/>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792773"/>
    <w:rsid w:val="06FD75CA"/>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ACD600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3F37CF"/>
    <w:rsid w:val="1FA15E62"/>
    <w:rsid w:val="1FED69B6"/>
    <w:rsid w:val="2064678E"/>
    <w:rsid w:val="20DC1AB9"/>
    <w:rsid w:val="20DD6197"/>
    <w:rsid w:val="212631E0"/>
    <w:rsid w:val="2138666F"/>
    <w:rsid w:val="21742080"/>
    <w:rsid w:val="21A53757"/>
    <w:rsid w:val="21F879E1"/>
    <w:rsid w:val="221236C6"/>
    <w:rsid w:val="22D7662C"/>
    <w:rsid w:val="23326B7F"/>
    <w:rsid w:val="2380045B"/>
    <w:rsid w:val="23BC04D2"/>
    <w:rsid w:val="23EF1892"/>
    <w:rsid w:val="2483647E"/>
    <w:rsid w:val="24A32D55"/>
    <w:rsid w:val="24CE6D9A"/>
    <w:rsid w:val="25292727"/>
    <w:rsid w:val="252E5CA9"/>
    <w:rsid w:val="256F7692"/>
    <w:rsid w:val="25BA2154"/>
    <w:rsid w:val="25C8773F"/>
    <w:rsid w:val="26235823"/>
    <w:rsid w:val="264A7253"/>
    <w:rsid w:val="26F0170C"/>
    <w:rsid w:val="26FE3B9A"/>
    <w:rsid w:val="27201D62"/>
    <w:rsid w:val="27286E73"/>
    <w:rsid w:val="27C42117"/>
    <w:rsid w:val="27CF2642"/>
    <w:rsid w:val="27E777F5"/>
    <w:rsid w:val="27EA1D4C"/>
    <w:rsid w:val="27EA2E41"/>
    <w:rsid w:val="282459E2"/>
    <w:rsid w:val="283A7FE5"/>
    <w:rsid w:val="285F51FF"/>
    <w:rsid w:val="28DA4193"/>
    <w:rsid w:val="28DF2665"/>
    <w:rsid w:val="29072599"/>
    <w:rsid w:val="291029F3"/>
    <w:rsid w:val="29CB58F0"/>
    <w:rsid w:val="29EB049F"/>
    <w:rsid w:val="2A053397"/>
    <w:rsid w:val="2A145E96"/>
    <w:rsid w:val="2A2131BB"/>
    <w:rsid w:val="2AF5378F"/>
    <w:rsid w:val="2BB94DBF"/>
    <w:rsid w:val="2BF37410"/>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862F5F"/>
    <w:rsid w:val="30A4775A"/>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6965B9D"/>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D1763A"/>
    <w:rsid w:val="3B196883"/>
    <w:rsid w:val="3B6716E3"/>
    <w:rsid w:val="3B6C6B2D"/>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4E6957"/>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F647F7"/>
    <w:rsid w:val="52F92565"/>
    <w:rsid w:val="53AE735E"/>
    <w:rsid w:val="53D03877"/>
    <w:rsid w:val="542F73CA"/>
    <w:rsid w:val="5430786D"/>
    <w:rsid w:val="545A1D2A"/>
    <w:rsid w:val="54C811C0"/>
    <w:rsid w:val="556A442D"/>
    <w:rsid w:val="55DA564E"/>
    <w:rsid w:val="55E816A3"/>
    <w:rsid w:val="5604127D"/>
    <w:rsid w:val="56044E6C"/>
    <w:rsid w:val="56166703"/>
    <w:rsid w:val="56510474"/>
    <w:rsid w:val="56861525"/>
    <w:rsid w:val="56A93273"/>
    <w:rsid w:val="56BD550C"/>
    <w:rsid w:val="56E07045"/>
    <w:rsid w:val="56FF28AF"/>
    <w:rsid w:val="574014E1"/>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BB0CE2"/>
    <w:rsid w:val="5CC17177"/>
    <w:rsid w:val="5CF306BC"/>
    <w:rsid w:val="5D3F3D64"/>
    <w:rsid w:val="5D833043"/>
    <w:rsid w:val="5DD92690"/>
    <w:rsid w:val="5DDB1CFD"/>
    <w:rsid w:val="5E7E6D93"/>
    <w:rsid w:val="5E82459B"/>
    <w:rsid w:val="5ED44800"/>
    <w:rsid w:val="5F350BDE"/>
    <w:rsid w:val="5F61632C"/>
    <w:rsid w:val="5FA17648"/>
    <w:rsid w:val="5FE705CB"/>
    <w:rsid w:val="6007714E"/>
    <w:rsid w:val="603D5080"/>
    <w:rsid w:val="606842D0"/>
    <w:rsid w:val="60D0261B"/>
    <w:rsid w:val="618E3791"/>
    <w:rsid w:val="61947DCA"/>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BA6F5F"/>
    <w:rsid w:val="67C304AB"/>
    <w:rsid w:val="67E15774"/>
    <w:rsid w:val="683F0658"/>
    <w:rsid w:val="689C6793"/>
    <w:rsid w:val="68DB0208"/>
    <w:rsid w:val="68FB170C"/>
    <w:rsid w:val="691B3D98"/>
    <w:rsid w:val="693748F0"/>
    <w:rsid w:val="69846A0E"/>
    <w:rsid w:val="69AA1366"/>
    <w:rsid w:val="69AD798C"/>
    <w:rsid w:val="69D005C0"/>
    <w:rsid w:val="69D80B96"/>
    <w:rsid w:val="69F47AD7"/>
    <w:rsid w:val="6A2C39D4"/>
    <w:rsid w:val="6B5C719C"/>
    <w:rsid w:val="6B68175F"/>
    <w:rsid w:val="6BFD799F"/>
    <w:rsid w:val="6C4A2E5A"/>
    <w:rsid w:val="6C8138D0"/>
    <w:rsid w:val="6CEF0725"/>
    <w:rsid w:val="6D4B2604"/>
    <w:rsid w:val="6D77358F"/>
    <w:rsid w:val="6D8030E4"/>
    <w:rsid w:val="6E0E35C4"/>
    <w:rsid w:val="6E0F7A08"/>
    <w:rsid w:val="6E3947F5"/>
    <w:rsid w:val="6E6733A0"/>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FB6630"/>
    <w:rsid w:val="748D790E"/>
    <w:rsid w:val="749820CC"/>
    <w:rsid w:val="74CE04EC"/>
    <w:rsid w:val="74E76DCD"/>
    <w:rsid w:val="751D7C0A"/>
    <w:rsid w:val="752D5AEB"/>
    <w:rsid w:val="75722D56"/>
    <w:rsid w:val="75DB5477"/>
    <w:rsid w:val="75FC6AC3"/>
    <w:rsid w:val="7616619B"/>
    <w:rsid w:val="76660D7C"/>
    <w:rsid w:val="766C5968"/>
    <w:rsid w:val="76A10097"/>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822D8D"/>
    <w:rsid w:val="79D57D57"/>
    <w:rsid w:val="79F00650"/>
    <w:rsid w:val="7A6242BF"/>
    <w:rsid w:val="7A794513"/>
    <w:rsid w:val="7A9B3811"/>
    <w:rsid w:val="7AB467DA"/>
    <w:rsid w:val="7AB9318D"/>
    <w:rsid w:val="7AE952D2"/>
    <w:rsid w:val="7B9F26AF"/>
    <w:rsid w:val="7BB607FE"/>
    <w:rsid w:val="7C7248A0"/>
    <w:rsid w:val="7C976D69"/>
    <w:rsid w:val="7CD752DA"/>
    <w:rsid w:val="7CDE40AB"/>
    <w:rsid w:val="7CF057E2"/>
    <w:rsid w:val="7D1548B5"/>
    <w:rsid w:val="7DF84014"/>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0">
    <w:name w:val="Strong"/>
    <w:basedOn w:val="9"/>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5404</Words>
  <Characters>5951</Characters>
  <Lines>0</Lines>
  <Paragraphs>0</Paragraphs>
  <TotalTime>2</TotalTime>
  <ScaleCrop>false</ScaleCrop>
  <LinksUpToDate>false</LinksUpToDate>
  <CharactersWithSpaces>5962</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pc4</cp:lastModifiedBy>
  <dcterms:modified xsi:type="dcterms:W3CDTF">2024-11-12T04:33:10Z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D624B15633CD43C8BF9435464A96BF70</vt:lpwstr>
  </property>
</Properties>
</file>