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0741B">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4A0A91D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5DC61E3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中共沙湾市委政法委员会</w:t>
      </w:r>
    </w:p>
    <w:p w14:paraId="41B2921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7F57518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09A5741B">
      <w:pPr>
        <w:keepNext w:val="0"/>
        <w:keepLines w:val="0"/>
        <w:pageBreakBefore w:val="0"/>
        <w:kinsoku/>
        <w:wordWrap/>
        <w:overflowPunct/>
        <w:topLinePunct w:val="0"/>
        <w:bidi w:val="0"/>
        <w:adjustRightInd/>
        <w:snapToGrid/>
        <w:spacing w:line="240" w:lineRule="auto"/>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027055B3">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6DEC6AAD">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1F5BF6A2">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631BEB96">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22465BEC">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4F7379C9">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5F734FB7">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6CABD393">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1174F4FD">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64E3319B">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262516F1">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26582EF4">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5005A00E">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76AA6179">
      <w:pPr>
        <w:keepNext w:val="0"/>
        <w:keepLines w:val="0"/>
        <w:pageBreakBefore w:val="0"/>
        <w:kinsoku/>
        <w:wordWrap/>
        <w:overflowPunct/>
        <w:topLinePunct w:val="0"/>
        <w:bidi w:val="0"/>
        <w:adjustRightInd/>
        <w:snapToGrid/>
        <w:spacing w:line="240" w:lineRule="auto"/>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3F6D62AC">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092F0CD3">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125CCC36">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56D291B8">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638A9E0A">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50554E62">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7169517B">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76EFD79C">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49922CF1">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4FB1D030">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2B08491F">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7A6CC1BA">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7096DB3C">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021AC68D">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2A92E465">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31AA5072">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39F8B815">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5EE05CCD">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0F7C0EAB">
      <w:pPr>
        <w:keepNext w:val="0"/>
        <w:keepLines w:val="0"/>
        <w:pageBreakBefore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43B94A2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23EB1B3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175BF76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14:textFill>
            <w14:noFill/>
          </w14:textFill>
        </w:rPr>
      </w:pPr>
      <w:r>
        <w:rPr>
          <w:rFonts w:hint="eastAsia" w:ascii="仿宋_GB2312" w:eastAsia="仿宋_GB2312"/>
          <w:color w:val="auto"/>
          <w:sz w:val="32"/>
          <w:szCs w:val="32"/>
          <w:highlight w:val="none"/>
        </w:rPr>
        <w:t>根据中央的路线、方针、政策和</w:t>
      </w:r>
      <w:r>
        <w:rPr>
          <w:rFonts w:hint="eastAsia" w:ascii="仿宋_GB2312" w:eastAsia="仿宋_GB2312"/>
          <w:color w:val="auto"/>
          <w:sz w:val="32"/>
          <w:szCs w:val="32"/>
          <w:highlight w:val="none"/>
          <w:lang w:val="en-US" w:eastAsia="zh-CN"/>
        </w:rPr>
        <w:t>市</w:t>
      </w:r>
      <w:r>
        <w:rPr>
          <w:rFonts w:hint="eastAsia" w:ascii="仿宋_GB2312" w:eastAsia="仿宋_GB2312"/>
          <w:color w:val="auto"/>
          <w:sz w:val="32"/>
          <w:szCs w:val="32"/>
          <w:highlight w:val="none"/>
        </w:rPr>
        <w:t>委、</w:t>
      </w:r>
      <w:r>
        <w:rPr>
          <w:rFonts w:hint="eastAsia" w:ascii="仿宋_GB2312" w:eastAsia="仿宋_GB2312"/>
          <w:color w:val="auto"/>
          <w:sz w:val="32"/>
          <w:szCs w:val="32"/>
          <w:highlight w:val="none"/>
          <w:lang w:val="en-US" w:eastAsia="zh-CN"/>
        </w:rPr>
        <w:t>市</w:t>
      </w:r>
      <w:r>
        <w:rPr>
          <w:rFonts w:hint="eastAsia" w:ascii="仿宋_GB2312" w:eastAsia="仿宋_GB2312"/>
          <w:color w:val="auto"/>
          <w:sz w:val="32"/>
          <w:szCs w:val="32"/>
          <w:highlight w:val="none"/>
        </w:rPr>
        <w:t>政府关于政法工作的决策和部署，统一政法部门的思想和行动；对全市的政法工作作出全局性部署，并督促贯彻落实；组织、协调、指导全市维护社会稳定工作；检查政法部门执行法律、法规和方针、政策的情况。结合全</w:t>
      </w:r>
      <w:r>
        <w:rPr>
          <w:rFonts w:hint="eastAsia" w:ascii="仿宋_GB2312" w:eastAsia="仿宋_GB2312"/>
          <w:color w:val="auto"/>
          <w:sz w:val="32"/>
          <w:szCs w:val="32"/>
          <w:highlight w:val="none"/>
          <w:lang w:val="en-US" w:eastAsia="zh-CN"/>
        </w:rPr>
        <w:t>市</w:t>
      </w:r>
      <w:r>
        <w:rPr>
          <w:rFonts w:hint="eastAsia" w:ascii="仿宋_GB2312" w:eastAsia="仿宋_GB2312"/>
          <w:color w:val="auto"/>
          <w:sz w:val="32"/>
          <w:szCs w:val="32"/>
          <w:highlight w:val="none"/>
        </w:rPr>
        <w:t>实际，研究制定严肃执法、落实党的方针、政策的具体措施；监督和支持各部门依法行使职权，指导和协调政法各部门在依法相互制约的同时密切配合，督促、推动大案要案的查处工作，讨论、研究有争议的重大、疑难案件；组织、协调全市的社会治安综合治理工作，推动各项措施的落实；组织推动全市政法战线的调查研究工作，总结新经验，解决新问题，探索政法工作改革；研究加强政法队伍建设和领导班子建设的措施，协助组织部门考察、管理同级政法部门的领导干部；指导下级和社会治安综合治理委员会办公室的工作。办理市委和上级政法委员会交办的其他事项。</w:t>
      </w:r>
      <w:r>
        <w:rPr>
          <w:rFonts w:hint="eastAsia" w:ascii="仿宋_GB2312" w:eastAsia="仿宋_GB2312"/>
          <w:color w:val="auto"/>
          <w:sz w:val="32"/>
          <w:szCs w:val="32"/>
          <w:highlight w:val="none"/>
          <w14:textFill>
            <w14:noFill/>
          </w14:textFill>
        </w:rPr>
        <w:t>详细介绍本</w:t>
      </w:r>
      <w:r>
        <w:rPr>
          <w:rFonts w:hint="eastAsia" w:ascii="仿宋_GB2312" w:eastAsia="仿宋_GB2312"/>
          <w:color w:val="auto"/>
          <w:sz w:val="32"/>
          <w:szCs w:val="32"/>
          <w:highlight w:val="none"/>
          <w:lang w:val="en-US" w:eastAsia="zh-CN"/>
          <w14:textFill>
            <w14:noFill/>
          </w14:textFill>
        </w:rPr>
        <w:t>单位</w:t>
      </w:r>
      <w:r>
        <w:rPr>
          <w:rFonts w:hint="eastAsia" w:ascii="仿宋_GB2312" w:eastAsia="仿宋_GB2312"/>
          <w:color w:val="auto"/>
          <w:sz w:val="32"/>
          <w:szCs w:val="32"/>
          <w:highlight w:val="none"/>
          <w14:textFill>
            <w14:noFill/>
          </w14:textFill>
        </w:rPr>
        <w:t>工作职能。</w:t>
      </w:r>
    </w:p>
    <w:p w14:paraId="509B320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1347826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中共沙湾市委政法委员会</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38</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27</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11</w:t>
      </w:r>
      <w:r>
        <w:rPr>
          <w:rFonts w:hint="eastAsia" w:ascii="仿宋_GB2312" w:eastAsia="仿宋_GB2312"/>
          <w:color w:val="auto"/>
          <w:sz w:val="32"/>
          <w:szCs w:val="32"/>
          <w:highlight w:val="none"/>
        </w:rPr>
        <w:t>人。</w:t>
      </w:r>
    </w:p>
    <w:p w14:paraId="49BE4D01">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2</w:t>
      </w:r>
      <w:r>
        <w:rPr>
          <w:rFonts w:hint="eastAsia" w:ascii="仿宋_GB2312" w:hAnsi="黑体" w:eastAsia="仿宋_GB2312" w:cs="宋体"/>
          <w:bCs/>
          <w:color w:val="auto"/>
          <w:kern w:val="0"/>
          <w:sz w:val="32"/>
          <w:szCs w:val="32"/>
          <w:highlight w:val="none"/>
        </w:rPr>
        <w:t>个处室，分别是：办公室、网格化管理中心</w:t>
      </w:r>
      <w:r>
        <w:rPr>
          <w:rFonts w:hint="eastAsia" w:ascii="仿宋_GB2312" w:hAnsi="宋体" w:eastAsia="仿宋_GB2312" w:cs="宋体"/>
          <w:color w:val="auto"/>
          <w:kern w:val="0"/>
          <w:sz w:val="32"/>
          <w:szCs w:val="32"/>
          <w:highlight w:val="none"/>
        </w:rPr>
        <w:t>。</w:t>
      </w:r>
    </w:p>
    <w:p w14:paraId="29EAABB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5E86EBB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14:paraId="12839E5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824.70万元，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824.70万元，使用非财政拨款结余0.00万元，年初结转和结余0.00万元。</w:t>
      </w:r>
    </w:p>
    <w:p w14:paraId="4B54014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824.70万元，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824.70万元，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14:paraId="35BA4B5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增加128.42万元</w:t>
      </w:r>
      <w:r>
        <w:rPr>
          <w:rFonts w:hint="eastAsia" w:ascii="仿宋_GB2312" w:eastAsia="仿宋_GB2312"/>
          <w:color w:val="auto"/>
          <w:spacing w:val="0"/>
          <w:sz w:val="32"/>
          <w:szCs w:val="32"/>
          <w:highlight w:val="none"/>
          <w:lang w:eastAsia="zh-CN"/>
        </w:rPr>
        <w:t>，增长18.44%，主要原因是：本年增</w:t>
      </w:r>
      <w:r>
        <w:rPr>
          <w:rFonts w:hint="eastAsia" w:ascii="仿宋_GB2312" w:eastAsia="仿宋_GB2312"/>
          <w:color w:val="auto"/>
          <w:spacing w:val="0"/>
          <w:sz w:val="32"/>
          <w:szCs w:val="32"/>
          <w:highlight w:val="none"/>
          <w:lang w:val="en-US" w:eastAsia="zh-CN"/>
        </w:rPr>
        <w:t>加</w:t>
      </w:r>
      <w:r>
        <w:rPr>
          <w:rFonts w:hint="eastAsia" w:ascii="仿宋_GB2312" w:eastAsia="仿宋_GB2312"/>
          <w:color w:val="auto"/>
          <w:spacing w:val="0"/>
          <w:sz w:val="32"/>
          <w:szCs w:val="32"/>
          <w:highlight w:val="none"/>
          <w:lang w:eastAsia="zh-CN"/>
        </w:rPr>
        <w:t>综治网络</w:t>
      </w:r>
      <w:r>
        <w:rPr>
          <w:rFonts w:hint="eastAsia" w:ascii="仿宋_GB2312" w:eastAsia="仿宋_GB2312"/>
          <w:color w:val="auto"/>
          <w:spacing w:val="0"/>
          <w:sz w:val="32"/>
          <w:szCs w:val="32"/>
          <w:highlight w:val="none"/>
          <w:lang w:val="en-US" w:eastAsia="zh-CN"/>
        </w:rPr>
        <w:t>建设、</w:t>
      </w:r>
      <w:r>
        <w:rPr>
          <w:rFonts w:hint="eastAsia" w:ascii="仿宋_GB2312" w:hAnsi="仿宋_GB2312" w:eastAsia="仿宋_GB2312" w:cs="仿宋_GB2312"/>
          <w:color w:val="auto"/>
          <w:sz w:val="32"/>
          <w:szCs w:val="32"/>
          <w:highlight w:val="none"/>
          <w:lang w:val="en-US" w:eastAsia="zh-CN"/>
        </w:rPr>
        <w:t>鑫科兴社会面防控建设</w:t>
      </w:r>
      <w:r>
        <w:rPr>
          <w:rFonts w:hint="eastAsia" w:ascii="仿宋_GB2312" w:eastAsia="仿宋_GB2312"/>
          <w:color w:val="auto"/>
          <w:spacing w:val="0"/>
          <w:sz w:val="32"/>
          <w:szCs w:val="32"/>
          <w:highlight w:val="none"/>
          <w:lang w:eastAsia="zh-CN"/>
        </w:rPr>
        <w:t>等项目。</w:t>
      </w:r>
    </w:p>
    <w:p w14:paraId="165AA42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75B0EF8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824.70</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824.70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14:paraId="2727557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5C9C981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本年支出824.70万元，其中：基本支出570.56万元，占69.18%；项目支出254.14万元，占30.82%；上缴上级支出0.00万元，占0.00%；经营支出0.00万元，占0.00%；对附属单位补助支出0.00万元，占0.00%。</w:t>
      </w:r>
    </w:p>
    <w:p w14:paraId="761E3CB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4C69F4D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824.70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824.70</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824.70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824.70</w:t>
      </w:r>
      <w:r>
        <w:rPr>
          <w:rFonts w:hint="eastAsia" w:ascii="仿宋_GB2312" w:eastAsia="仿宋_GB2312"/>
          <w:color w:val="auto"/>
          <w:spacing w:val="0"/>
          <w:sz w:val="32"/>
          <w:szCs w:val="32"/>
          <w:highlight w:val="none"/>
          <w:lang w:eastAsia="zh-CN"/>
        </w:rPr>
        <w:t>万元。</w:t>
      </w:r>
    </w:p>
    <w:p w14:paraId="7246E56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增加128.42万元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增长18.44%,</w:t>
      </w:r>
      <w:r>
        <w:rPr>
          <w:rFonts w:hint="eastAsia" w:ascii="仿宋_GB2312" w:eastAsia="仿宋_GB2312"/>
          <w:color w:val="auto"/>
          <w:spacing w:val="0"/>
          <w:sz w:val="32"/>
          <w:szCs w:val="32"/>
          <w:highlight w:val="none"/>
          <w:lang w:eastAsia="zh-CN"/>
        </w:rPr>
        <w:t>主要原因是：本年新增综治网络建设等项目</w:t>
      </w:r>
      <w:r>
        <w:rPr>
          <w:rFonts w:hint="eastAsia" w:ascii="仿宋_GB2312" w:eastAsia="仿宋_GB2312"/>
          <w:color w:val="auto"/>
          <w:spacing w:val="0"/>
          <w:sz w:val="32"/>
          <w:szCs w:val="32"/>
          <w:highlight w:val="none"/>
          <w:lang w:val="en-US" w:eastAsia="zh-CN"/>
        </w:rPr>
        <w:t>拨款</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571.13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824.70</w:t>
      </w:r>
      <w:r>
        <w:rPr>
          <w:rFonts w:hint="eastAsia" w:ascii="仿宋_GB2312" w:eastAsia="仿宋_GB2312"/>
          <w:color w:val="auto"/>
          <w:spacing w:val="0"/>
          <w:sz w:val="32"/>
          <w:szCs w:val="32"/>
          <w:highlight w:val="none"/>
          <w:lang w:eastAsia="zh-CN"/>
        </w:rPr>
        <w:t>万元，预决算差异率44.40%，主要原因是：本年追加综治网络</w:t>
      </w:r>
      <w:r>
        <w:rPr>
          <w:rFonts w:hint="eastAsia" w:ascii="仿宋_GB2312" w:eastAsia="仿宋_GB2312"/>
          <w:color w:val="auto"/>
          <w:spacing w:val="0"/>
          <w:sz w:val="32"/>
          <w:szCs w:val="32"/>
          <w:highlight w:val="none"/>
          <w:lang w:val="en-US" w:eastAsia="zh-CN"/>
        </w:rPr>
        <w:t>建设、</w:t>
      </w:r>
      <w:r>
        <w:rPr>
          <w:rFonts w:hint="eastAsia" w:ascii="仿宋_GB2312" w:hAnsi="仿宋_GB2312" w:eastAsia="仿宋_GB2312" w:cs="仿宋_GB2312"/>
          <w:color w:val="auto"/>
          <w:sz w:val="32"/>
          <w:szCs w:val="32"/>
          <w:highlight w:val="none"/>
          <w:lang w:val="en-US" w:eastAsia="zh-CN"/>
        </w:rPr>
        <w:t>鑫科兴社会面防控建设</w:t>
      </w:r>
      <w:r>
        <w:rPr>
          <w:rFonts w:hint="eastAsia" w:ascii="仿宋_GB2312" w:eastAsia="仿宋_GB2312"/>
          <w:color w:val="auto"/>
          <w:spacing w:val="0"/>
          <w:sz w:val="32"/>
          <w:szCs w:val="32"/>
          <w:highlight w:val="none"/>
          <w:lang w:eastAsia="zh-CN"/>
        </w:rPr>
        <w:t>等项目。</w:t>
      </w:r>
    </w:p>
    <w:p w14:paraId="528FFB4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15CD302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4AA4A3A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2023年度一般公共预算财政拨款支出824.70万元，占本年支出合计的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增加128.42万元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增长18.44%,</w:t>
      </w:r>
      <w:r>
        <w:rPr>
          <w:rFonts w:hint="eastAsia" w:ascii="仿宋_GB2312" w:eastAsia="仿宋_GB2312"/>
          <w:color w:val="auto"/>
          <w:spacing w:val="0"/>
          <w:sz w:val="32"/>
          <w:szCs w:val="32"/>
          <w:highlight w:val="none"/>
          <w:lang w:eastAsia="zh-CN"/>
        </w:rPr>
        <w:t>主要原因是：本年新增综治网络</w:t>
      </w:r>
      <w:r>
        <w:rPr>
          <w:rFonts w:hint="eastAsia" w:ascii="仿宋_GB2312" w:eastAsia="仿宋_GB2312"/>
          <w:color w:val="auto"/>
          <w:spacing w:val="0"/>
          <w:sz w:val="32"/>
          <w:szCs w:val="32"/>
          <w:highlight w:val="none"/>
          <w:lang w:val="en-US" w:eastAsia="zh-CN"/>
        </w:rPr>
        <w:t>建设、</w:t>
      </w:r>
      <w:r>
        <w:rPr>
          <w:rFonts w:hint="eastAsia" w:ascii="仿宋_GB2312" w:hAnsi="仿宋_GB2312" w:eastAsia="仿宋_GB2312" w:cs="仿宋_GB2312"/>
          <w:color w:val="auto"/>
          <w:sz w:val="32"/>
          <w:szCs w:val="32"/>
          <w:highlight w:val="none"/>
          <w:lang w:val="en-US" w:eastAsia="zh-CN"/>
        </w:rPr>
        <w:t>鑫科兴社会面防控建设项目</w:t>
      </w:r>
      <w:r>
        <w:rPr>
          <w:rFonts w:hint="eastAsia" w:ascii="仿宋_GB2312" w:eastAsia="仿宋_GB2312"/>
          <w:color w:val="auto"/>
          <w:spacing w:val="0"/>
          <w:sz w:val="32"/>
          <w:szCs w:val="32"/>
          <w:highlight w:val="none"/>
          <w:lang w:eastAsia="zh-CN"/>
        </w:rPr>
        <w:t>等项目拨款</w:t>
      </w:r>
      <w:r>
        <w:rPr>
          <w:rFonts w:hint="eastAsia" w:ascii="仿宋_GB2312" w:eastAsia="仿宋_GB2312"/>
          <w:color w:val="auto"/>
          <w:spacing w:val="0"/>
          <w:sz w:val="32"/>
          <w:szCs w:val="32"/>
          <w:highlight w:val="none"/>
          <w:lang w:val="en-US" w:eastAsia="zh-CN"/>
        </w:rPr>
        <w:t>支出</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571.13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824.70</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44.40%</w:t>
      </w:r>
      <w:r>
        <w:rPr>
          <w:rFonts w:hint="eastAsia" w:ascii="仿宋_GB2312" w:eastAsia="仿宋_GB2312"/>
          <w:color w:val="auto"/>
          <w:spacing w:val="0"/>
          <w:sz w:val="32"/>
          <w:szCs w:val="32"/>
          <w:highlight w:val="none"/>
          <w:lang w:eastAsia="zh-CN"/>
        </w:rPr>
        <w:t>，主要原因是：本年追加综治网络</w:t>
      </w:r>
      <w:r>
        <w:rPr>
          <w:rFonts w:hint="eastAsia" w:ascii="仿宋_GB2312" w:eastAsia="仿宋_GB2312"/>
          <w:color w:val="auto"/>
          <w:spacing w:val="0"/>
          <w:sz w:val="32"/>
          <w:szCs w:val="32"/>
          <w:highlight w:val="none"/>
          <w:lang w:val="en-US" w:eastAsia="zh-CN"/>
        </w:rPr>
        <w:t>建设</w:t>
      </w:r>
      <w:r>
        <w:rPr>
          <w:rFonts w:hint="eastAsia" w:ascii="仿宋_GB2312" w:eastAsia="仿宋_GB2312"/>
          <w:color w:val="auto"/>
          <w:spacing w:val="0"/>
          <w:sz w:val="32"/>
          <w:szCs w:val="32"/>
          <w:highlight w:val="none"/>
          <w:lang w:eastAsia="zh-CN"/>
        </w:rPr>
        <w:t>等项目。</w:t>
      </w:r>
    </w:p>
    <w:p w14:paraId="03F5B20E">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FF0000"/>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6D96315D">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708.20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85.87%</w:t>
      </w:r>
      <w:r>
        <w:rPr>
          <w:rFonts w:hint="default" w:ascii="仿宋_GB2312" w:hAnsi="Times New Roman" w:eastAsia="仿宋_GB2312" w:cs="Times New Roman"/>
          <w:color w:val="auto"/>
          <w:spacing w:val="0"/>
          <w:kern w:val="2"/>
          <w:sz w:val="32"/>
          <w:szCs w:val="32"/>
          <w:highlight w:val="none"/>
          <w:lang w:val="zh-CN" w:eastAsia="zh-CN" w:bidi="ar-SA"/>
        </w:rPr>
        <w:t>；</w:t>
      </w:r>
    </w:p>
    <w:p w14:paraId="693E3EA6">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54.33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6.59%</w:t>
      </w:r>
      <w:r>
        <w:rPr>
          <w:rFonts w:hint="default" w:ascii="仿宋_GB2312" w:hAnsi="Times New Roman" w:eastAsia="仿宋_GB2312" w:cs="Times New Roman"/>
          <w:color w:val="auto"/>
          <w:spacing w:val="0"/>
          <w:kern w:val="2"/>
          <w:sz w:val="32"/>
          <w:szCs w:val="32"/>
          <w:highlight w:val="none"/>
          <w:lang w:val="zh-CN" w:eastAsia="zh-CN" w:bidi="ar-SA"/>
        </w:rPr>
        <w:t>；</w:t>
      </w:r>
    </w:p>
    <w:p w14:paraId="14B3B40D">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24.77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3.00%</w:t>
      </w:r>
      <w:r>
        <w:rPr>
          <w:rFonts w:hint="default" w:ascii="仿宋_GB2312" w:hAnsi="Times New Roman" w:eastAsia="仿宋_GB2312" w:cs="Times New Roman"/>
          <w:color w:val="auto"/>
          <w:spacing w:val="0"/>
          <w:kern w:val="2"/>
          <w:sz w:val="32"/>
          <w:szCs w:val="32"/>
          <w:highlight w:val="none"/>
          <w:lang w:val="zh-CN" w:eastAsia="zh-CN" w:bidi="ar-SA"/>
        </w:rPr>
        <w:t>；</w:t>
      </w:r>
    </w:p>
    <w:p w14:paraId="2CAAC25F">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37.40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4.53%</w:t>
      </w:r>
      <w:r>
        <w:rPr>
          <w:rFonts w:hint="default" w:ascii="仿宋_GB2312" w:hAnsi="Times New Roman" w:eastAsia="仿宋_GB2312" w:cs="Times New Roman"/>
          <w:color w:val="auto"/>
          <w:spacing w:val="0"/>
          <w:kern w:val="2"/>
          <w:sz w:val="32"/>
          <w:szCs w:val="32"/>
          <w:highlight w:val="none"/>
          <w:lang w:val="zh-CN" w:eastAsia="zh-CN" w:bidi="ar-SA"/>
        </w:rPr>
        <w:t>；</w:t>
      </w:r>
    </w:p>
    <w:p w14:paraId="541725F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1D5F78B8">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1.卫生健康支出（类）行政事业单位医疗（款）行政单位医疗（项）:支出决算数为9.59万元，比上年决算减少4.11万元，下降30.00%，主要原因是：本年行政退休人员单位医疗缴费调整，故行政单位医疗支出减少</w:t>
      </w:r>
      <w:r>
        <w:rPr>
          <w:rFonts w:hint="eastAsia" w:ascii="仿宋_GB2312" w:hAnsi="仿宋_GB2312" w:eastAsia="仿宋_GB2312" w:cs="仿宋_GB2312"/>
          <w:color w:val="auto"/>
          <w:kern w:val="2"/>
          <w:sz w:val="32"/>
          <w:szCs w:val="32"/>
          <w:highlight w:val="none"/>
          <w:lang w:val="zh-CN" w:eastAsia="zh-CN" w:bidi="ar-SA"/>
        </w:rPr>
        <w:t>。</w:t>
      </w:r>
    </w:p>
    <w:p w14:paraId="28F37036">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2.卫生健康支出（类）行政事业单位医疗（款）事业单位医疗（项）:支出决算数为10.62万元，比上年决算减少2.02万元，下降15.98%，主要原因是：本年事业编制人员调出9人，故事业单位医疗支出减少</w:t>
      </w:r>
      <w:r>
        <w:rPr>
          <w:rFonts w:hint="eastAsia" w:ascii="仿宋_GB2312" w:hAnsi="仿宋_GB2312" w:eastAsia="仿宋_GB2312" w:cs="仿宋_GB2312"/>
          <w:color w:val="auto"/>
          <w:kern w:val="2"/>
          <w:sz w:val="32"/>
          <w:szCs w:val="32"/>
          <w:highlight w:val="none"/>
          <w:lang w:val="zh-CN" w:eastAsia="zh-CN" w:bidi="ar-SA"/>
        </w:rPr>
        <w:t>。</w:t>
      </w:r>
    </w:p>
    <w:p w14:paraId="3F57E61C">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卫生健康支出（类）行政事业单位医疗（款）公务员医疗补助（项）:支出决算数为4.56万元，比上年决算减少1.77万元，下降27.96%，主要原因是：本年行政退休人员单位公务员医疗缴费调整，故公务员医疗支出减少</w:t>
      </w:r>
      <w:r>
        <w:rPr>
          <w:rFonts w:hint="eastAsia" w:ascii="仿宋_GB2312" w:hAnsi="仿宋_GB2312" w:eastAsia="仿宋_GB2312" w:cs="仿宋_GB2312"/>
          <w:color w:val="auto"/>
          <w:kern w:val="2"/>
          <w:sz w:val="32"/>
          <w:szCs w:val="32"/>
          <w:highlight w:val="none"/>
          <w:lang w:val="zh-CN" w:eastAsia="zh-CN" w:bidi="ar-SA"/>
        </w:rPr>
        <w:t>。</w:t>
      </w:r>
    </w:p>
    <w:p w14:paraId="29A60112">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住房保障支出（类）住房改革支出（款）住房公积金（项）:支出决算数为37.40万元，比上年决算增加1.02万元，增长2.80%，主要原因是：人员基础工资调整增加对应住房公积金基数调整增加，故住房公积金支出增加</w:t>
      </w:r>
      <w:r>
        <w:rPr>
          <w:rFonts w:hint="eastAsia" w:ascii="仿宋_GB2312" w:hAnsi="仿宋_GB2312" w:eastAsia="仿宋_GB2312" w:cs="仿宋_GB2312"/>
          <w:color w:val="auto"/>
          <w:kern w:val="2"/>
          <w:sz w:val="32"/>
          <w:szCs w:val="32"/>
          <w:highlight w:val="none"/>
          <w:lang w:val="zh-CN" w:eastAsia="zh-CN" w:bidi="ar-SA"/>
        </w:rPr>
        <w:t>。</w:t>
      </w:r>
    </w:p>
    <w:p w14:paraId="390A3C03">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仿宋_GB2312" w:eastAsia="仿宋_GB2312"/>
          <w:color w:val="FF0000"/>
          <w:spacing w:val="0"/>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5.一般公共服务支出（类）其他共产党事务支出（款）事业运行（项）:支出决算数为201.09万元，比上年决算增加201.09万元，增长100%，主要原因是：</w:t>
      </w:r>
      <w:r>
        <w:rPr>
          <w:rFonts w:hint="eastAsia" w:ascii="仿宋_GB2312" w:eastAsia="仿宋_GB2312"/>
          <w:color w:val="auto"/>
          <w:spacing w:val="0"/>
          <w:sz w:val="32"/>
          <w:szCs w:val="32"/>
          <w:highlight w:val="none"/>
          <w:lang w:eastAsia="zh-CN"/>
        </w:rPr>
        <w:t>本年</w:t>
      </w:r>
      <w:r>
        <w:rPr>
          <w:rFonts w:hint="eastAsia" w:ascii="仿宋_GB2312" w:eastAsia="仿宋_GB2312"/>
          <w:color w:val="auto"/>
          <w:spacing w:val="0"/>
          <w:sz w:val="32"/>
          <w:szCs w:val="32"/>
          <w:highlight w:val="none"/>
          <w:lang w:val="en-US" w:eastAsia="zh-CN"/>
        </w:rPr>
        <w:t>事业人员工资社保相关支出调整至此款项</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上年未分类至此款项核算。</w:t>
      </w:r>
    </w:p>
    <w:p w14:paraId="3C94EF8E">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仿宋_GB2312" w:hAnsi="仿宋_GB2312" w:eastAsia="仿宋_GB2312" w:cs="仿宋_GB2312"/>
          <w:color w:val="FF0000"/>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6.社会保障和就业支出（类）行政事业单位养老支出（款）行政单位离退休（项）:支出决算数为6.80万元，比</w:t>
      </w:r>
      <w:r>
        <w:rPr>
          <w:rFonts w:hint="eastAsia" w:ascii="仿宋_GB2312" w:hAnsi="仿宋_GB2312" w:eastAsia="仿宋_GB2312" w:cs="仿宋_GB2312"/>
          <w:color w:val="auto"/>
          <w:kern w:val="2"/>
          <w:sz w:val="32"/>
          <w:szCs w:val="32"/>
          <w:highlight w:val="none"/>
          <w:shd w:val="clear" w:color="auto" w:fill="auto"/>
          <w:lang w:val="en-US" w:eastAsia="zh-CN" w:bidi="ar-SA"/>
        </w:rPr>
        <w:t>上年决算增加2.51万元，增长58.51%，主要原因是：本年发放2022年退休人员补贴，故较上年决算增加。</w:t>
      </w:r>
    </w:p>
    <w:p w14:paraId="4EF10B28">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7.一般公共服务支出（类）其他共产党事务支出（款）其他共产党事务支出（项）:支出决算数为254.14万元，比上年决算增加109.36万元，增长75.54%，主要原因是：</w:t>
      </w:r>
      <w:r>
        <w:rPr>
          <w:rFonts w:hint="eastAsia" w:ascii="仿宋_GB2312" w:eastAsia="仿宋_GB2312"/>
          <w:color w:val="auto"/>
          <w:spacing w:val="0"/>
          <w:sz w:val="32"/>
          <w:szCs w:val="32"/>
          <w:highlight w:val="none"/>
          <w:lang w:eastAsia="zh-CN"/>
        </w:rPr>
        <w:t>本年新增综治网络</w:t>
      </w:r>
      <w:r>
        <w:rPr>
          <w:rFonts w:hint="eastAsia" w:ascii="仿宋_GB2312" w:eastAsia="仿宋_GB2312"/>
          <w:color w:val="auto"/>
          <w:spacing w:val="0"/>
          <w:sz w:val="32"/>
          <w:szCs w:val="32"/>
          <w:highlight w:val="none"/>
          <w:lang w:val="en-US" w:eastAsia="zh-CN"/>
        </w:rPr>
        <w:t>建设</w:t>
      </w:r>
      <w:r>
        <w:rPr>
          <w:rFonts w:hint="eastAsia" w:ascii="仿宋_GB2312" w:eastAsia="仿宋_GB2312"/>
          <w:color w:val="auto"/>
          <w:spacing w:val="0"/>
          <w:sz w:val="32"/>
          <w:szCs w:val="32"/>
          <w:highlight w:val="none"/>
          <w:lang w:eastAsia="zh-CN"/>
        </w:rPr>
        <w:t>项目资金、</w:t>
      </w:r>
      <w:r>
        <w:rPr>
          <w:rFonts w:hint="eastAsia" w:ascii="仿宋_GB2312" w:hAnsi="仿宋_GB2312" w:eastAsia="仿宋_GB2312" w:cs="仿宋_GB2312"/>
          <w:color w:val="auto"/>
          <w:sz w:val="32"/>
          <w:szCs w:val="32"/>
          <w:highlight w:val="none"/>
          <w:lang w:val="en-US" w:eastAsia="zh-CN"/>
        </w:rPr>
        <w:t>鑫科兴社会面防控建设项目</w:t>
      </w:r>
      <w:r>
        <w:rPr>
          <w:rFonts w:hint="eastAsia" w:ascii="仿宋_GB2312" w:eastAsia="仿宋_GB2312"/>
          <w:color w:val="auto"/>
          <w:spacing w:val="0"/>
          <w:sz w:val="32"/>
          <w:szCs w:val="32"/>
          <w:highlight w:val="none"/>
          <w:lang w:val="en-US" w:eastAsia="zh-CN"/>
        </w:rPr>
        <w:t>支出</w:t>
      </w:r>
      <w:r>
        <w:rPr>
          <w:rFonts w:hint="eastAsia" w:ascii="仿宋_GB2312" w:hAnsi="仿宋_GB2312" w:eastAsia="仿宋_GB2312" w:cs="仿宋_GB2312"/>
          <w:color w:val="auto"/>
          <w:kern w:val="2"/>
          <w:sz w:val="32"/>
          <w:szCs w:val="32"/>
          <w:highlight w:val="none"/>
          <w:lang w:val="zh-CN" w:eastAsia="zh-CN" w:bidi="ar-SA"/>
        </w:rPr>
        <w:t>。</w:t>
      </w:r>
    </w:p>
    <w:p w14:paraId="3EA165BB">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8.一般公共服务支出（类）其他共产党事务支出（款）行政运行（项）:支出决算数为252.97万元，比上年决算减少179.78万元，下降41.54%，主要原因是：本年严控项目支出，上年支付</w:t>
      </w:r>
      <w:r>
        <w:rPr>
          <w:rStyle w:val="11"/>
          <w:rFonts w:hint="eastAsia" w:ascii="仿宋" w:hAnsi="仿宋" w:eastAsia="仿宋" w:cs="仿宋"/>
          <w:b w:val="0"/>
          <w:color w:val="auto"/>
          <w:sz w:val="32"/>
          <w:szCs w:val="32"/>
          <w:highlight w:val="none"/>
          <w:lang w:val="en-US" w:eastAsia="zh-CN" w:bidi="ar"/>
        </w:rPr>
        <w:t>六小场所一键式报警器安装及综治中心建设项目款</w:t>
      </w:r>
      <w:r>
        <w:rPr>
          <w:rFonts w:hint="eastAsia" w:ascii="仿宋_GB2312" w:hAnsi="仿宋_GB2312" w:eastAsia="仿宋_GB2312" w:cs="仿宋_GB2312"/>
          <w:color w:val="auto"/>
          <w:kern w:val="2"/>
          <w:sz w:val="32"/>
          <w:szCs w:val="32"/>
          <w:highlight w:val="none"/>
          <w:lang w:val="zh-CN" w:eastAsia="zh-CN" w:bidi="ar-SA"/>
        </w:rPr>
        <w:t>。</w:t>
      </w:r>
    </w:p>
    <w:p w14:paraId="43019BB4">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社会保障和就业支出（类）行政事业单位养老支出（款）机关事业单位基本养老保险缴费支出（项）:支出决算数为47.52万元，比上年决算增加7.48万元，增长18.68%，主要原因是：人员基础工资调整增加对应养老保险基数调整增加，故养老保险支出增加</w:t>
      </w:r>
      <w:r>
        <w:rPr>
          <w:rFonts w:hint="eastAsia" w:ascii="仿宋_GB2312" w:hAnsi="仿宋_GB2312" w:eastAsia="仿宋_GB2312" w:cs="仿宋_GB2312"/>
          <w:color w:val="auto"/>
          <w:kern w:val="2"/>
          <w:sz w:val="32"/>
          <w:szCs w:val="32"/>
          <w:highlight w:val="none"/>
          <w:lang w:val="zh-CN" w:eastAsia="zh-CN" w:bidi="ar-SA"/>
        </w:rPr>
        <w:t>。</w:t>
      </w:r>
    </w:p>
    <w:p w14:paraId="6F18FA3C">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10.卫生健康支出（类）公共卫生（款）突发公共卫生事件应急处理（项）:支出决算数为0.00万元，比上年决算减少5.37万元，下降100%，主要原因是：上年支付突发公共卫生事件应急处理款项，本年无此类支出</w:t>
      </w:r>
      <w:r>
        <w:rPr>
          <w:rFonts w:hint="eastAsia" w:ascii="仿宋_GB2312" w:hAnsi="仿宋_GB2312" w:eastAsia="仿宋_GB2312" w:cs="仿宋_GB2312"/>
          <w:color w:val="auto"/>
          <w:kern w:val="2"/>
          <w:sz w:val="32"/>
          <w:szCs w:val="32"/>
          <w:highlight w:val="none"/>
          <w:lang w:val="zh-CN" w:eastAsia="zh-CN" w:bidi="ar-SA"/>
        </w:rPr>
        <w:t>。</w:t>
      </w:r>
    </w:p>
    <w:p w14:paraId="1027946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79484A7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570.56</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530.06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基本工资、津贴补贴、奖金、绩效工资、机关事业单位基本养老保险缴费、职工基本医疗保险缴费、公务员医疗补助缴费、其他社会保障缴费、住房公积金、退休费、其他对个人和家庭的补助。</w:t>
      </w:r>
    </w:p>
    <w:p w14:paraId="0F153BA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40.50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办公费、邮电费、差旅费、公务接待费、工会经费、公务用车运行维护费。</w:t>
      </w:r>
    </w:p>
    <w:p w14:paraId="0F88324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02B9D88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“三公”经费支出15.99万元，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增加5.70万元，</w:t>
      </w:r>
      <w:r>
        <w:rPr>
          <w:rFonts w:hint="eastAsia" w:ascii="仿宋_GB2312" w:eastAsia="仿宋_GB2312"/>
          <w:color w:val="auto"/>
          <w:spacing w:val="0"/>
          <w:sz w:val="32"/>
          <w:szCs w:val="32"/>
          <w:highlight w:val="none"/>
          <w:lang w:val="en-US" w:eastAsia="zh-CN"/>
        </w:rPr>
        <w:t>增长55.39%,</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本年度专项业务工作量增加，公务用车运行次数随之增加，从而增加了产生的公务用车运行费用</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无此类支出</w:t>
      </w:r>
      <w:r>
        <w:rPr>
          <w:rFonts w:hint="eastAsia" w:ascii="仿宋_GB2312" w:eastAsia="仿宋_GB2312"/>
          <w:color w:val="auto"/>
          <w:sz w:val="32"/>
          <w:szCs w:val="32"/>
          <w:highlight w:val="none"/>
          <w:lang w:val="zh-CN" w:eastAsia="zh-CN"/>
        </w:rPr>
        <w:t>；公务用车购置及运行维护费支出15.00万元，占93.81%，比上年增加4.71万元，</w:t>
      </w:r>
      <w:r>
        <w:rPr>
          <w:rFonts w:hint="eastAsia" w:ascii="仿宋_GB2312" w:eastAsia="仿宋_GB2312"/>
          <w:color w:val="auto"/>
          <w:spacing w:val="0"/>
          <w:sz w:val="32"/>
          <w:szCs w:val="32"/>
          <w:highlight w:val="none"/>
          <w:lang w:val="en-US" w:eastAsia="zh-CN"/>
        </w:rPr>
        <w:t>增长45.77%,</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本年度专项业务工作量增加，公务用车运行次数随之增加，从而增加了产生的公务用车运行费用</w:t>
      </w:r>
      <w:r>
        <w:rPr>
          <w:rFonts w:hint="eastAsia" w:ascii="仿宋_GB2312" w:eastAsia="仿宋_GB2312"/>
          <w:color w:val="auto"/>
          <w:sz w:val="32"/>
          <w:szCs w:val="32"/>
          <w:highlight w:val="none"/>
          <w:lang w:val="zh-CN" w:eastAsia="zh-CN"/>
        </w:rPr>
        <w:t>；公务接待费支出0.99万元，占6.19%，比上年增加0.99万元，</w:t>
      </w:r>
      <w:r>
        <w:rPr>
          <w:rFonts w:hint="eastAsia" w:ascii="仿宋_GB2312" w:eastAsia="仿宋_GB2312"/>
          <w:color w:val="auto"/>
          <w:spacing w:val="0"/>
          <w:sz w:val="32"/>
          <w:szCs w:val="32"/>
          <w:highlight w:val="none"/>
          <w:lang w:val="en-US" w:eastAsia="zh-CN"/>
        </w:rPr>
        <w:t>增长100.00%,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本年专项工作接待增加</w:t>
      </w:r>
      <w:r>
        <w:rPr>
          <w:rFonts w:hint="eastAsia" w:ascii="仿宋_GB2312" w:eastAsia="仿宋_GB2312"/>
          <w:color w:val="auto"/>
          <w:sz w:val="32"/>
          <w:szCs w:val="32"/>
          <w:highlight w:val="none"/>
          <w:lang w:val="zh-CN" w:eastAsia="zh-CN"/>
        </w:rPr>
        <w:t>。</w:t>
      </w:r>
    </w:p>
    <w:p w14:paraId="1954001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10A2DA3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因公出国（境）费支出0.00万元，开支内容包括本单位</w:t>
      </w:r>
      <w:r>
        <w:rPr>
          <w:rFonts w:hint="eastAsia" w:ascii="仿宋_GB2312" w:eastAsia="仿宋_GB2312"/>
          <w:color w:val="auto"/>
          <w:sz w:val="32"/>
          <w:szCs w:val="32"/>
          <w:highlight w:val="none"/>
          <w:lang w:val="en-US" w:eastAsia="zh-CN"/>
        </w:rPr>
        <w:t>无</w:t>
      </w:r>
      <w:r>
        <w:rPr>
          <w:rFonts w:hint="eastAsia" w:ascii="仿宋_GB2312" w:eastAsia="仿宋_GB2312"/>
          <w:color w:val="auto"/>
          <w:sz w:val="32"/>
          <w:szCs w:val="32"/>
          <w:highlight w:val="none"/>
          <w:lang w:val="zh-CN" w:eastAsia="zh-CN"/>
        </w:rPr>
        <w:t>因公出国（境）费支出。单位全年安排的因公出国（境）团组0个，因公出国（境）0人次。</w:t>
      </w:r>
    </w:p>
    <w:p w14:paraId="2B81A20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公务用车购置及运行维护费15.00万元，其中：公务用车购置费0.00万元，公务用车运行维护费15.00万元。公务用车运行维护费开支内容包括</w:t>
      </w:r>
      <w:r>
        <w:rPr>
          <w:rFonts w:hint="eastAsia" w:ascii="仿宋_GB2312" w:eastAsia="仿宋_GB2312"/>
          <w:color w:val="auto"/>
          <w:sz w:val="32"/>
          <w:szCs w:val="32"/>
          <w:highlight w:val="none"/>
          <w:lang w:val="en-US" w:eastAsia="zh-CN"/>
        </w:rPr>
        <w:t>车辆维修费、车辆保险费</w:t>
      </w:r>
      <w:r>
        <w:rPr>
          <w:rFonts w:hint="eastAsia" w:ascii="仿宋_GB2312" w:eastAsia="仿宋_GB2312"/>
          <w:color w:val="auto"/>
          <w:sz w:val="32"/>
          <w:szCs w:val="32"/>
          <w:highlight w:val="none"/>
          <w:lang w:val="zh-CN" w:eastAsia="zh-CN"/>
        </w:rPr>
        <w:t>。公务用车购置数0辆，公务用车保有量3辆。国有资产占用情况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3辆，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原因是：无差异。</w:t>
      </w:r>
    </w:p>
    <w:p w14:paraId="6F31247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公务接待费0.99万元，开支内容包括上级单位来访等公务活动产生的</w:t>
      </w:r>
      <w:r>
        <w:rPr>
          <w:rFonts w:hint="eastAsia" w:ascii="仿宋_GB2312" w:eastAsia="仿宋_GB2312"/>
          <w:color w:val="auto"/>
          <w:sz w:val="32"/>
          <w:szCs w:val="32"/>
          <w:highlight w:val="none"/>
          <w:lang w:val="en-US" w:eastAsia="zh-CN"/>
        </w:rPr>
        <w:t>餐费</w:t>
      </w:r>
      <w:r>
        <w:rPr>
          <w:rFonts w:hint="eastAsia" w:ascii="仿宋_GB2312" w:eastAsia="仿宋_GB2312"/>
          <w:color w:val="auto"/>
          <w:sz w:val="32"/>
          <w:szCs w:val="32"/>
          <w:highlight w:val="none"/>
          <w:lang w:val="zh-CN" w:eastAsia="zh-CN"/>
        </w:rPr>
        <w:t>。单位全年安排的国内公务接待12批次，132人次。</w:t>
      </w:r>
    </w:p>
    <w:p w14:paraId="2434169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预算数15.99万元，决算数15.99万元，预决算差异率0.00%，主要原因是：财政拨款“三公”经费支出预算数和决算数无变化，预决算无差异。其中：因公出国（境）费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0.00万元，决算数0.00万元，预决算差异率0.00%，主要原因是：我单位未安排因公出国（境）费，预决算无差异；公务用车购置费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我单位未安排公务用车购置费，预决算无差异</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预算数15.00万元，决算数15.00万元，预决算差异率0.00%，主要原因是：公务用车运行费预算数和决算数无变化，预决算无差异</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预算数0.99万元，决算数0.99万元，预决算差异率0.00%，主要原因是</w:t>
      </w:r>
      <w:r>
        <w:rPr>
          <w:rFonts w:hint="eastAsia" w:ascii="仿宋_GB2312" w:eastAsia="仿宋_GB2312"/>
          <w:color w:val="auto"/>
          <w:sz w:val="32"/>
          <w:szCs w:val="32"/>
          <w:highlight w:val="none"/>
          <w:lang w:val="en-US" w:eastAsia="zh-CN"/>
        </w:rPr>
        <w:t>:公务接待</w:t>
      </w:r>
      <w:r>
        <w:rPr>
          <w:rFonts w:hint="eastAsia" w:ascii="仿宋_GB2312" w:eastAsia="仿宋_GB2312"/>
          <w:color w:val="auto"/>
          <w:sz w:val="32"/>
          <w:szCs w:val="32"/>
          <w:highlight w:val="none"/>
          <w:lang w:val="zh-CN" w:eastAsia="zh-CN"/>
        </w:rPr>
        <w:t>费预算数和决算数无变化，预决算无差异。</w:t>
      </w:r>
    </w:p>
    <w:p w14:paraId="244CC31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078EFFF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2F77D55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41236E1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4CF84BB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7C31B36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56A9F0AD">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lang w:val="zh-CN"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中共沙湾市委政法委员会（行政单位和参照公务员法管理事业单位）机关运行经费支出40.50万元，</w:t>
      </w:r>
      <w:r>
        <w:rPr>
          <w:rFonts w:hint="eastAsia" w:ascii="仿宋_GB2312" w:hAnsi="仿宋_GB2312" w:eastAsia="仿宋_GB2312" w:cs="仿宋_GB2312"/>
          <w:color w:val="auto"/>
          <w:sz w:val="32"/>
          <w:szCs w:val="32"/>
          <w:highlight w:val="none"/>
          <w:lang w:val="zh-CN" w:eastAsia="zh-CN"/>
        </w:rPr>
        <w:t>比上年减少2.33万元，下降5.44%，主要原因是：</w:t>
      </w:r>
      <w:r>
        <w:rPr>
          <w:rFonts w:hint="eastAsia" w:ascii="仿宋_GB2312" w:hAnsi="仿宋_GB2312" w:eastAsia="仿宋_GB2312" w:cs="仿宋_GB2312"/>
          <w:color w:val="auto"/>
          <w:sz w:val="32"/>
          <w:szCs w:val="32"/>
          <w:highlight w:val="none"/>
          <w:lang w:val="en-US" w:eastAsia="zh-CN"/>
        </w:rPr>
        <w:t>本单位严格执行中央八项规定，严控不必要的开支，精简支出</w:t>
      </w:r>
      <w:r>
        <w:rPr>
          <w:rFonts w:hint="eastAsia" w:ascii="仿宋_GB2312" w:hAnsi="仿宋_GB2312" w:eastAsia="仿宋_GB2312" w:cs="仿宋_GB2312"/>
          <w:color w:val="auto"/>
          <w:sz w:val="32"/>
          <w:szCs w:val="32"/>
          <w:highlight w:val="none"/>
          <w:lang w:val="zh-CN" w:eastAsia="zh-CN"/>
        </w:rPr>
        <w:t>。</w:t>
      </w:r>
    </w:p>
    <w:p w14:paraId="589914A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259A536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17.52万元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其中：政府采购货物支出5.18万元、政府采购工程支出0.00万元、政府采购服务支出12.34万元。</w:t>
      </w:r>
    </w:p>
    <w:p w14:paraId="25FE292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授予中小企业合同金额17.52万元，占政府采购支出总额的100.00%，其中：授予小微企业合同金额17.52万元，占政府采购支出总额的100.00%</w:t>
      </w:r>
      <w:r>
        <w:rPr>
          <w:rFonts w:hint="eastAsia" w:ascii="仿宋_GB2312" w:hAnsi="仿宋_GB2312" w:eastAsia="仿宋_GB2312" w:cs="仿宋_GB2312"/>
          <w:color w:val="auto"/>
          <w:sz w:val="32"/>
          <w:szCs w:val="32"/>
          <w:highlight w:val="none"/>
          <w:lang w:val="en-US" w:eastAsia="zh-CN"/>
        </w:rPr>
        <w:t>。</w:t>
      </w:r>
    </w:p>
    <w:p w14:paraId="726F556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640EF32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3,883.20</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屋0.00平方米，价值0.00万元。车辆3辆，价值58.27万元，其中：副部（省）级及以上领导用车0辆、主要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用车0辆、其他用车3辆，其他用车主要是：办公业务保障用车；单价100万元（含）以上设备（不含车辆）3</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14:paraId="680D61A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674AEED4">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w:t>
      </w:r>
      <w:r>
        <w:rPr>
          <w:rFonts w:hint="eastAsia" w:ascii="仿宋_GB2312" w:eastAsia="仿宋_GB2312"/>
          <w:color w:val="auto"/>
          <w:spacing w:val="0"/>
          <w:sz w:val="32"/>
          <w:szCs w:val="32"/>
          <w:highlight w:val="none"/>
          <w:lang w:val="zh-CN" w:eastAsia="zh-CN"/>
        </w:rPr>
        <w:t>824.70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w:t>
      </w:r>
      <w:r>
        <w:rPr>
          <w:rFonts w:hint="eastAsia" w:ascii="仿宋_GB2312" w:eastAsia="仿宋_GB2312"/>
          <w:color w:val="auto"/>
          <w:spacing w:val="0"/>
          <w:sz w:val="32"/>
          <w:szCs w:val="32"/>
          <w:highlight w:val="none"/>
          <w:lang w:val="zh-CN" w:eastAsia="zh-CN"/>
        </w:rPr>
        <w:t>824.70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全年预算数254.14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全年执行数254.14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其中sm项目3</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全年预算数254.14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全年执行数254.14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,不予以公开。</w:t>
      </w:r>
    </w:p>
    <w:p w14:paraId="563FB48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预算绩效管理取得的成效：一是保障了单位35人的工资、社保、公积金及生活补助等支出的正常发放，提升沙湾市基层治理能力和为民服务能力；二是保障了政法委的正常运转，提高了政法委运转效能。保障了政法委按照年初计划如期推进，对于实施进度缓慢的项目，通过调度、约谈等方式推进项目建设和提高项目质量，以发挥资金使用效益。</w:t>
      </w:r>
    </w:p>
    <w:p w14:paraId="4BD9D6A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发现的问题及原因：一是资金使用效益需进一步提高。预算编制前根据年度内单位可预见的工作任务，确定了单位年度预算目标，细化了预算指标，但是在实际支付过程中，未严格按照预算指标执行。财政公用经费不足。如：预算的车辆运行维护费，不能满足实际公用车辆运行维护费支出；二是绩效目标设立需更加明确、细化和量化。由于对项目过程了解不够，对绩效目标设立不够清晰，量化程度与实际相脱节。不能有效反映项目实施过程中关键指标。</w:t>
      </w:r>
    </w:p>
    <w:p w14:paraId="63CD26B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下一步改进措施：一是高度重视财政预决算工作，加强预算的约束力。继续强化预算内资金和项目管理，加大各项推进力度，定期进行调度，确保各项工作早日完成，资金执行到位，对项目进行监督检查和绩效考核，并强化考核结果应有用；二是加强内部管理，严格执行预算，坚持厉行节约，进一步降低财政支出。加强项目绩效工作，将任务落实到具体项目，明确责任主体。加强各项资金绩效管理，做到专款专用，并发挥最大效益，促进基础工作目标的圆满完成。</w:t>
      </w:r>
    </w:p>
    <w:p w14:paraId="218473F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14:paraId="1D6B447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20BCEFB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w:t>
      </w:r>
      <w:r>
        <w:rPr>
          <w:rFonts w:hint="eastAsia" w:ascii="仿宋_GB2312" w:eastAsia="仿宋_GB2312"/>
          <w:color w:val="auto"/>
          <w:sz w:val="32"/>
          <w:szCs w:val="32"/>
          <w:highlight w:val="none"/>
          <w:lang w:val="en-US" w:eastAsia="zh-CN"/>
        </w:rPr>
        <w:t>sm项目3</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全年预算数254.14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全年执行数254.14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不予以公开。</w:t>
      </w:r>
      <w:bookmarkStart w:id="30" w:name="_Toc24143"/>
      <w:bookmarkStart w:id="31" w:name="_Toc3250"/>
    </w:p>
    <w:p w14:paraId="4003E833">
      <w:pPr>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br w:type="page"/>
      </w:r>
      <w:bookmarkStart w:id="48" w:name="_GoBack"/>
      <w:bookmarkEnd w:id="48"/>
    </w:p>
    <w:p w14:paraId="63EF8BB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332BFF9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5F5234F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527AAC9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39BD2AF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40D4F16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16883A7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29A2927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3DD1E4C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33AC0D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23B9786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6E9274F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13810E2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7C56747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320331A8">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04E772E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49CFC02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474BB7B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6B2218B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5C131B9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0C04B47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0656493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6C14239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0523E52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246B9FE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66A33CF7">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1BF75DC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6C32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2DF3491">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52DF3491">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VlZWRmZWIzNDBhZGIzOWVjNDlmZGRkNDZiYjFiODcifQ=="/>
    <w:docVar w:name="KSO_WPS_MARK_KEY" w:val="41ee2a61-2d54-4f93-83be-afdb9a40d732"/>
  </w:docVars>
  <w:rsids>
    <w:rsidRoot w:val="00000000"/>
    <w:rsid w:val="00213C59"/>
    <w:rsid w:val="003210CE"/>
    <w:rsid w:val="00B70D59"/>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464E2"/>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A6751C"/>
    <w:rsid w:val="12F7068C"/>
    <w:rsid w:val="14207DC0"/>
    <w:rsid w:val="14B932DA"/>
    <w:rsid w:val="150A66AF"/>
    <w:rsid w:val="154C1139"/>
    <w:rsid w:val="158C5B77"/>
    <w:rsid w:val="160D1149"/>
    <w:rsid w:val="163563C0"/>
    <w:rsid w:val="164315EF"/>
    <w:rsid w:val="16557DFE"/>
    <w:rsid w:val="167268FB"/>
    <w:rsid w:val="16770D0A"/>
    <w:rsid w:val="169A0039"/>
    <w:rsid w:val="16CB28A0"/>
    <w:rsid w:val="16D50C50"/>
    <w:rsid w:val="16E120E1"/>
    <w:rsid w:val="17385A05"/>
    <w:rsid w:val="173B3901"/>
    <w:rsid w:val="175B2C93"/>
    <w:rsid w:val="176747F9"/>
    <w:rsid w:val="17954A6E"/>
    <w:rsid w:val="17BE2C86"/>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2A2EFA"/>
    <w:rsid w:val="283A7FE5"/>
    <w:rsid w:val="285F51FF"/>
    <w:rsid w:val="28DA4193"/>
    <w:rsid w:val="28DF2665"/>
    <w:rsid w:val="29072599"/>
    <w:rsid w:val="291029F3"/>
    <w:rsid w:val="298A6F05"/>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5D772D"/>
    <w:rsid w:val="2FBF7029"/>
    <w:rsid w:val="2FD0187F"/>
    <w:rsid w:val="2FD27414"/>
    <w:rsid w:val="2FFE4BB0"/>
    <w:rsid w:val="300E7B60"/>
    <w:rsid w:val="300F6E18"/>
    <w:rsid w:val="30862F5F"/>
    <w:rsid w:val="30A4775A"/>
    <w:rsid w:val="314029C9"/>
    <w:rsid w:val="31C63837"/>
    <w:rsid w:val="31C82E39"/>
    <w:rsid w:val="31E33F73"/>
    <w:rsid w:val="32601BAD"/>
    <w:rsid w:val="329F6389"/>
    <w:rsid w:val="3389023A"/>
    <w:rsid w:val="33B44AAD"/>
    <w:rsid w:val="33CB74FA"/>
    <w:rsid w:val="343642F2"/>
    <w:rsid w:val="343F3010"/>
    <w:rsid w:val="345D0A00"/>
    <w:rsid w:val="34713BFD"/>
    <w:rsid w:val="34C13589"/>
    <w:rsid w:val="353369E3"/>
    <w:rsid w:val="355B5869"/>
    <w:rsid w:val="35B21E0B"/>
    <w:rsid w:val="35B85F29"/>
    <w:rsid w:val="35E00D72"/>
    <w:rsid w:val="36965B9D"/>
    <w:rsid w:val="36C549FD"/>
    <w:rsid w:val="37A755DD"/>
    <w:rsid w:val="37F33BFE"/>
    <w:rsid w:val="37F94FA0"/>
    <w:rsid w:val="380D3381"/>
    <w:rsid w:val="38115B1F"/>
    <w:rsid w:val="385E3AC3"/>
    <w:rsid w:val="387D6B9E"/>
    <w:rsid w:val="38B75FF0"/>
    <w:rsid w:val="38D45016"/>
    <w:rsid w:val="38D90432"/>
    <w:rsid w:val="38E276BC"/>
    <w:rsid w:val="3914510A"/>
    <w:rsid w:val="3926770B"/>
    <w:rsid w:val="3982065B"/>
    <w:rsid w:val="398D3668"/>
    <w:rsid w:val="39DA0497"/>
    <w:rsid w:val="3A893816"/>
    <w:rsid w:val="3A893B6D"/>
    <w:rsid w:val="3AAE00E3"/>
    <w:rsid w:val="3AD1763A"/>
    <w:rsid w:val="3B196883"/>
    <w:rsid w:val="3B6716E3"/>
    <w:rsid w:val="3B6C6B2D"/>
    <w:rsid w:val="3BEF3B11"/>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0C64049"/>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061D87"/>
    <w:rsid w:val="47445515"/>
    <w:rsid w:val="474B4782"/>
    <w:rsid w:val="479E5F5A"/>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B766F"/>
    <w:rsid w:val="4D0F4AF6"/>
    <w:rsid w:val="4D93102B"/>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37267"/>
    <w:rsid w:val="545A1D2A"/>
    <w:rsid w:val="54C811C0"/>
    <w:rsid w:val="556A442D"/>
    <w:rsid w:val="55DA564E"/>
    <w:rsid w:val="55E816A3"/>
    <w:rsid w:val="5604127D"/>
    <w:rsid w:val="56044E6C"/>
    <w:rsid w:val="56166703"/>
    <w:rsid w:val="56510474"/>
    <w:rsid w:val="567B3F5F"/>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473004"/>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879B3"/>
    <w:rsid w:val="6C4A2E5A"/>
    <w:rsid w:val="6C8138D0"/>
    <w:rsid w:val="6CED4FB5"/>
    <w:rsid w:val="6CEF0725"/>
    <w:rsid w:val="6D4B2604"/>
    <w:rsid w:val="6D77358F"/>
    <w:rsid w:val="6D8030E4"/>
    <w:rsid w:val="6DEB0FD8"/>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A25E0F"/>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8F3E93"/>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155C3F"/>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6111</Words>
  <Characters>6810</Characters>
  <Lines>0</Lines>
  <Paragraphs>0</Paragraphs>
  <TotalTime>2</TotalTime>
  <ScaleCrop>false</ScaleCrop>
  <LinksUpToDate>false</LinksUpToDate>
  <CharactersWithSpaces>6821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雯雯酱</cp:lastModifiedBy>
  <cp:lastPrinted>2024-09-19T09:56:00Z</cp:lastPrinted>
  <dcterms:modified xsi:type="dcterms:W3CDTF">2025-03-28T05:04:25Z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D624B15633CD43C8BF9435464A96BF70</vt:lpwstr>
  </property>
  <property fmtid="{D5CDD505-2E9C-101B-9397-08002B2CF9AE}" pid="4" name="KSOTemplateDocerSaveRecord">
    <vt:lpwstr>eyJoZGlkIjoiZDU4MmQ2ZWMyMDZlYzhmM2M0MmMwNGNmYmFiY2Q3YTQiLCJ1c2VySWQiOiI1Mzk1NTEzNjcifQ==</vt:lpwstr>
  </property>
</Properties>
</file>