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中共沙湾市委员会老干部局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1、研究和参与制定有关老干部工作的制度和办法。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2、组织老干部的政治学习、文件传阅、听重要报告、参加有关会议和政治活动，充分发挥他们在三个文明建设中的参谋作用。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3、督促各级党组织抓好老干部的组织生活，确保老干部的政治待遇不变。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4、热情接待老干部的来访，认真听取他们对老干部工作的意见和建议，对反映的热点、难点问题，及时向县委反映或提出建议。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5、管理好老干部活动室，保持整洁，组织老干部开展丰富多彩、形式多样的文体娱乐活动。管好车辆，合理用车，管好老干部公用经费，量入为出，按规定掌握使用。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6、负责离休干部体检和健康疗养工作，协助有关部门办理离休干部的丧葬和善后事宜。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深入实际，调查研究，经常同离退休干部取得联系，听取他们对老干部工作的意见，协助他们解决有关问题。进行走访和组织慰问活动，经常了解老干部的身体、学习和生活状况，督促落实好老干部的生活待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8、配合新闻和宣传部门，宣传老干部的历史功绩和现实作用，总结和表彰老干部工作做得好的先进单位和个人，表扬老干部在发挥作用中的好人好事。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9、组织好老干部工作、职工的政治、业务学习，不断提高为老干部服务的能力和水平，改进工作方法，提高服务质量，同时加强对老干部的教育和管理。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10、组织老干部参观工农业生产建设情况，引导老干部积极参与经济建设。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11、承办</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委交办的其他工作。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中共沙湾市委员会老干部局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hAnsi="仿宋" w:eastAsia="仿宋_GB2312"/>
          <w:sz w:val="32"/>
          <w:szCs w:val="32"/>
          <w:lang w:val="en-US" w:eastAsia="zh-CN"/>
        </w:rPr>
        <w:t>2</w:t>
      </w:r>
      <w:r>
        <w:rPr>
          <w:rFonts w:hint="eastAsia" w:ascii="仿宋_GB2312" w:hAnsi="黑体" w:eastAsia="仿宋_GB2312" w:cs="宋体"/>
          <w:bCs/>
          <w:color w:val="auto"/>
          <w:kern w:val="0"/>
          <w:sz w:val="32"/>
          <w:szCs w:val="32"/>
          <w:highlight w:val="none"/>
        </w:rPr>
        <w:t>个处室，分别是：</w:t>
      </w:r>
      <w:r>
        <w:rPr>
          <w:rFonts w:hint="eastAsia" w:ascii="仿宋_GB2312" w:hAnsi="仿宋" w:eastAsia="仿宋_GB2312"/>
          <w:sz w:val="32"/>
          <w:szCs w:val="32"/>
        </w:rPr>
        <w:t>办公室、活动中心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232.06万元，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232.06万元，使用非财政拨款结余0.00万元，年初结转和结余0.00万元。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232.06万元，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232.06万元，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增加24.91万元</w:t>
      </w:r>
      <w:r>
        <w:rPr>
          <w:rFonts w:hint="eastAsia" w:ascii="仿宋_GB2312" w:eastAsia="仿宋_GB2312"/>
          <w:color w:val="auto"/>
          <w:spacing w:val="0"/>
          <w:sz w:val="32"/>
          <w:szCs w:val="32"/>
          <w:highlight w:val="none"/>
          <w:lang w:eastAsia="zh-CN"/>
        </w:rPr>
        <w:t>，增长12.03%，主要原因是：</w:t>
      </w:r>
      <w:r>
        <w:rPr>
          <w:rFonts w:hint="eastAsia" w:ascii="仿宋_GB2312" w:eastAsia="仿宋_GB2312"/>
          <w:color w:val="auto"/>
          <w:spacing w:val="0"/>
          <w:sz w:val="32"/>
          <w:szCs w:val="32"/>
          <w:highlight w:val="none"/>
          <w:lang w:val="zh-CN" w:eastAsia="zh-CN"/>
        </w:rPr>
        <w:t>人员工资调增</w:t>
      </w:r>
      <w:r>
        <w:rPr>
          <w:rFonts w:hint="eastAsia" w:ascii="仿宋_GB2312" w:eastAsia="仿宋_GB2312"/>
          <w:color w:val="auto"/>
          <w:spacing w:val="0"/>
          <w:sz w:val="32"/>
          <w:szCs w:val="32"/>
          <w:highlight w:val="none"/>
          <w:lang w:eastAsia="zh-CN"/>
        </w:rPr>
        <w:t>、增发</w:t>
      </w:r>
      <w:r>
        <w:rPr>
          <w:rFonts w:hint="eastAsia" w:ascii="仿宋_GB2312" w:eastAsia="仿宋_GB2312"/>
          <w:color w:val="auto"/>
          <w:spacing w:val="0"/>
          <w:sz w:val="32"/>
          <w:szCs w:val="32"/>
          <w:highlight w:val="none"/>
          <w:lang w:val="en-US" w:eastAsia="zh-CN"/>
        </w:rPr>
        <w:t>绩效奖和职业年金，</w:t>
      </w:r>
      <w:r>
        <w:rPr>
          <w:rFonts w:hint="eastAsia" w:ascii="仿宋_GB2312" w:eastAsia="仿宋_GB2312"/>
          <w:color w:val="auto"/>
          <w:spacing w:val="0"/>
          <w:sz w:val="32"/>
          <w:szCs w:val="32"/>
          <w:highlight w:val="none"/>
          <w:lang w:eastAsia="zh-CN"/>
        </w:rPr>
        <w:t>增加了日常保障支出和工会经费支出。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232.06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232.06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本年支出232.06万元，其中：基本支出232.06万元，占100.00%；项目支出0.00万元，占0.00%；上缴上级支出0.00万元，占0.00%；经营支出0.00万元，占0.00%；对附属单位补助支出0.00万元，占0.00%。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232.06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232.06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232.06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232.06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增加24.91万元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zh-CN" w:eastAsia="zh-CN"/>
        </w:rPr>
        <w:t>人员工资调增</w:t>
      </w:r>
      <w:r>
        <w:rPr>
          <w:rFonts w:hint="eastAsia" w:ascii="仿宋_GB2312" w:eastAsia="仿宋_GB2312"/>
          <w:color w:val="auto"/>
          <w:spacing w:val="0"/>
          <w:sz w:val="32"/>
          <w:szCs w:val="32"/>
          <w:highlight w:val="none"/>
          <w:lang w:eastAsia="zh-CN"/>
        </w:rPr>
        <w:t>、增发</w:t>
      </w:r>
      <w:r>
        <w:rPr>
          <w:rFonts w:hint="eastAsia" w:ascii="仿宋_GB2312" w:eastAsia="仿宋_GB2312"/>
          <w:color w:val="auto"/>
          <w:spacing w:val="0"/>
          <w:sz w:val="32"/>
          <w:szCs w:val="32"/>
          <w:highlight w:val="none"/>
          <w:lang w:val="en-US" w:eastAsia="zh-CN"/>
        </w:rPr>
        <w:t>绩效奖和职业年金，</w:t>
      </w:r>
      <w:r>
        <w:rPr>
          <w:rFonts w:hint="eastAsia" w:ascii="仿宋_GB2312" w:eastAsia="仿宋_GB2312"/>
          <w:color w:val="auto"/>
          <w:spacing w:val="0"/>
          <w:sz w:val="32"/>
          <w:szCs w:val="32"/>
          <w:highlight w:val="none"/>
          <w:lang w:eastAsia="zh-CN"/>
        </w:rPr>
        <w:t>增加了日常保障</w:t>
      </w:r>
      <w:r>
        <w:rPr>
          <w:rFonts w:hint="eastAsia" w:ascii="仿宋_GB2312" w:eastAsia="仿宋_GB2312"/>
          <w:color w:val="auto"/>
          <w:spacing w:val="0"/>
          <w:sz w:val="32"/>
          <w:szCs w:val="32"/>
          <w:highlight w:val="none"/>
          <w:lang w:val="en-US" w:eastAsia="zh-CN"/>
        </w:rPr>
        <w:t>工作</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186.64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232.06</w:t>
      </w:r>
      <w:r>
        <w:rPr>
          <w:rFonts w:hint="eastAsia" w:ascii="仿宋_GB2312" w:eastAsia="仿宋_GB2312"/>
          <w:color w:val="auto"/>
          <w:spacing w:val="0"/>
          <w:sz w:val="32"/>
          <w:szCs w:val="32"/>
          <w:highlight w:val="none"/>
          <w:lang w:eastAsia="zh-CN"/>
        </w:rPr>
        <w:t>万元，预决算差异率24.34%，主要原因是：</w:t>
      </w:r>
      <w:r>
        <w:rPr>
          <w:rFonts w:hint="eastAsia" w:ascii="仿宋_GB2312" w:eastAsia="仿宋_GB2312"/>
          <w:color w:val="auto"/>
          <w:spacing w:val="0"/>
          <w:sz w:val="32"/>
          <w:szCs w:val="32"/>
          <w:highlight w:val="none"/>
          <w:lang w:val="zh-CN" w:eastAsia="zh-CN"/>
        </w:rPr>
        <w:t>人员工资基数调增</w:t>
      </w:r>
      <w:r>
        <w:rPr>
          <w:rFonts w:hint="eastAsia" w:ascii="仿宋_GB2312" w:eastAsia="仿宋_GB2312"/>
          <w:color w:val="auto"/>
          <w:spacing w:val="0"/>
          <w:sz w:val="32"/>
          <w:szCs w:val="32"/>
          <w:highlight w:val="none"/>
          <w:lang w:eastAsia="zh-CN"/>
        </w:rPr>
        <w:t>、增发绩效奖及</w:t>
      </w:r>
      <w:r>
        <w:rPr>
          <w:rFonts w:hint="eastAsia" w:ascii="仿宋_GB2312" w:eastAsia="仿宋_GB2312"/>
          <w:color w:val="auto"/>
          <w:spacing w:val="0"/>
          <w:sz w:val="32"/>
          <w:szCs w:val="32"/>
          <w:highlight w:val="none"/>
          <w:lang w:val="en-US" w:eastAsia="zh-CN"/>
        </w:rPr>
        <w:t>年度考核奖、追加退休2人职业年金、追加企业离休人员2022年-2023年两年基础绩效奖</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FF0000"/>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2023年度一般公共预算财政拨款支出232.06万元，占本年支出合计的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增加24.91万元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zh-CN" w:eastAsia="zh-CN"/>
        </w:rPr>
        <w:t>人员工资调增</w:t>
      </w:r>
      <w:r>
        <w:rPr>
          <w:rFonts w:hint="eastAsia" w:ascii="仿宋_GB2312" w:eastAsia="仿宋_GB2312"/>
          <w:color w:val="auto"/>
          <w:spacing w:val="0"/>
          <w:sz w:val="32"/>
          <w:szCs w:val="32"/>
          <w:highlight w:val="none"/>
          <w:lang w:eastAsia="zh-CN"/>
        </w:rPr>
        <w:t>、增发</w:t>
      </w:r>
      <w:r>
        <w:rPr>
          <w:rFonts w:hint="eastAsia" w:ascii="仿宋_GB2312" w:eastAsia="仿宋_GB2312"/>
          <w:color w:val="auto"/>
          <w:spacing w:val="0"/>
          <w:sz w:val="32"/>
          <w:szCs w:val="32"/>
          <w:highlight w:val="none"/>
          <w:lang w:val="en-US" w:eastAsia="zh-CN"/>
        </w:rPr>
        <w:t>绩效奖和职业年金，</w:t>
      </w:r>
      <w:r>
        <w:rPr>
          <w:rFonts w:hint="eastAsia" w:ascii="仿宋_GB2312" w:eastAsia="仿宋_GB2312"/>
          <w:color w:val="auto"/>
          <w:spacing w:val="0"/>
          <w:sz w:val="32"/>
          <w:szCs w:val="32"/>
          <w:highlight w:val="none"/>
          <w:lang w:eastAsia="zh-CN"/>
        </w:rPr>
        <w:t>增加了日常保障支出和工会经费支出。与年初预算相比，年初预算数</w:t>
      </w:r>
      <w:r>
        <w:rPr>
          <w:rFonts w:hint="eastAsia" w:ascii="仿宋_GB2312" w:eastAsia="仿宋_GB2312"/>
          <w:color w:val="auto"/>
          <w:spacing w:val="0"/>
          <w:sz w:val="32"/>
          <w:szCs w:val="32"/>
          <w:highlight w:val="none"/>
          <w:lang w:val="zh-CN" w:eastAsia="zh-CN"/>
        </w:rPr>
        <w:t>186.64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232.06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24.34%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zh-CN" w:eastAsia="zh-CN"/>
        </w:rPr>
        <w:t>人员工资基数调增</w:t>
      </w:r>
      <w:r>
        <w:rPr>
          <w:rFonts w:hint="eastAsia" w:ascii="仿宋_GB2312" w:eastAsia="仿宋_GB2312"/>
          <w:color w:val="auto"/>
          <w:spacing w:val="0"/>
          <w:sz w:val="32"/>
          <w:szCs w:val="32"/>
          <w:highlight w:val="none"/>
          <w:lang w:eastAsia="zh-CN"/>
        </w:rPr>
        <w:t>、增发绩效奖及</w:t>
      </w:r>
      <w:r>
        <w:rPr>
          <w:rFonts w:hint="eastAsia" w:ascii="仿宋_GB2312" w:eastAsia="仿宋_GB2312"/>
          <w:color w:val="auto"/>
          <w:spacing w:val="0"/>
          <w:sz w:val="32"/>
          <w:szCs w:val="32"/>
          <w:highlight w:val="none"/>
          <w:lang w:val="en-US" w:eastAsia="zh-CN"/>
        </w:rPr>
        <w:t>年度考核奖、追加退休2人职业年金、追加企业离休人员2022年-2023年两年基础绩效奖</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211.67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91.21%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3.58%</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3.住房保障支出（类）</w:t>
      </w:r>
      <w:r>
        <w:rPr>
          <w:rFonts w:hint="eastAsia" w:ascii="仿宋_GB2312" w:hAnsi="Times New Roman" w:eastAsia="仿宋_GB2312" w:cs="Times New Roman"/>
          <w:color w:val="auto"/>
          <w:spacing w:val="0"/>
          <w:kern w:val="2"/>
          <w:sz w:val="32"/>
          <w:szCs w:val="32"/>
          <w:highlight w:val="none"/>
          <w:lang w:val="zh-CN" w:eastAsia="zh-CN" w:bidi="ar-SA"/>
        </w:rPr>
        <w:t>12.08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5.21%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1.卫生健康支出（类）行政事业单位医疗（款）行政单位医疗（项）:支出决算数为3.93万元，比上年决算减少2.19万元，下降35.78%，主要原因是：退休人员基本医疗保险单位缴费部分收回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2.卫生健康支出（类）行政事业单位医疗（款）事业单位医疗（项）:支出决算数为3.39万元，比上年决算增加0.53万元，增长18.53%，主要原因是：</w:t>
      </w:r>
      <w:r>
        <w:rPr>
          <w:rFonts w:hint="eastAsia" w:ascii="仿宋_GB2312" w:hAnsi="仿宋_GB2312" w:eastAsia="仿宋_GB2312" w:cs="仿宋_GB2312"/>
          <w:color w:val="auto"/>
          <w:kern w:val="2"/>
          <w:sz w:val="32"/>
          <w:szCs w:val="32"/>
          <w:highlight w:val="none"/>
          <w:lang w:val="zh-CN" w:eastAsia="zh-CN" w:bidi="ar-SA"/>
        </w:rPr>
        <w:t>社保缴费基数调增。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3.卫生健康支出（类）行政事业单位医疗（款）公务员医疗补助（项）:支出决算数为0.99万元，比上年决算减少1.28万元，下降56.39%，主要原因是：退休人员公务员医疗保险单位缴费部分收回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4.住房保障支出（类）住房改革支出（款）住房公积金（项）:支出决算数为12.08万元，比上年决算增加0.77万元，增长6.81%，主要原因是：</w:t>
      </w:r>
      <w:r>
        <w:rPr>
          <w:rFonts w:hint="eastAsia" w:ascii="仿宋_GB2312" w:hAnsi="仿宋_GB2312" w:eastAsia="仿宋_GB2312" w:cs="仿宋_GB2312"/>
          <w:color w:val="auto"/>
          <w:kern w:val="2"/>
          <w:sz w:val="32"/>
          <w:szCs w:val="32"/>
          <w:highlight w:val="none"/>
          <w:lang w:val="zh-CN" w:eastAsia="zh-CN" w:bidi="ar-SA"/>
        </w:rPr>
        <w:t>在职人员住房公积金缴费基数调增。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5.社会保障和就业支出（类）行政事业单位养老支出（款）离退休人员管理机构（项）:支出决算数为181.13万元，比上年决算增加16.71万元，增长10.16%，主要原因是：</w:t>
      </w:r>
      <w:r>
        <w:rPr>
          <w:rFonts w:hint="eastAsia" w:ascii="仿宋_GB2312" w:eastAsia="仿宋_GB2312"/>
          <w:color w:val="auto"/>
          <w:spacing w:val="0"/>
          <w:sz w:val="32"/>
          <w:szCs w:val="32"/>
          <w:highlight w:val="none"/>
          <w:lang w:val="zh-CN" w:eastAsia="zh-CN"/>
        </w:rPr>
        <w:t>人员工资调增</w:t>
      </w:r>
      <w:r>
        <w:rPr>
          <w:rFonts w:hint="eastAsia" w:ascii="仿宋_GB2312" w:eastAsia="仿宋_GB2312"/>
          <w:color w:val="auto"/>
          <w:spacing w:val="0"/>
          <w:sz w:val="32"/>
          <w:szCs w:val="32"/>
          <w:highlight w:val="none"/>
          <w:lang w:eastAsia="zh-CN"/>
        </w:rPr>
        <w:t>、增发</w:t>
      </w:r>
      <w:r>
        <w:rPr>
          <w:rFonts w:hint="eastAsia" w:ascii="仿宋_GB2312" w:eastAsia="仿宋_GB2312"/>
          <w:color w:val="auto"/>
          <w:spacing w:val="0"/>
          <w:sz w:val="32"/>
          <w:szCs w:val="32"/>
          <w:highlight w:val="none"/>
          <w:lang w:val="en-US" w:eastAsia="zh-CN"/>
        </w:rPr>
        <w:t>绩效奖，</w:t>
      </w:r>
      <w:r>
        <w:rPr>
          <w:rFonts w:hint="eastAsia" w:ascii="仿宋_GB2312" w:eastAsia="仿宋_GB2312"/>
          <w:color w:val="auto"/>
          <w:spacing w:val="0"/>
          <w:sz w:val="32"/>
          <w:szCs w:val="32"/>
          <w:highlight w:val="none"/>
          <w:lang w:eastAsia="zh-CN"/>
        </w:rPr>
        <w:t>增加了日常保障支出和工会经费支出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6.社会保障和就业支出（类）行政事业单位养老支出（款）事业单位离退休（项）:支出决算数为0.51万元，比上年决算增加0.51万元，增长100%，主要原因是：新增</w:t>
      </w:r>
      <w:r>
        <w:rPr>
          <w:rFonts w:hint="eastAsia" w:ascii="仿宋_GB2312" w:hAnsi="仿宋_GB2312" w:eastAsia="仿宋_GB2312" w:cs="仿宋_GB2312"/>
          <w:color w:val="auto"/>
          <w:kern w:val="2"/>
          <w:sz w:val="32"/>
          <w:szCs w:val="32"/>
          <w:highlight w:val="none"/>
          <w:lang w:val="zh-CN" w:eastAsia="zh-CN" w:bidi="ar-SA"/>
        </w:rPr>
        <w:t>事业退休人员。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7.社会保障和就业支出（类）行政事业单位养老支出（款）行政单位离退休（项）:支出决算数为3.01万元，比上年决算增加1.19万元，增长65.38%，主要原因是：</w:t>
      </w:r>
      <w:r>
        <w:rPr>
          <w:rFonts w:hint="eastAsia" w:ascii="仿宋_GB2312" w:hAnsi="仿宋_GB2312" w:eastAsia="仿宋_GB2312" w:cs="仿宋_GB2312"/>
          <w:color w:val="auto"/>
          <w:kern w:val="2"/>
          <w:sz w:val="32"/>
          <w:szCs w:val="32"/>
          <w:highlight w:val="none"/>
          <w:lang w:val="zh-CN" w:eastAsia="zh-CN" w:bidi="ar-SA"/>
        </w:rPr>
        <w:t>退休人员绩效工资增加。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8.社会保障和就业支出（类）行政事业单位养老支出（款）机关事业单位职业年金缴费支出（项）:支出决算数为11.85万元，比上年决算增加6.28万元，增长112.75%，主要原因是：</w:t>
      </w:r>
      <w:r>
        <w:rPr>
          <w:rFonts w:hint="eastAsia" w:ascii="仿宋_GB2312" w:hAnsi="仿宋_GB2312" w:eastAsia="仿宋_GB2312" w:cs="仿宋_GB2312"/>
          <w:color w:val="auto"/>
          <w:kern w:val="2"/>
          <w:sz w:val="32"/>
          <w:szCs w:val="32"/>
          <w:highlight w:val="none"/>
          <w:lang w:val="zh-CN" w:eastAsia="zh-CN" w:bidi="ar-SA"/>
        </w:rPr>
        <w:t>退休人员增加，增拨职业年金缴费支出。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9.社会保障和就业支出（类）行政事业单位养老支出（款）机关事业单位基本养老保险缴费支出（项）:支出决算数为15.17万元，比上年决算增加2.38万元，增长18.61%，主要原因是：基本养老保险缴费</w:t>
      </w:r>
      <w:r>
        <w:rPr>
          <w:rFonts w:hint="eastAsia" w:ascii="仿宋_GB2312" w:hAnsi="仿宋_GB2312" w:eastAsia="仿宋_GB2312" w:cs="仿宋_GB2312"/>
          <w:color w:val="auto"/>
          <w:kern w:val="2"/>
          <w:sz w:val="32"/>
          <w:szCs w:val="32"/>
          <w:highlight w:val="none"/>
          <w:lang w:val="zh-CN" w:eastAsia="zh-CN" w:bidi="ar-SA"/>
        </w:rPr>
        <w:t>基数调增。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232.06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212.03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20.03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办公费、取暖费、差旅费、劳务费、工会经费、公务用车运行维护费、其他商品和服务支出</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“三公”经费支出0.74万元，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减少0.40万元，</w:t>
      </w:r>
      <w:r>
        <w:rPr>
          <w:rFonts w:hint="eastAsia" w:ascii="仿宋_GB2312" w:eastAsia="仿宋_GB2312"/>
          <w:color w:val="auto"/>
          <w:spacing w:val="0"/>
          <w:sz w:val="32"/>
          <w:szCs w:val="32"/>
          <w:highlight w:val="none"/>
          <w:lang w:val="en-US" w:eastAsia="zh-CN"/>
        </w:rPr>
        <w:t>下降35.09%,</w:t>
      </w:r>
      <w:r>
        <w:rPr>
          <w:rFonts w:hint="eastAsia" w:ascii="仿宋_GB2312" w:eastAsia="仿宋_GB2312"/>
          <w:color w:val="auto"/>
          <w:sz w:val="32"/>
          <w:szCs w:val="32"/>
          <w:highlight w:val="none"/>
          <w:lang w:val="zh-CN" w:eastAsia="zh-CN"/>
        </w:rPr>
        <w:t>主要原因是：单位</w:t>
      </w:r>
      <w:r>
        <w:rPr>
          <w:rFonts w:hint="eastAsia" w:ascii="仿宋_GB2312" w:eastAsia="仿宋_GB2312"/>
          <w:color w:val="auto"/>
          <w:sz w:val="32"/>
          <w:szCs w:val="32"/>
          <w:highlight w:val="none"/>
          <w:lang w:val="en-US" w:eastAsia="zh-CN"/>
        </w:rPr>
        <w:t>公务用车</w:t>
      </w:r>
      <w:r>
        <w:rPr>
          <w:rFonts w:hint="eastAsia" w:ascii="仿宋_GB2312" w:eastAsia="仿宋_GB2312"/>
          <w:color w:val="auto"/>
          <w:sz w:val="32"/>
          <w:szCs w:val="32"/>
          <w:highlight w:val="none"/>
          <w:lang w:val="zh-CN" w:eastAsia="zh-CN"/>
        </w:rPr>
        <w:t>上交机关事务管理局统一管理，</w:t>
      </w:r>
      <w:r>
        <w:rPr>
          <w:rFonts w:hint="eastAsia" w:ascii="仿宋_GB2312" w:eastAsia="仿宋_GB2312"/>
          <w:color w:val="auto"/>
          <w:sz w:val="32"/>
          <w:szCs w:val="32"/>
          <w:highlight w:val="none"/>
          <w:lang w:val="en-US" w:eastAsia="zh-CN"/>
        </w:rPr>
        <w:t>车辆维修费用减少</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主要原因是：没有安排因公出国（境）费支出；公务用车购置及运行维护费支出0.74万元，占100.00%，比上年减少0.40万元，</w:t>
      </w:r>
      <w:r>
        <w:rPr>
          <w:rFonts w:hint="eastAsia" w:ascii="仿宋_GB2312" w:eastAsia="仿宋_GB2312"/>
          <w:color w:val="auto"/>
          <w:spacing w:val="0"/>
          <w:sz w:val="32"/>
          <w:szCs w:val="32"/>
          <w:highlight w:val="none"/>
          <w:lang w:val="en-US" w:eastAsia="zh-CN"/>
        </w:rPr>
        <w:t>下降35.09%,</w:t>
      </w:r>
      <w:r>
        <w:rPr>
          <w:rFonts w:hint="eastAsia" w:ascii="仿宋_GB2312" w:eastAsia="仿宋_GB2312"/>
          <w:color w:val="auto"/>
          <w:sz w:val="32"/>
          <w:szCs w:val="32"/>
          <w:highlight w:val="none"/>
          <w:lang w:val="zh-CN" w:eastAsia="zh-CN"/>
        </w:rPr>
        <w:t>主要原因是：单位</w:t>
      </w:r>
      <w:r>
        <w:rPr>
          <w:rFonts w:hint="eastAsia" w:ascii="仿宋_GB2312" w:eastAsia="仿宋_GB2312"/>
          <w:color w:val="auto"/>
          <w:sz w:val="32"/>
          <w:szCs w:val="32"/>
          <w:highlight w:val="none"/>
          <w:lang w:val="en-US" w:eastAsia="zh-CN"/>
        </w:rPr>
        <w:t>公务用车</w:t>
      </w:r>
      <w:r>
        <w:rPr>
          <w:rFonts w:hint="eastAsia" w:ascii="仿宋_GB2312" w:eastAsia="仿宋_GB2312"/>
          <w:color w:val="auto"/>
          <w:sz w:val="32"/>
          <w:szCs w:val="32"/>
          <w:highlight w:val="none"/>
          <w:lang w:val="zh-CN" w:eastAsia="zh-CN"/>
        </w:rPr>
        <w:t>上交机关事务管理局统一管理，</w:t>
      </w:r>
      <w:r>
        <w:rPr>
          <w:rFonts w:hint="eastAsia" w:ascii="仿宋_GB2312" w:eastAsia="仿宋_GB2312"/>
          <w:color w:val="auto"/>
          <w:sz w:val="32"/>
          <w:szCs w:val="32"/>
          <w:highlight w:val="none"/>
          <w:lang w:val="en-US" w:eastAsia="zh-CN"/>
        </w:rPr>
        <w:t>车辆维修费用减少</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主要原因是：没有安排公务接待费支出。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因公出国（境）费支出0.00万元，开支内容包括没有安排因公出国（境）费支出。单位全年安排的因公出国（境）团组0个，因公出国（境）0人次。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公务用车购置及运行维护费0.74万元，其中：公务用车购置费0.00万元，公务用车运行维护费0.74万元。公务用车运行维护费开支内容包括车辆加油</w:t>
      </w:r>
      <w:r>
        <w:rPr>
          <w:rFonts w:hint="eastAsia" w:ascii="仿宋_GB2312" w:eastAsia="仿宋_GB2312"/>
          <w:color w:val="auto"/>
          <w:sz w:val="32"/>
          <w:szCs w:val="32"/>
          <w:highlight w:val="none"/>
          <w:lang w:val="en-US" w:eastAsia="zh-CN"/>
        </w:rPr>
        <w:t>费</w:t>
      </w:r>
      <w:r>
        <w:rPr>
          <w:rFonts w:hint="eastAsia" w:ascii="仿宋_GB2312" w:eastAsia="仿宋_GB2312"/>
          <w:color w:val="auto"/>
          <w:sz w:val="32"/>
          <w:szCs w:val="32"/>
          <w:highlight w:val="none"/>
          <w:lang w:val="zh-CN" w:eastAsia="zh-CN"/>
        </w:rPr>
        <w:t>、车辆过路费等。公务用车购置数0辆，公务用车保有量1辆。国有资产占用情况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公务接待费0.00万元，开支内容包括没有安排公务接待费支出。单位全年安排的国内公务接待0批次，0人次。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预算数0.74万元，决算数0.74万元，预决算差异率0.00%，主要原因是：严格执行预算。其中：因公出国（境）费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0.00万元，决算数0.00万元，预决算差异率0.00%，主要原因是：没有安排因公出国（境）费支出；公务用车购置费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预算数0.00万元，决算数0.00万元，预决算差异率0.00%，主要原因是：没有安排公务用车购置费支出；公务用车运行费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预算数0.74万元，决算数0.74万元，预决算差异率0.00%，主要原因是：严格执行预算；公务接待费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预算数0.00万元，决算数0.00万元，预决算差异率0.00%，主要原因是：没有安排公务接待费支出。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中共沙湾市委员会老干部局（行政单位和参照公务员法管理事业单位）机关运行经费支出20.03万元，</w:t>
      </w:r>
      <w:r>
        <w:rPr>
          <w:rFonts w:hint="eastAsia" w:ascii="仿宋_GB2312" w:hAnsi="仿宋_GB2312" w:eastAsia="仿宋_GB2312" w:cs="仿宋_GB2312"/>
          <w:color w:val="auto"/>
          <w:sz w:val="32"/>
          <w:szCs w:val="32"/>
          <w:highlight w:val="none"/>
          <w:lang w:val="zh-CN" w:eastAsia="zh-CN"/>
        </w:rPr>
        <w:t>比上年增加2.40万元，增长13.61%，主要原因是：</w:t>
      </w:r>
      <w:r>
        <w:rPr>
          <w:rFonts w:hint="eastAsia" w:ascii="仿宋_GB2312" w:eastAsia="仿宋_GB2312"/>
          <w:color w:val="auto"/>
          <w:spacing w:val="0"/>
          <w:sz w:val="32"/>
          <w:szCs w:val="32"/>
          <w:highlight w:val="none"/>
          <w:lang w:eastAsia="zh-CN"/>
        </w:rPr>
        <w:t>增加了日常保障支出和工会经费支出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4.54万元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其中：政府采购货物支出4.54万元、政府采购工程支出0.00万元、政府采购服务支出0.00万元。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授予中小企业合同金额4.54万元，占政府采购支出总额的100.00%，其中：授予小微企业合同金额4.54万元，占政府采购支出总额的100.00%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140.18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屋0.00平方米，价值0.00万元。车辆1辆，价值12.59万元，其中：副部（省）级及以上领导用车0辆、主要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hAnsi="仿宋_GB2312" w:eastAsia="仿宋_GB2312" w:cs="仿宋_GB2312"/>
          <w:color w:val="auto"/>
          <w:sz w:val="32"/>
          <w:szCs w:val="32"/>
          <w:highlight w:val="none"/>
          <w:lang w:val="en-US" w:eastAsia="zh-CN"/>
        </w:rPr>
        <w:t>单位业务</w:t>
      </w:r>
      <w:bookmarkStart w:id="48" w:name="_GoBack"/>
      <w:bookmarkEnd w:id="48"/>
      <w:r>
        <w:rPr>
          <w:rFonts w:hint="eastAsia" w:ascii="仿宋_GB2312" w:hAnsi="仿宋_GB2312" w:eastAsia="仿宋_GB2312" w:cs="仿宋_GB2312"/>
          <w:color w:val="auto"/>
          <w:sz w:val="32"/>
          <w:szCs w:val="32"/>
          <w:highlight w:val="none"/>
          <w:lang w:val="zh-CN" w:eastAsia="zh-CN"/>
        </w:rPr>
        <w:t>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hAnsi="Times New Roman" w:eastAsia="仿宋_GB2312" w:cs="Times New Roman"/>
          <w:color w:val="auto"/>
          <w:sz w:val="32"/>
          <w:szCs w:val="32"/>
          <w:highlight w:val="none"/>
          <w:lang w:val="en-US" w:eastAsia="zh-CN"/>
        </w:rPr>
        <w:t>单位</w:t>
      </w:r>
      <w:r>
        <w:rPr>
          <w:rFonts w:hint="eastAsia" w:ascii="仿宋_GB2312" w:hAnsi="Times New Roman" w:eastAsia="仿宋_GB2312" w:cs="Times New Roman"/>
          <w:color w:val="auto"/>
          <w:sz w:val="32"/>
          <w:szCs w:val="32"/>
          <w:highlight w:val="none"/>
          <w:lang w:eastAsia="zh-CN"/>
        </w:rPr>
        <w:t>2023年度预算绩效管理整体</w:t>
      </w:r>
      <w:r>
        <w:rPr>
          <w:rFonts w:hint="eastAsia" w:ascii="仿宋_GB2312" w:hAnsi="Times New Roman" w:eastAsia="仿宋_GB2312" w:cs="Times New Roman"/>
          <w:color w:val="auto"/>
          <w:sz w:val="32"/>
          <w:szCs w:val="32"/>
          <w:highlight w:val="none"/>
          <w:lang w:val="en-US" w:eastAsia="zh-CN"/>
        </w:rPr>
        <w:t>支出</w:t>
      </w:r>
      <w:r>
        <w:rPr>
          <w:rFonts w:hint="eastAsia" w:ascii="仿宋_GB2312" w:hAnsi="Times New Roman" w:eastAsia="仿宋_GB2312" w:cs="Times New Roman"/>
          <w:color w:val="auto"/>
          <w:sz w:val="32"/>
          <w:szCs w:val="32"/>
          <w:highlight w:val="none"/>
          <w:lang w:eastAsia="zh-CN"/>
        </w:rPr>
        <w:t>绩效自评表</w:t>
      </w:r>
      <w:r>
        <w:rPr>
          <w:rFonts w:hint="eastAsia" w:ascii="仿宋_GB2312" w:hAnsi="Times New Roman" w:eastAsia="仿宋_GB2312" w:cs="Times New Roman"/>
          <w:color w:val="auto"/>
          <w:sz w:val="32"/>
          <w:szCs w:val="32"/>
          <w:highlight w:val="none"/>
          <w:lang w:val="en-US" w:eastAsia="zh-CN"/>
        </w:rPr>
        <w:t>1个，全年预算总额232.06</w:t>
      </w:r>
      <w:r>
        <w:rPr>
          <w:rFonts w:hint="eastAsia" w:ascii="仿宋_GB2312" w:hAnsi="Times New Roman" w:eastAsia="仿宋_GB2312" w:cs="Times New Roman"/>
          <w:color w:val="auto"/>
          <w:sz w:val="32"/>
          <w:szCs w:val="32"/>
          <w:highlight w:val="none"/>
          <w:lang w:eastAsia="zh-CN"/>
        </w:rPr>
        <w:t>万元，</w:t>
      </w:r>
      <w:r>
        <w:rPr>
          <w:rFonts w:hint="eastAsia" w:ascii="仿宋_GB2312" w:hAnsi="Times New Roman" w:eastAsia="仿宋_GB2312" w:cs="Times New Roman"/>
          <w:color w:val="auto"/>
          <w:sz w:val="32"/>
          <w:szCs w:val="32"/>
          <w:highlight w:val="none"/>
          <w:lang w:val="en-US" w:eastAsia="zh-CN"/>
        </w:rPr>
        <w:t>实际执行总额232.06</w:t>
      </w:r>
      <w:r>
        <w:rPr>
          <w:rFonts w:hint="eastAsia" w:ascii="仿宋_GB2312" w:hAnsi="Times New Roman" w:eastAsia="仿宋_GB2312" w:cs="Times New Roman"/>
          <w:color w:val="auto"/>
          <w:sz w:val="32"/>
          <w:szCs w:val="32"/>
          <w:highlight w:val="none"/>
          <w:lang w:eastAsia="zh-CN"/>
        </w:rPr>
        <w:t>万元</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eastAsia="zh-CN"/>
        </w:rPr>
        <w:t>预算绩效评价项目</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个，</w:t>
      </w:r>
      <w:r>
        <w:rPr>
          <w:rFonts w:hint="eastAsia" w:ascii="仿宋_GB2312" w:hAnsi="Times New Roman" w:eastAsia="仿宋_GB2312" w:cs="Times New Roman"/>
          <w:color w:val="auto"/>
          <w:sz w:val="32"/>
          <w:szCs w:val="32"/>
          <w:highlight w:val="none"/>
          <w:lang w:val="en-US" w:eastAsia="zh-CN"/>
        </w:rPr>
        <w:t>全年预算数0</w:t>
      </w:r>
      <w:r>
        <w:rPr>
          <w:rFonts w:hint="eastAsia" w:ascii="仿宋_GB2312" w:hAnsi="Times New Roman" w:eastAsia="仿宋_GB2312" w:cs="Times New Roman"/>
          <w:color w:val="auto"/>
          <w:sz w:val="32"/>
          <w:szCs w:val="32"/>
          <w:highlight w:val="none"/>
          <w:lang w:eastAsia="zh-CN"/>
        </w:rPr>
        <w:t>万元，</w:t>
      </w:r>
      <w:r>
        <w:rPr>
          <w:rFonts w:hint="eastAsia" w:ascii="仿宋_GB2312" w:hAnsi="Times New Roman" w:eastAsia="仿宋_GB2312" w:cs="Times New Roman"/>
          <w:color w:val="auto"/>
          <w:sz w:val="32"/>
          <w:szCs w:val="32"/>
          <w:highlight w:val="none"/>
          <w:lang w:val="en-US" w:eastAsia="zh-CN"/>
        </w:rPr>
        <w:t>全年执行数0</w:t>
      </w:r>
      <w:r>
        <w:rPr>
          <w:rFonts w:hint="eastAsia" w:ascii="仿宋_GB2312" w:hAnsi="Times New Roman" w:eastAsia="仿宋_GB2312" w:cs="Times New Roman"/>
          <w:color w:val="auto"/>
          <w:sz w:val="32"/>
          <w:szCs w:val="32"/>
          <w:highlight w:val="none"/>
          <w:lang w:eastAsia="zh-CN"/>
        </w:rPr>
        <w:t>万元。预算绩效管理取得的成效：一是有效提高了本单位高效</w:t>
      </w:r>
      <w:r>
        <w:rPr>
          <w:rFonts w:hint="eastAsia" w:ascii="仿宋_GB2312" w:eastAsia="仿宋_GB2312" w:cs="Times New Roman"/>
          <w:color w:val="auto"/>
          <w:sz w:val="32"/>
          <w:szCs w:val="32"/>
          <w:highlight w:val="none"/>
          <w:lang w:val="en-US" w:eastAsia="zh-CN"/>
        </w:rPr>
        <w:t>地</w:t>
      </w:r>
      <w:r>
        <w:rPr>
          <w:rFonts w:hint="eastAsia" w:ascii="仿宋_GB2312" w:hAnsi="Times New Roman" w:eastAsia="仿宋_GB2312" w:cs="Times New Roman"/>
          <w:color w:val="auto"/>
          <w:sz w:val="32"/>
          <w:szCs w:val="32"/>
          <w:highlight w:val="none"/>
          <w:lang w:eastAsia="zh-CN"/>
        </w:rPr>
        <w:t>履行工作职能，较好</w:t>
      </w:r>
      <w:r>
        <w:rPr>
          <w:rFonts w:hint="eastAsia" w:ascii="仿宋_GB2312" w:eastAsia="仿宋_GB2312" w:cs="Times New Roman"/>
          <w:color w:val="auto"/>
          <w:sz w:val="32"/>
          <w:szCs w:val="32"/>
          <w:highlight w:val="none"/>
          <w:lang w:val="en-US" w:eastAsia="zh-CN"/>
        </w:rPr>
        <w:t>地</w:t>
      </w:r>
      <w:r>
        <w:rPr>
          <w:rFonts w:hint="eastAsia" w:ascii="仿宋_GB2312" w:hAnsi="Times New Roman" w:eastAsia="仿宋_GB2312" w:cs="Times New Roman"/>
          <w:color w:val="auto"/>
          <w:sz w:val="32"/>
          <w:szCs w:val="32"/>
          <w:highlight w:val="none"/>
          <w:lang w:eastAsia="zh-CN"/>
        </w:rPr>
        <w:t>促进了相关事业的发展；二是部门预算资金使用符合国家法规和财务管理制度；预算资金拨付有完整的审批程序和手续，符合项目预算批复或合同规定的用途；不存在截留、挤占、挪用、虚列支出等情况，确保我单位预算资金规范运行。发现的问题及原因：一是</w:t>
      </w:r>
      <w:r>
        <w:rPr>
          <w:rFonts w:hint="eastAsia" w:ascii="仿宋_GB2312" w:hAnsi="Times New Roman" w:eastAsia="仿宋_GB2312" w:cs="Times New Roman"/>
          <w:color w:val="auto"/>
          <w:sz w:val="32"/>
          <w:szCs w:val="32"/>
          <w:highlight w:val="none"/>
          <w:lang w:val="en-US" w:eastAsia="zh-CN"/>
        </w:rPr>
        <w:t>单位组织引导老同志发挥独特优势的工作成效不明显，主动接受组织约束的意识淡化，缺乏接受教育和发挥作用的主动性。预算绩效管理工作连接不顺畅</w:t>
      </w:r>
      <w:r>
        <w:rPr>
          <w:rFonts w:hint="eastAsia" w:ascii="仿宋_GB2312" w:hAnsi="Times New Roman" w:eastAsia="仿宋_GB2312" w:cs="Times New Roman"/>
          <w:color w:val="auto"/>
          <w:sz w:val="32"/>
          <w:szCs w:val="32"/>
          <w:highlight w:val="none"/>
          <w:lang w:eastAsia="zh-CN"/>
        </w:rPr>
        <w:t>；二是</w:t>
      </w:r>
      <w:r>
        <w:rPr>
          <w:rFonts w:hint="eastAsia" w:ascii="仿宋_GB2312" w:hAnsi="Times New Roman" w:eastAsia="仿宋_GB2312" w:cs="Times New Roman"/>
          <w:color w:val="auto"/>
          <w:sz w:val="32"/>
          <w:szCs w:val="32"/>
          <w:highlight w:val="none"/>
          <w:lang w:val="en-US" w:eastAsia="zh-CN"/>
        </w:rPr>
        <w:t>经费预算编制精准度有待提高。由于预算执行中的不确定性，实际经费核算的科目、支出内容与预算会出现一定偏差</w:t>
      </w:r>
      <w:r>
        <w:rPr>
          <w:rFonts w:hint="eastAsia" w:ascii="仿宋_GB2312" w:hAnsi="Times New Roman" w:eastAsia="仿宋_GB2312" w:cs="Times New Roman"/>
          <w:color w:val="auto"/>
          <w:sz w:val="32"/>
          <w:szCs w:val="32"/>
          <w:highlight w:val="none"/>
          <w:lang w:eastAsia="zh-CN"/>
        </w:rPr>
        <w:t>；三是</w:t>
      </w:r>
      <w:r>
        <w:rPr>
          <w:rFonts w:hint="eastAsia" w:ascii="仿宋_GB2312" w:hAnsi="Times New Roman" w:eastAsia="仿宋_GB2312" w:cs="Times New Roman"/>
          <w:color w:val="auto"/>
          <w:sz w:val="32"/>
          <w:szCs w:val="32"/>
          <w:highlight w:val="none"/>
          <w:lang w:val="en-US" w:eastAsia="zh-CN"/>
        </w:rPr>
        <w:t>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w:t>
      </w:r>
      <w:r>
        <w:rPr>
          <w:rFonts w:hint="eastAsia" w:ascii="仿宋_GB2312" w:hAnsi="Times New Roman" w:eastAsia="仿宋_GB2312" w:cs="Times New Roman"/>
          <w:color w:val="auto"/>
          <w:sz w:val="32"/>
          <w:szCs w:val="32"/>
          <w:highlight w:val="none"/>
          <w:lang w:eastAsia="zh-CN"/>
        </w:rPr>
        <w:t>。下一步改进措施：一是提高资金的使用效益。</w:t>
      </w:r>
      <w:r>
        <w:rPr>
          <w:rFonts w:hint="eastAsia" w:ascii="仿宋_GB2312" w:hAnsi="Times New Roman" w:eastAsia="仿宋_GB2312" w:cs="Times New Roman"/>
          <w:color w:val="auto"/>
          <w:sz w:val="32"/>
          <w:szCs w:val="32"/>
          <w:highlight w:val="none"/>
          <w:lang w:val="en-US" w:eastAsia="zh-CN"/>
        </w:rPr>
        <w:t>本单位将</w:t>
      </w:r>
      <w:r>
        <w:rPr>
          <w:rFonts w:hint="eastAsia" w:ascii="仿宋_GB2312" w:hAnsi="Times New Roman" w:eastAsia="仿宋_GB2312" w:cs="Times New Roman"/>
          <w:color w:val="auto"/>
          <w:sz w:val="32"/>
          <w:szCs w:val="32"/>
          <w:highlight w:val="none"/>
          <w:lang w:eastAsia="zh-CN"/>
        </w:rPr>
        <w:t>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二是不断完善预算绩效管理相关工作制度，建立全过程预算绩效管理链条，有效贯彻落实全面实施绩效管理的精神。具体项目自评情况附绩效自评表</w:t>
      </w:r>
      <w:r>
        <w:rPr>
          <w:rFonts w:hint="eastAsia" w:ascii="仿宋_GB2312" w:hAnsi="Times New Roman" w:eastAsia="仿宋_GB2312" w:cs="Times New Roman"/>
          <w:color w:val="auto"/>
          <w:sz w:val="32"/>
          <w:szCs w:val="32"/>
          <w:highlight w:val="none"/>
          <w:lang w:val="en-US" w:eastAsia="zh-CN"/>
        </w:rPr>
        <w:t>及自评报告</w:t>
      </w:r>
      <w:r>
        <w:rPr>
          <w:rFonts w:hint="eastAsia" w:ascii="仿宋_GB2312"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ZjM1YTUwYjU4NDAyZGMwMzkzNTQwN2NjNDMwMjkifQ=="/>
    <w:docVar w:name="KSO_WPS_MARK_KEY" w:val="41ee2a61-2d54-4f93-83be-afdb9a40d732"/>
  </w:docVars>
  <w:rsids>
    <w:rsidRoot w:val="00000000"/>
    <w:rsid w:val="00213C59"/>
    <w:rsid w:val="003210CE"/>
    <w:rsid w:val="00B70D59"/>
    <w:rsid w:val="00F52A8D"/>
    <w:rsid w:val="019404F8"/>
    <w:rsid w:val="01C30B6B"/>
    <w:rsid w:val="01ED22F2"/>
    <w:rsid w:val="025C1016"/>
    <w:rsid w:val="02BD3108"/>
    <w:rsid w:val="02F73D26"/>
    <w:rsid w:val="034D4FEF"/>
    <w:rsid w:val="035D1785"/>
    <w:rsid w:val="039F47CE"/>
    <w:rsid w:val="03BD5310"/>
    <w:rsid w:val="03E05CE8"/>
    <w:rsid w:val="03F973EE"/>
    <w:rsid w:val="043E5B56"/>
    <w:rsid w:val="04706E81"/>
    <w:rsid w:val="04C04386"/>
    <w:rsid w:val="04D1736D"/>
    <w:rsid w:val="04D96608"/>
    <w:rsid w:val="04E83D09"/>
    <w:rsid w:val="04F210E4"/>
    <w:rsid w:val="04FA68C4"/>
    <w:rsid w:val="053F5AE6"/>
    <w:rsid w:val="057C0B0F"/>
    <w:rsid w:val="05EF4B48"/>
    <w:rsid w:val="05F76ECA"/>
    <w:rsid w:val="06183A24"/>
    <w:rsid w:val="06792773"/>
    <w:rsid w:val="06FD75CA"/>
    <w:rsid w:val="07093795"/>
    <w:rsid w:val="077B5C7F"/>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A37764"/>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252B89"/>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B01457"/>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513DC3"/>
    <w:rsid w:val="32601BAD"/>
    <w:rsid w:val="329F6389"/>
    <w:rsid w:val="3389023A"/>
    <w:rsid w:val="33CB74FA"/>
    <w:rsid w:val="343642F2"/>
    <w:rsid w:val="343F3010"/>
    <w:rsid w:val="345D0A00"/>
    <w:rsid w:val="34713BFD"/>
    <w:rsid w:val="34C13589"/>
    <w:rsid w:val="353369E3"/>
    <w:rsid w:val="35B21E0B"/>
    <w:rsid w:val="35E00D72"/>
    <w:rsid w:val="361F77BF"/>
    <w:rsid w:val="36965B9D"/>
    <w:rsid w:val="36C549FD"/>
    <w:rsid w:val="37A755DD"/>
    <w:rsid w:val="37F33BFE"/>
    <w:rsid w:val="37F94FA0"/>
    <w:rsid w:val="380D3381"/>
    <w:rsid w:val="38115B1F"/>
    <w:rsid w:val="385E3AC3"/>
    <w:rsid w:val="387D6B9E"/>
    <w:rsid w:val="38B75FF0"/>
    <w:rsid w:val="38D45016"/>
    <w:rsid w:val="38D90432"/>
    <w:rsid w:val="3914510A"/>
    <w:rsid w:val="3926770B"/>
    <w:rsid w:val="395B1C20"/>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875A4F"/>
    <w:rsid w:val="46901EEE"/>
    <w:rsid w:val="469C74D2"/>
    <w:rsid w:val="47445515"/>
    <w:rsid w:val="474B4782"/>
    <w:rsid w:val="47D90D14"/>
    <w:rsid w:val="47DE1152"/>
    <w:rsid w:val="48387FB0"/>
    <w:rsid w:val="483A6114"/>
    <w:rsid w:val="488727DB"/>
    <w:rsid w:val="48B82268"/>
    <w:rsid w:val="48C354B3"/>
    <w:rsid w:val="48CA4584"/>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5FFE6A72"/>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957059"/>
    <w:rsid w:val="63A5560B"/>
    <w:rsid w:val="63E9091F"/>
    <w:rsid w:val="64322AF9"/>
    <w:rsid w:val="6483284F"/>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75027B"/>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3215F4"/>
    <w:rsid w:val="7B9F26AF"/>
    <w:rsid w:val="7BB607FE"/>
    <w:rsid w:val="7C7248A0"/>
    <w:rsid w:val="7C976D69"/>
    <w:rsid w:val="7CD752DA"/>
    <w:rsid w:val="7CDE40AB"/>
    <w:rsid w:val="7CF057E2"/>
    <w:rsid w:val="7D1548B5"/>
    <w:rsid w:val="7DF84014"/>
    <w:rsid w:val="7E207949"/>
    <w:rsid w:val="7E5C0A47"/>
    <w:rsid w:val="7E670C75"/>
    <w:rsid w:val="7EE24272"/>
    <w:rsid w:val="7EEA6053"/>
    <w:rsid w:val="7F1046FD"/>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6097</Words>
  <Characters>6724</Characters>
  <Lines>0</Lines>
  <Paragraphs>0</Paragraphs>
  <TotalTime>2</TotalTime>
  <ScaleCrop>false</ScaleCrop>
  <LinksUpToDate>false</LinksUpToDate>
  <CharactersWithSpaces>6735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2024-12-03T11:09:14Z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