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中共沙湾市委员会统一战线工作部</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本单位主要职能涉密，不予公开。</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中共沙湾市委员会统一战线工作部2023年度，实有人数</w:t>
      </w:r>
      <w:r>
        <w:rPr>
          <w:rFonts w:hint="eastAsia" w:ascii="仿宋_GB2312" w:eastAsia="仿宋_GB2312"/>
          <w:sz w:val="32"/>
          <w:szCs w:val="32"/>
          <w:lang w:val="zh-CN"/>
        </w:rPr>
        <w:t>32</w:t>
      </w:r>
      <w:r>
        <w:rPr>
          <w:rFonts w:hint="eastAsia" w:ascii="仿宋_GB2312" w:eastAsia="仿宋_GB2312"/>
          <w:sz w:val="32"/>
          <w:szCs w:val="32"/>
        </w:rPr>
        <w:t>人，其中：在职人员</w:t>
      </w:r>
      <w:r>
        <w:rPr>
          <w:rFonts w:hint="eastAsia" w:ascii="仿宋_GB2312" w:eastAsia="仿宋_GB2312"/>
          <w:sz w:val="32"/>
          <w:szCs w:val="32"/>
          <w:lang w:val="zh-CN"/>
        </w:rPr>
        <w:t>22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该单位无下属预算单位，下设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个处室，分别是：办公室、民族工作办公室、</w:t>
      </w:r>
      <w:r>
        <w:rPr>
          <w:rFonts w:hint="eastAsia" w:ascii="仿宋_GB2312" w:hAnsi="黑体" w:eastAsia="仿宋_GB2312" w:cs="宋体"/>
          <w:bCs/>
          <w:kern w:val="0"/>
          <w:sz w:val="32"/>
          <w:szCs w:val="32"/>
          <w:lang w:val="en-US" w:eastAsia="zh-CN"/>
        </w:rPr>
        <w:t>业务</w:t>
      </w:r>
      <w:r>
        <w:rPr>
          <w:rFonts w:hint="eastAsia" w:ascii="仿宋_GB2312" w:hAnsi="黑体" w:eastAsia="仿宋_GB2312" w:cs="宋体"/>
          <w:bCs/>
          <w:kern w:val="0"/>
          <w:sz w:val="32"/>
          <w:szCs w:val="32"/>
        </w:rPr>
        <w:t>工作办公室、统战工作办公室</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2023年度收入总计489.55万元，其中：本年收入合计489.55万元，使用非财政拨款结余0.00万元，年初结转和结余0.00万元。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2023年度支出总计489.55万元，其中：本年支出合计489.55万元，结余分配0.00万元，年末结转和结余0.00万元。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增加48.32万元</w:t>
      </w:r>
      <w:r>
        <w:rPr>
          <w:rFonts w:hint="eastAsia" w:ascii="仿宋_GB2312" w:eastAsia="仿宋_GB2312"/>
          <w:sz w:val="32"/>
          <w:szCs w:val="32"/>
        </w:rPr>
        <w:t>，增长10.95%，主要原因是：工资调整、社保基数增加、补发绩效。</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本年收入489.55万元，其中：财政拨款收入</w:t>
      </w:r>
      <w:r>
        <w:rPr>
          <w:rFonts w:hint="eastAsia" w:ascii="仿宋_GB2312" w:eastAsia="仿宋_GB2312"/>
          <w:sz w:val="32"/>
          <w:szCs w:val="32"/>
          <w:lang w:val="zh-CN"/>
        </w:rPr>
        <w:t>489.55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本年支出489.55万元，其中：基本支出381.05万元，占77.84%；项目支出108.51万元，占22.17%；上缴上级支出0.00万元，占0.00%；经营支出0.00万元，占0.00%；对附属单位补助支出0.00万元，占0.00%。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489.55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489.55</w:t>
      </w:r>
      <w:r>
        <w:rPr>
          <w:rFonts w:hint="eastAsia" w:ascii="仿宋_GB2312" w:eastAsia="仿宋_GB2312"/>
          <w:sz w:val="32"/>
          <w:szCs w:val="32"/>
        </w:rPr>
        <w:t>万元。财政拨款支出总计</w:t>
      </w:r>
      <w:r>
        <w:rPr>
          <w:rFonts w:hint="eastAsia" w:ascii="仿宋_GB2312" w:eastAsia="仿宋_GB2312"/>
          <w:sz w:val="32"/>
          <w:szCs w:val="32"/>
          <w:lang w:val="zh-CN"/>
        </w:rPr>
        <w:t>489.55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489.55</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增加48.32万元</w:t>
      </w:r>
      <w:r>
        <w:rPr>
          <w:rFonts w:hint="eastAsia" w:ascii="仿宋_GB2312" w:eastAsia="仿宋_GB2312"/>
          <w:sz w:val="32"/>
          <w:szCs w:val="32"/>
        </w:rPr>
        <w:t>，增长10.95%,主要原因是：工资调整、社保基数增加、补发绩效。与年初预算相比，年初预算数</w:t>
      </w:r>
      <w:r>
        <w:rPr>
          <w:rFonts w:hint="eastAsia" w:ascii="仿宋_GB2312" w:eastAsia="仿宋_GB2312"/>
          <w:sz w:val="32"/>
          <w:szCs w:val="32"/>
          <w:lang w:val="zh-CN"/>
        </w:rPr>
        <w:t>452.04</w:t>
      </w:r>
      <w:r>
        <w:rPr>
          <w:rFonts w:hint="eastAsia" w:ascii="仿宋_GB2312" w:eastAsia="仿宋_GB2312"/>
          <w:sz w:val="32"/>
          <w:szCs w:val="32"/>
        </w:rPr>
        <w:t>万元，决算数</w:t>
      </w:r>
      <w:r>
        <w:rPr>
          <w:rFonts w:hint="eastAsia" w:ascii="仿宋_GB2312" w:eastAsia="仿宋_GB2312"/>
          <w:sz w:val="32"/>
          <w:szCs w:val="32"/>
          <w:lang w:val="zh-CN"/>
        </w:rPr>
        <w:t>489.55</w:t>
      </w:r>
      <w:r>
        <w:rPr>
          <w:rFonts w:hint="eastAsia" w:ascii="仿宋_GB2312" w:eastAsia="仿宋_GB2312"/>
          <w:sz w:val="32"/>
          <w:szCs w:val="32"/>
        </w:rPr>
        <w:t>万元，预决算差异率8.30%，主要原因是：工资调整、社保基数增加、补发绩效。</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2023年度一般公共预算财政拨款支出489.55万元，占本年支出合计的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增加48.32万元</w:t>
      </w:r>
      <w:r>
        <w:rPr>
          <w:rFonts w:hint="eastAsia" w:ascii="仿宋_GB2312" w:eastAsia="仿宋_GB2312"/>
          <w:sz w:val="32"/>
          <w:szCs w:val="32"/>
        </w:rPr>
        <w:t>，增长10.95%,主要原因是：2023年人员工资调增。与年初预算相比，年初预算数</w:t>
      </w:r>
      <w:r>
        <w:rPr>
          <w:rFonts w:hint="eastAsia" w:ascii="仿宋_GB2312" w:eastAsia="仿宋_GB2312"/>
          <w:sz w:val="32"/>
          <w:szCs w:val="32"/>
          <w:lang w:val="zh-CN"/>
        </w:rPr>
        <w:t>452.04</w:t>
      </w:r>
      <w:r>
        <w:rPr>
          <w:rFonts w:hint="eastAsia" w:ascii="仿宋_GB2312" w:eastAsia="仿宋_GB2312"/>
          <w:sz w:val="32"/>
          <w:szCs w:val="32"/>
        </w:rPr>
        <w:t>万元，决算数</w:t>
      </w:r>
      <w:r>
        <w:rPr>
          <w:rFonts w:hint="eastAsia" w:ascii="仿宋_GB2312" w:eastAsia="仿宋_GB2312"/>
          <w:sz w:val="32"/>
          <w:szCs w:val="32"/>
          <w:lang w:val="zh-CN"/>
        </w:rPr>
        <w:t>489.55</w:t>
      </w:r>
      <w:r>
        <w:rPr>
          <w:rFonts w:hint="eastAsia" w:ascii="仿宋_GB2312" w:eastAsia="仿宋_GB2312"/>
          <w:sz w:val="32"/>
          <w:szCs w:val="32"/>
        </w:rPr>
        <w:t>万元，预决算差异率</w:t>
      </w:r>
      <w:r>
        <w:rPr>
          <w:rFonts w:hint="eastAsia" w:ascii="仿宋_GB2312" w:eastAsia="仿宋_GB2312"/>
          <w:sz w:val="32"/>
          <w:szCs w:val="32"/>
          <w:lang w:val="zh-CN"/>
        </w:rPr>
        <w:t>8.30%</w:t>
      </w:r>
      <w:r>
        <w:rPr>
          <w:rFonts w:hint="eastAsia" w:ascii="仿宋_GB2312" w:eastAsia="仿宋_GB2312"/>
          <w:sz w:val="32"/>
          <w:szCs w:val="32"/>
        </w:rPr>
        <w:t>，主要原因是：工资调整、社保基数增加、补发绩效。</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389.81</w:t>
      </w:r>
      <w:r>
        <w:rPr>
          <w:rFonts w:ascii="仿宋_GB2312" w:eastAsia="仿宋_GB2312"/>
          <w:kern w:val="2"/>
          <w:sz w:val="32"/>
          <w:szCs w:val="32"/>
          <w:lang w:val="zh-CN"/>
        </w:rPr>
        <w:t>万元，占</w:t>
      </w:r>
      <w:r>
        <w:rPr>
          <w:rFonts w:hint="eastAsia" w:ascii="仿宋_GB2312" w:eastAsia="仿宋_GB2312"/>
          <w:kern w:val="2"/>
          <w:sz w:val="32"/>
          <w:szCs w:val="32"/>
          <w:lang w:val="zh-CN"/>
        </w:rPr>
        <w:t>79.63%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50.97</w:t>
      </w:r>
      <w:r>
        <w:rPr>
          <w:rFonts w:ascii="仿宋_GB2312" w:eastAsia="仿宋_GB2312"/>
          <w:kern w:val="2"/>
          <w:sz w:val="32"/>
          <w:szCs w:val="32"/>
          <w:lang w:val="zh-CN"/>
        </w:rPr>
        <w:t>万元，占</w:t>
      </w:r>
      <w:r>
        <w:rPr>
          <w:rFonts w:hint="eastAsia" w:ascii="仿宋_GB2312" w:eastAsia="仿宋_GB2312"/>
          <w:kern w:val="2"/>
          <w:sz w:val="32"/>
          <w:szCs w:val="32"/>
          <w:lang w:val="zh-CN"/>
        </w:rPr>
        <w:t>10.41%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18.70</w:t>
      </w:r>
      <w:r>
        <w:rPr>
          <w:rFonts w:ascii="仿宋_GB2312" w:eastAsia="仿宋_GB2312"/>
          <w:kern w:val="2"/>
          <w:sz w:val="32"/>
          <w:szCs w:val="32"/>
          <w:lang w:val="zh-CN"/>
        </w:rPr>
        <w:t>万元，占</w:t>
      </w:r>
      <w:r>
        <w:rPr>
          <w:rFonts w:hint="eastAsia" w:ascii="仿宋_GB2312" w:eastAsia="仿宋_GB2312"/>
          <w:kern w:val="2"/>
          <w:sz w:val="32"/>
          <w:szCs w:val="32"/>
          <w:lang w:val="zh-CN"/>
        </w:rPr>
        <w:t>3.82%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25.06</w:t>
      </w:r>
      <w:r>
        <w:rPr>
          <w:rFonts w:ascii="仿宋_GB2312" w:eastAsia="仿宋_GB2312"/>
          <w:kern w:val="2"/>
          <w:sz w:val="32"/>
          <w:szCs w:val="32"/>
          <w:lang w:val="zh-CN"/>
        </w:rPr>
        <w:t>万元，占</w:t>
      </w:r>
      <w:r>
        <w:rPr>
          <w:rFonts w:hint="eastAsia" w:ascii="仿宋_GB2312" w:eastAsia="仿宋_GB2312"/>
          <w:kern w:val="2"/>
          <w:sz w:val="32"/>
          <w:szCs w:val="32"/>
          <w:lang w:val="zh-CN"/>
        </w:rPr>
        <w:t>5.12%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.其他支出（类）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1.02%</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1.一般公共服务支出（类）统战事务（款）宗教事务（项）:支出决算数为69.15万元，比上年决算增加69.15万元，增长100%，主要原因是：本年相关业务人员生活补助上级专项部分在宗教事务款项列支。</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2.卫生健康支出（类）行政事业单位医疗（款）行政单位医疗（项）:支出决算数为9.94万元，比上年决算减少3.13万元，下降23.95%，主要原因是：医保政策变化，退休人员不再需要缴纳基本医疗</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3.卫生健康支出（类）行政事业单位医疗（款）事业单位医疗（项）:支出决算数为4.23万元，比上年决算增加1.30万元，增长44.37%，主要原因是：年中调入2名事业编制人员，追加了事业单位医疗经费</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4.卫生健康支出（类）行政事业单位医疗（款）公务员医疗补助（项）:支出决算数为4.53万元，比上年决算减少1.00万元，下降18.08%，主要原因是：医保政策变化，部分退休人员退休后，不再需要缴纳公务员医疗</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5.一般公共服务支出（类）统战事务（款）事业运行（项）:支出决算数为80.37万元，比上年决算增加80.37万元，增长100%，主要原因是：本年行政与事业人员款项分别计算</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6.住房保障支出（类）住房改革支出（款）住房公积金（项）:支出决算数为25.06万元，比上年决算增加2.90万元，增长13.09%，主要原因是：</w:t>
      </w:r>
      <w:r>
        <w:rPr>
          <w:rFonts w:hint="eastAsia" w:ascii="仿宋_GB2312" w:eastAsia="仿宋_GB2312"/>
          <w:sz w:val="32"/>
          <w:szCs w:val="32"/>
        </w:rPr>
        <w:t>工资调整、公积金基数增加，缴费增加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7.社会保障和就业支出（类）行政事业单位养老支出（款）行政单位离退休（项）:支出决算数为5.70万元，比上年决算增加3.13万元，增长121.79%，主要原因是：本年发放退休人员绩效工资</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一般公共服务支出（类）统战事务（款）其他统战事务支出（项）:支出决算数为34.36万元，比上年决算减少75.69万元，下降68.78%，主要原因是:本年款项分开列支，相关业务人员补助上级专项部分资金在宗教事务款项列支，仅县级配套资金在其他统战事务支出款项列支。</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9.社会保障和就业支出（类）行政事业单位养老支出（款）机关事业单位职业年金缴费支出（项）:支出决算数为13.25万元，比上年决算增加10.58万元，增长396.25%，主要原因是：本年2名退休人员，补缴了其单位部分职业年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10.其他支出（类）其他支出（款）其他支出（项）:支出决算数为5.00万元，比上年决算增加0.00万元，增长0.00%，主要原因是：此项目无变化</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11.一般公共服务支出（类）统战事务（款）行政运行（项）:支出决算数为205.94万元，比上年决算减少46.44万元，下降18.40%，主要原因是：上年支付单位历欠办公经费</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12.社会保障和就业支出（类）行政事业单位养老支出（款）机关事业单位基本养老保险缴费支出（项）:支出决算数为32.02万元，比上年决算增加7.29万元，增长29.48%，主要原因是：</w:t>
      </w:r>
      <w:r>
        <w:rPr>
          <w:rFonts w:hint="eastAsia" w:ascii="仿宋_GB2312" w:eastAsia="仿宋_GB2312"/>
          <w:sz w:val="32"/>
          <w:szCs w:val="32"/>
        </w:rPr>
        <w:t>工资调整、</w:t>
      </w:r>
      <w:r>
        <w:rPr>
          <w:rFonts w:hint="eastAsia" w:ascii="仿宋_GB2312" w:hAnsi="仿宋_GB2312" w:eastAsia="仿宋_GB2312" w:cs="仿宋_GB2312"/>
          <w:sz w:val="32"/>
          <w:szCs w:val="32"/>
        </w:rPr>
        <w:t>养老保险</w:t>
      </w:r>
      <w:r>
        <w:rPr>
          <w:rFonts w:hint="eastAsia" w:ascii="仿宋_GB2312" w:eastAsia="仿宋_GB2312"/>
          <w:sz w:val="32"/>
          <w:szCs w:val="32"/>
        </w:rPr>
        <w:t>基数增加，缴费增加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社会保障和就业支出（类）行政事业单位养老支出（款）事业单位离退休（项）:支出决算数为0.00万元，比上年决算减少0.14万元，下降100%，主要原因是：本年2名退休的工勤人员合并至行政单位离退休款项支出，无事业单位离退休款项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381.05万元，其中：人员经费354.66万元，包括：基本工资、津贴补贴、奖金、绩效工资、机关事业单位基本养老保险缴费、职业年金缴费、职工基本医疗保险缴费、公务员医疗补助缴费、其他社会保障缴费、住房公积金、退休费、生活补助、其他对个人和家庭的补助。</w:t>
      </w:r>
    </w:p>
    <w:p>
      <w:pPr>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公用经费26.38万元，包括：办公费、电费、邮电费、差旅费、公务接待费、劳务费、工会经费、公务用车运行维护费、其他交通费用。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“三公”经费支出7.23万元，</w:t>
      </w:r>
      <w:r>
        <w:rPr>
          <w:rFonts w:hint="eastAsia" w:ascii="仿宋_GB2312" w:eastAsia="仿宋_GB2312"/>
          <w:sz w:val="32"/>
          <w:szCs w:val="32"/>
        </w:rPr>
        <w:t>比上年</w:t>
      </w:r>
      <w:r>
        <w:rPr>
          <w:rFonts w:hint="eastAsia" w:ascii="仿宋_GB2312" w:eastAsia="仿宋_GB2312"/>
          <w:sz w:val="32"/>
          <w:szCs w:val="32"/>
          <w:lang w:val="zh-CN"/>
        </w:rPr>
        <w:t>减少2.72万元，</w:t>
      </w:r>
      <w:r>
        <w:rPr>
          <w:rFonts w:hint="eastAsia" w:ascii="仿宋_GB2312" w:eastAsia="仿宋_GB2312"/>
          <w:sz w:val="32"/>
          <w:szCs w:val="32"/>
        </w:rPr>
        <w:t>下降27.34%,</w:t>
      </w:r>
      <w:r>
        <w:rPr>
          <w:rFonts w:hint="eastAsia" w:ascii="仿宋_GB2312" w:eastAsia="仿宋_GB2312"/>
          <w:sz w:val="32"/>
          <w:szCs w:val="32"/>
          <w:lang w:val="zh-CN"/>
        </w:rPr>
        <w:t>主要原因是：</w:t>
      </w:r>
      <w:r>
        <w:rPr>
          <w:rFonts w:hint="eastAsia" w:ascii="仿宋_GB2312" w:eastAsia="仿宋_GB2312"/>
          <w:sz w:val="32"/>
          <w:szCs w:val="32"/>
        </w:rPr>
        <w:t>厉行节约，减少三公经费支出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本年无</w:t>
      </w:r>
      <w:r>
        <w:rPr>
          <w:rFonts w:hint="eastAsia" w:ascii="仿宋_GB2312" w:eastAsia="仿宋_GB2312"/>
          <w:sz w:val="32"/>
          <w:szCs w:val="32"/>
          <w:lang w:val="zh-CN"/>
        </w:rPr>
        <w:t>因公出国（境）费</w:t>
      </w:r>
      <w:r>
        <w:rPr>
          <w:rFonts w:hint="eastAsia" w:ascii="仿宋_GB2312" w:eastAsia="仿宋_GB2312"/>
          <w:sz w:val="32"/>
          <w:szCs w:val="32"/>
        </w:rPr>
        <w:t>支出</w:t>
      </w:r>
      <w:r>
        <w:rPr>
          <w:rFonts w:hint="eastAsia" w:ascii="仿宋_GB2312" w:eastAsia="仿宋_GB2312"/>
          <w:sz w:val="32"/>
          <w:szCs w:val="32"/>
          <w:lang w:val="zh-CN"/>
        </w:rPr>
        <w:t>；公务用车购置及运行维护费支出6.93万元，占95.85%，比上年减少2.84万元，</w:t>
      </w:r>
      <w:r>
        <w:rPr>
          <w:rFonts w:hint="eastAsia" w:ascii="仿宋_GB2312" w:eastAsia="仿宋_GB2312"/>
          <w:sz w:val="32"/>
          <w:szCs w:val="32"/>
        </w:rPr>
        <w:t>下降29.07%,</w:t>
      </w:r>
      <w:r>
        <w:rPr>
          <w:rFonts w:hint="eastAsia" w:ascii="仿宋_GB2312" w:eastAsia="仿宋_GB2312"/>
          <w:sz w:val="32"/>
          <w:szCs w:val="32"/>
          <w:lang w:val="zh-CN"/>
        </w:rPr>
        <w:t>主要原因是：</w:t>
      </w:r>
      <w:r>
        <w:rPr>
          <w:rFonts w:hint="eastAsia" w:ascii="仿宋_GB2312" w:eastAsia="仿宋_GB2312"/>
          <w:sz w:val="32"/>
          <w:szCs w:val="32"/>
        </w:rPr>
        <w:t>厉行节约，减少</w:t>
      </w:r>
      <w:r>
        <w:rPr>
          <w:rFonts w:hint="eastAsia" w:ascii="仿宋_GB2312" w:eastAsia="仿宋_GB2312"/>
          <w:sz w:val="32"/>
          <w:szCs w:val="32"/>
          <w:lang w:val="zh-CN"/>
        </w:rPr>
        <w:t>公务用车购置及运行维护费支出；公务接待费支出0.30万元，占4.15%，比上年增加0.11万元，</w:t>
      </w:r>
      <w:r>
        <w:rPr>
          <w:rFonts w:hint="eastAsia" w:ascii="仿宋_GB2312" w:eastAsia="仿宋_GB2312"/>
          <w:sz w:val="32"/>
          <w:szCs w:val="32"/>
        </w:rPr>
        <w:t>增长57.89%,</w:t>
      </w:r>
      <w:r>
        <w:rPr>
          <w:rFonts w:hint="eastAsia" w:ascii="仿宋_GB2312" w:eastAsia="仿宋_GB2312"/>
          <w:sz w:val="32"/>
          <w:szCs w:val="32"/>
          <w:lang w:val="zh-CN"/>
        </w:rPr>
        <w:t>主要原因是：</w:t>
      </w:r>
      <w:r>
        <w:rPr>
          <w:rFonts w:hint="eastAsia" w:ascii="仿宋_GB2312" w:eastAsia="仿宋_GB2312"/>
          <w:sz w:val="32"/>
          <w:szCs w:val="32"/>
        </w:rPr>
        <w:t>本年专项工作接待增加</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color w:val="auto"/>
          <w:sz w:val="32"/>
          <w:szCs w:val="32"/>
          <w:highlight w:val="none"/>
          <w:lang w:val="zh-CN" w:eastAsia="zh-CN"/>
        </w:rPr>
        <w:t>因公出国（境）费支出0.00万元，开支内容包括本单位</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公务用车购置及运行维护费6.93万元，其中：公务用车购置费0.00万元，公务用车运行维护费6.93万元。公务用车运行维护费开支内容包括</w:t>
      </w:r>
      <w:r>
        <w:rPr>
          <w:rFonts w:hint="eastAsia" w:ascii="仿宋_GB2312" w:eastAsia="仿宋_GB2312"/>
          <w:sz w:val="32"/>
          <w:szCs w:val="32"/>
        </w:rPr>
        <w:t>车辆保险、车辆加油及车辆维修费</w:t>
      </w:r>
      <w:r>
        <w:rPr>
          <w:rFonts w:hint="eastAsia" w:ascii="仿宋_GB2312" w:eastAsia="仿宋_GB2312"/>
          <w:sz w:val="32"/>
          <w:szCs w:val="32"/>
          <w:lang w:val="zh-CN"/>
        </w:rPr>
        <w:t>。公务用车购置数0辆，公务用车保有量3辆。国有资产占用情况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w:t>
      </w:r>
      <w:r>
        <w:rPr>
          <w:rFonts w:hint="eastAsia" w:ascii="仿宋_GB2312" w:eastAsia="仿宋_GB2312"/>
          <w:color w:val="auto"/>
          <w:sz w:val="32"/>
          <w:szCs w:val="32"/>
          <w:highlight w:val="none"/>
          <w:lang w:val="en-US" w:eastAsia="zh-CN"/>
        </w:rPr>
        <w:t>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无差异</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公务接待费0.30万元，开支内容包括</w:t>
      </w:r>
      <w:r>
        <w:rPr>
          <w:rFonts w:hint="eastAsia" w:ascii="仿宋_GB2312" w:eastAsia="仿宋_GB2312"/>
          <w:color w:val="auto"/>
          <w:sz w:val="32"/>
          <w:szCs w:val="32"/>
          <w:lang w:val="zh-CN"/>
        </w:rPr>
        <w:t>上级检查产生的餐费</w:t>
      </w:r>
      <w:r>
        <w:rPr>
          <w:rFonts w:hint="eastAsia" w:ascii="仿宋_GB2312" w:eastAsia="仿宋_GB2312"/>
          <w:sz w:val="32"/>
          <w:szCs w:val="32"/>
          <w:lang w:val="zh-CN"/>
        </w:rPr>
        <w:t>。单位全年安排的国内公务接待4批次，55人次。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预算数7.30万元，决算数7.23万元，预决算差异率-0.96%，主要原因是：</w:t>
      </w:r>
      <w:r>
        <w:rPr>
          <w:rFonts w:hint="eastAsia" w:ascii="仿宋_GB2312" w:eastAsia="仿宋_GB2312"/>
          <w:sz w:val="32"/>
          <w:szCs w:val="32"/>
        </w:rPr>
        <w:t>厉行节约，减少三公经费支出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年初未安排预算，无</w:t>
      </w:r>
      <w:r>
        <w:rPr>
          <w:rFonts w:hint="eastAsia" w:ascii="仿宋_GB2312" w:eastAsia="仿宋_GB2312"/>
          <w:sz w:val="32"/>
          <w:szCs w:val="32"/>
          <w:lang w:val="zh-CN"/>
        </w:rPr>
        <w:t>因公出国（境）费</w:t>
      </w:r>
      <w:r>
        <w:rPr>
          <w:rFonts w:hint="eastAsia" w:ascii="仿宋_GB2312" w:eastAsia="仿宋_GB2312"/>
          <w:sz w:val="32"/>
          <w:szCs w:val="32"/>
        </w:rPr>
        <w:t>支出</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年初未安排预算，无</w:t>
      </w:r>
      <w:r>
        <w:rPr>
          <w:rFonts w:hint="eastAsia" w:ascii="仿宋_GB2312" w:eastAsia="仿宋_GB2312"/>
          <w:sz w:val="32"/>
          <w:szCs w:val="32"/>
          <w:lang w:val="zh-CN"/>
        </w:rPr>
        <w:t>公务用车购置费</w:t>
      </w:r>
      <w:r>
        <w:rPr>
          <w:rFonts w:hint="eastAsia" w:ascii="仿宋_GB2312" w:eastAsia="仿宋_GB2312"/>
          <w:sz w:val="32"/>
          <w:szCs w:val="32"/>
        </w:rPr>
        <w:t>支出</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预算数7.00万元，决算数6.93万元，预决算差异率-1.00%，主要原因是：</w:t>
      </w:r>
      <w:r>
        <w:rPr>
          <w:rFonts w:hint="eastAsia" w:ascii="仿宋_GB2312" w:eastAsia="仿宋_GB2312"/>
          <w:sz w:val="32"/>
          <w:szCs w:val="32"/>
        </w:rPr>
        <w:t>厉行节约，减少</w:t>
      </w:r>
      <w:r>
        <w:rPr>
          <w:rFonts w:hint="eastAsia" w:ascii="仿宋_GB2312" w:eastAsia="仿宋_GB2312"/>
          <w:sz w:val="32"/>
          <w:szCs w:val="32"/>
          <w:lang w:val="zh-CN"/>
        </w:rPr>
        <w:t>公务用车运行费</w:t>
      </w:r>
      <w:r>
        <w:rPr>
          <w:rFonts w:hint="eastAsia" w:ascii="仿宋_GB2312" w:eastAsia="仿宋_GB2312"/>
          <w:sz w:val="32"/>
          <w:szCs w:val="32"/>
        </w:rPr>
        <w:t>支出</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w:t>
      </w:r>
      <w:r>
        <w:rPr>
          <w:rFonts w:hint="eastAsia" w:ascii="仿宋_GB2312" w:eastAsia="仿宋_GB2312"/>
          <w:sz w:val="32"/>
          <w:szCs w:val="32"/>
        </w:rPr>
        <w:t>厉行节约，严格按照公务接待预算数执行</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ascii="仿宋_GB2312" w:hAnsi="仿宋_GB2312" w:eastAsia="仿宋_GB2312" w:cs="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中共沙湾市委员会统一战线工作部（行政单位和参照公务员法管理事业单位）机关运行经费支出26.38万元，</w:t>
      </w:r>
      <w:r>
        <w:rPr>
          <w:rFonts w:hint="eastAsia" w:ascii="仿宋_GB2312" w:hAnsi="仿宋_GB2312" w:eastAsia="仿宋_GB2312" w:cs="仿宋_GB2312"/>
          <w:sz w:val="32"/>
          <w:szCs w:val="32"/>
          <w:lang w:val="zh-CN"/>
        </w:rPr>
        <w:t>比上年增加1.57万元，增长6.33%，主要原因是：</w:t>
      </w:r>
      <w:r>
        <w:rPr>
          <w:rFonts w:hint="eastAsia" w:ascii="仿宋_GB2312" w:hAnsi="仿宋_GB2312" w:eastAsia="仿宋_GB2312" w:cs="仿宋_GB2312"/>
          <w:sz w:val="32"/>
          <w:szCs w:val="32"/>
        </w:rPr>
        <w:t>本年人员增加，机关运行经费增加</w:t>
      </w:r>
      <w:r>
        <w:rPr>
          <w:rFonts w:hint="eastAsia" w:ascii="仿宋_GB2312" w:hAnsi="仿宋_GB2312" w:eastAsia="仿宋_GB2312" w:cs="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2023年度政府采购支出总额2.83万元，其中：政府采购货物支出0.00万元、政府采购工程支出0.00万元、政府采购服务支出2.83万元。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授予中小企业合同金额2.83万元，占政府采购支出总额的100.00%，其中：授予小微企业合同金额2.83万元，占政府采购支出总额的100.00%</w:t>
      </w:r>
      <w:r>
        <w:rPr>
          <w:rFonts w:hint="eastAsia" w:ascii="仿宋_GB2312" w:hAnsi="仿宋_GB2312" w:eastAsia="仿宋_GB2312" w:cs="仿宋_GB2312"/>
          <w:sz w:val="32"/>
          <w:szCs w:val="32"/>
        </w:rPr>
        <w:t>。</w:t>
      </w:r>
    </w:p>
    <w:p>
      <w:pPr>
        <w:ind w:firstLine="640" w:firstLineChars="200"/>
        <w:jc w:val="left"/>
        <w:rPr>
          <w:rFonts w:hint="eastAsia" w:ascii="Times New Roman" w:hAnsi="Times New Roman" w:eastAsia="黑体" w:cs="Times New Roman"/>
          <w:sz w:val="32"/>
          <w:szCs w:val="30"/>
          <w:lang w:val="zh-CN"/>
        </w:rPr>
      </w:pPr>
      <w:bookmarkStart w:id="26" w:name="_Toc8391"/>
      <w:bookmarkStart w:id="27" w:name="_Toc4591"/>
      <w:r>
        <w:rPr>
          <w:rFonts w:hint="eastAsia" w:ascii="Times New Roman" w:hAnsi="Times New Roman" w:eastAsia="黑体" w:cs="Times New Roman"/>
          <w:sz w:val="32"/>
          <w:szCs w:val="30"/>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97.51</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屋0.00平方米，价值0.00万元。车辆3辆，价值57.33万元，其中：副部（省）级及以上领导用车0辆、主要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用车0辆、其他用车3辆，其他用车主要是：办公业务保障用车；单价100万元（含）以上设备（不含车辆）0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bookmarkStart w:id="48" w:name="_GoBack"/>
      <w:bookmarkEnd w:id="48"/>
    </w:p>
    <w:p>
      <w:pPr>
        <w:ind w:firstLine="640" w:firstLineChars="200"/>
        <w:rPr>
          <w:rFonts w:ascii="仿宋_GB2312" w:eastAsia="仿宋_GB2312"/>
          <w:color w:val="auto"/>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color w:val="auto"/>
          <w:kern w:val="0"/>
          <w:sz w:val="32"/>
          <w:szCs w:val="32"/>
        </w:rPr>
        <w:t>张，全年</w:t>
      </w:r>
      <w:r>
        <w:rPr>
          <w:rFonts w:hint="eastAsia" w:ascii="仿宋_GB2312" w:eastAsia="仿宋_GB2312"/>
          <w:color w:val="auto"/>
          <w:sz w:val="32"/>
          <w:szCs w:val="32"/>
        </w:rPr>
        <w:t>预算总额517.33万元，实际执行总额489.55万元</w:t>
      </w:r>
      <w:r>
        <w:rPr>
          <w:rFonts w:hint="eastAsia" w:ascii="仿宋_GB2312" w:hAnsi="仿宋_GB2312" w:eastAsia="仿宋_GB2312" w:cs="仿宋_GB2312"/>
          <w:color w:val="auto"/>
          <w:kern w:val="0"/>
          <w:sz w:val="32"/>
          <w:szCs w:val="32"/>
        </w:rPr>
        <w:t>；</w:t>
      </w:r>
      <w:r>
        <w:rPr>
          <w:rFonts w:hint="eastAsia" w:ascii="仿宋_GB2312" w:eastAsia="仿宋_GB2312"/>
          <w:color w:val="auto"/>
          <w:sz w:val="32"/>
          <w:szCs w:val="32"/>
        </w:rPr>
        <w:t>预算绩效评价项目4个，全年预算数108.51万元，全年执行数108.51万元,本单位sm项目4个，全年预算数108.51万元，全年执行数108.51万元,不予以公开。</w:t>
      </w:r>
    </w:p>
    <w:p>
      <w:pPr>
        <w:ind w:firstLine="640" w:firstLineChars="200"/>
        <w:rPr>
          <w:rFonts w:ascii="仿宋_GB2312" w:eastAsia="仿宋_GB2312"/>
          <w:sz w:val="32"/>
          <w:szCs w:val="32"/>
        </w:rPr>
      </w:pPr>
      <w:r>
        <w:rPr>
          <w:rFonts w:hint="eastAsia" w:ascii="仿宋_GB2312" w:eastAsia="仿宋_GB2312"/>
          <w:color w:val="auto"/>
          <w:sz w:val="32"/>
          <w:szCs w:val="32"/>
        </w:rPr>
        <w:t>预算绩效管理取得的成效</w:t>
      </w:r>
      <w:r>
        <w:rPr>
          <w:rFonts w:hint="eastAsia" w:ascii="仿宋_GB2312" w:eastAsia="仿宋_GB2312"/>
          <w:sz w:val="32"/>
          <w:szCs w:val="32"/>
        </w:rPr>
        <w:t>：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具体项目自评情况附项目支出绩效自评表。</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w:t>
      </w:r>
      <w:r>
        <w:rPr>
          <w:rFonts w:hint="eastAsia" w:ascii="仿宋_GB2312" w:eastAsia="仿宋_GB2312"/>
          <w:sz w:val="32"/>
          <w:szCs w:val="32"/>
        </w:rPr>
        <w:t>sm项目4个，全年预算数108.51万元，全年执行数108.51万元。不予以公开绩效自评表。</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Q5NTk2MzMzOWQxNzUwYzkwNjMyY2E2MWZlNmEyNjcifQ=="/>
    <w:docVar w:name="KSO_WPS_MARK_KEY" w:val="Ā"/>
  </w:docVars>
  <w:rsids>
    <w:rsidRoot w:val="00AA796A"/>
    <w:rsid w:val="000414D5"/>
    <w:rsid w:val="000C71F5"/>
    <w:rsid w:val="00213C59"/>
    <w:rsid w:val="003210CE"/>
    <w:rsid w:val="00360FEB"/>
    <w:rsid w:val="00415443"/>
    <w:rsid w:val="00803E0D"/>
    <w:rsid w:val="00AA796A"/>
    <w:rsid w:val="00B70D59"/>
    <w:rsid w:val="00F52A8D"/>
    <w:rsid w:val="019404F8"/>
    <w:rsid w:val="01C30B6B"/>
    <w:rsid w:val="01ED22F2"/>
    <w:rsid w:val="02BD3108"/>
    <w:rsid w:val="02F73D26"/>
    <w:rsid w:val="034D4FEF"/>
    <w:rsid w:val="035D1785"/>
    <w:rsid w:val="039F47CE"/>
    <w:rsid w:val="03BD5310"/>
    <w:rsid w:val="03E05CE8"/>
    <w:rsid w:val="03F973EE"/>
    <w:rsid w:val="043E5B56"/>
    <w:rsid w:val="049547E0"/>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37756"/>
    <w:rsid w:val="0879188F"/>
    <w:rsid w:val="08A0354D"/>
    <w:rsid w:val="08CD4C49"/>
    <w:rsid w:val="09114954"/>
    <w:rsid w:val="095A5B83"/>
    <w:rsid w:val="096466E3"/>
    <w:rsid w:val="0968304D"/>
    <w:rsid w:val="09AF3D17"/>
    <w:rsid w:val="0A3F7B3C"/>
    <w:rsid w:val="0A7809B7"/>
    <w:rsid w:val="0A7B4867"/>
    <w:rsid w:val="0A840954"/>
    <w:rsid w:val="0A9928ED"/>
    <w:rsid w:val="0AB51E1A"/>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161C8C"/>
    <w:rsid w:val="127F665A"/>
    <w:rsid w:val="12F7068C"/>
    <w:rsid w:val="14207DC0"/>
    <w:rsid w:val="142F534B"/>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7A6219"/>
    <w:rsid w:val="1DAC3795"/>
    <w:rsid w:val="1DAF458D"/>
    <w:rsid w:val="1E086ACE"/>
    <w:rsid w:val="1E62130A"/>
    <w:rsid w:val="1E97358B"/>
    <w:rsid w:val="1EAA4A5F"/>
    <w:rsid w:val="1EE869A7"/>
    <w:rsid w:val="1F3F37CF"/>
    <w:rsid w:val="1F852A43"/>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2B6C49"/>
    <w:rsid w:val="264A7253"/>
    <w:rsid w:val="26F0170C"/>
    <w:rsid w:val="26FE3B9A"/>
    <w:rsid w:val="27201D62"/>
    <w:rsid w:val="27286E73"/>
    <w:rsid w:val="276C10D4"/>
    <w:rsid w:val="27BC0406"/>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E021E"/>
    <w:rsid w:val="2C6F314E"/>
    <w:rsid w:val="2CC206BE"/>
    <w:rsid w:val="2D1136DF"/>
    <w:rsid w:val="2D20606D"/>
    <w:rsid w:val="2D6729FE"/>
    <w:rsid w:val="2DB87198"/>
    <w:rsid w:val="2DB93C54"/>
    <w:rsid w:val="2E3D144C"/>
    <w:rsid w:val="2E891204"/>
    <w:rsid w:val="2F3F0A28"/>
    <w:rsid w:val="2F4F2107"/>
    <w:rsid w:val="2FBF7029"/>
    <w:rsid w:val="2FD0187F"/>
    <w:rsid w:val="2FD27414"/>
    <w:rsid w:val="2FFE4BB0"/>
    <w:rsid w:val="300E7B60"/>
    <w:rsid w:val="300F6E18"/>
    <w:rsid w:val="30862F5F"/>
    <w:rsid w:val="30A4775A"/>
    <w:rsid w:val="312748EC"/>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782BDA"/>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983C1D"/>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C729FA"/>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D262C"/>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56E12"/>
    <w:rsid w:val="545A1D2A"/>
    <w:rsid w:val="54C811C0"/>
    <w:rsid w:val="556A442D"/>
    <w:rsid w:val="55DA564E"/>
    <w:rsid w:val="55E816A3"/>
    <w:rsid w:val="5604127D"/>
    <w:rsid w:val="56044E6C"/>
    <w:rsid w:val="56166703"/>
    <w:rsid w:val="563E7451"/>
    <w:rsid w:val="56510474"/>
    <w:rsid w:val="56861525"/>
    <w:rsid w:val="56A93273"/>
    <w:rsid w:val="56BD550C"/>
    <w:rsid w:val="56E07045"/>
    <w:rsid w:val="56FF28AF"/>
    <w:rsid w:val="57540E7D"/>
    <w:rsid w:val="577B4878"/>
    <w:rsid w:val="57926973"/>
    <w:rsid w:val="57D1482F"/>
    <w:rsid w:val="58175352"/>
    <w:rsid w:val="581F2200"/>
    <w:rsid w:val="5820534B"/>
    <w:rsid w:val="583059FA"/>
    <w:rsid w:val="584A0929"/>
    <w:rsid w:val="58CD2491"/>
    <w:rsid w:val="59194707"/>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CD3EED"/>
    <w:rsid w:val="5ED44800"/>
    <w:rsid w:val="5F350BDE"/>
    <w:rsid w:val="5F61632C"/>
    <w:rsid w:val="5FA17648"/>
    <w:rsid w:val="5FE705CB"/>
    <w:rsid w:val="6007714E"/>
    <w:rsid w:val="603D5080"/>
    <w:rsid w:val="606842D0"/>
    <w:rsid w:val="60B523D3"/>
    <w:rsid w:val="60D0261B"/>
    <w:rsid w:val="618E3791"/>
    <w:rsid w:val="61947DCA"/>
    <w:rsid w:val="61A46A97"/>
    <w:rsid w:val="61D1382F"/>
    <w:rsid w:val="61F114A2"/>
    <w:rsid w:val="622B0ABA"/>
    <w:rsid w:val="62512BB4"/>
    <w:rsid w:val="625D7D1A"/>
    <w:rsid w:val="62660469"/>
    <w:rsid w:val="62DD7D21"/>
    <w:rsid w:val="62EC6AAF"/>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78218D"/>
    <w:rsid w:val="67967FAA"/>
    <w:rsid w:val="67C304AB"/>
    <w:rsid w:val="683F0658"/>
    <w:rsid w:val="689C6793"/>
    <w:rsid w:val="68DB0208"/>
    <w:rsid w:val="68FB170C"/>
    <w:rsid w:val="691B3D98"/>
    <w:rsid w:val="693748F0"/>
    <w:rsid w:val="69846A0E"/>
    <w:rsid w:val="69AA1366"/>
    <w:rsid w:val="69AD798C"/>
    <w:rsid w:val="69D005C0"/>
    <w:rsid w:val="69D80B96"/>
    <w:rsid w:val="69F47AD7"/>
    <w:rsid w:val="6A2C39D4"/>
    <w:rsid w:val="6AB56869"/>
    <w:rsid w:val="6AD42C96"/>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0E2574"/>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3D106A"/>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D2322A"/>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5583</Words>
  <Characters>6306</Characters>
  <Lines>51</Lines>
  <Paragraphs>14</Paragraphs>
  <TotalTime>0</TotalTime>
  <ScaleCrop>false</ScaleCrop>
  <LinksUpToDate>false</LinksUpToDate>
  <CharactersWithSpaces>6317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2024-12-03T11:10:05Z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