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中共沙湾市委员会组织部</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中共沙湾市委员会组织部，是中共沙湾市委员会主管干部、基层组织、人才等工作的职能部门。主要职责是：研究制定干部队伍建设的有关政策，提出全市副科级以上领导班子调整、配备的建议和方案；组织落实培养选拔中青年干部工作；从宏观上研究和指导党的组织制度和干部人事制度改革，制定或参与制定组织人事工作的管理办法</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研究和指导党组织以及党的组织建设；负责做好基层组织建设工作规划、组织实施、情况通报、总结表彰等日常工作；负责组织工作和干部工作的检查落实，及时反映重要情况，提出建议；主管干部教育培训工作，制定干部教育规划；负责老干部和退（离）休干部工作的宏观管理；负责全市人才队伍建设、组织协调开展人才工作的理论研究和调研。</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中共沙湾市委员会组织部</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34</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单位无下属预算单位，下设12个处室，分别是：公务员局、人才服务中心、党员教育中心、办公室、干部室、干部培训室、干部监督室、组织一室、组织二室、组织三室、信息调研室、人事档案室。</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728.98万元，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728.98万元，使用非财政拨款结余0.00万元，年初结转和结余0.00万元。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728.98万元，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728.98万元，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red"/>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减少90.77万元</w:t>
      </w:r>
      <w:r>
        <w:rPr>
          <w:rFonts w:hint="eastAsia" w:ascii="仿宋_GB2312" w:eastAsia="仿宋_GB2312"/>
          <w:color w:val="auto"/>
          <w:spacing w:val="0"/>
          <w:sz w:val="32"/>
          <w:szCs w:val="32"/>
          <w:highlight w:val="none"/>
          <w:lang w:eastAsia="zh-CN"/>
        </w:rPr>
        <w:t>，下降11.07%，主要原因是：项目支出减少。</w:t>
      </w:r>
      <w:r>
        <w:rPr>
          <w:rFonts w:hint="eastAsia" w:ascii="仿宋_GB2312" w:eastAsia="仿宋_GB2312"/>
          <w:color w:val="auto"/>
          <w:spacing w:val="0"/>
          <w:sz w:val="32"/>
          <w:szCs w:val="32"/>
          <w:highlight w:val="none"/>
          <w:lang w:val="en-US" w:eastAsia="zh-CN"/>
        </w:rPr>
        <w:t>2022年项目支出331.58万元（其中：</w:t>
      </w:r>
      <w:r>
        <w:rPr>
          <w:rFonts w:hint="eastAsia" w:ascii="仿宋_GB2312" w:eastAsia="仿宋_GB2312"/>
          <w:color w:val="auto"/>
          <w:spacing w:val="0"/>
          <w:sz w:val="32"/>
          <w:szCs w:val="32"/>
          <w:highlight w:val="none"/>
          <w:lang w:eastAsia="zh-CN"/>
        </w:rPr>
        <w:t>6个乡镇管委会基建项目支出178.55万元），</w:t>
      </w:r>
      <w:r>
        <w:rPr>
          <w:rFonts w:hint="eastAsia" w:ascii="仿宋_GB2312" w:eastAsia="仿宋_GB2312"/>
          <w:color w:val="auto"/>
          <w:spacing w:val="0"/>
          <w:sz w:val="32"/>
          <w:szCs w:val="32"/>
          <w:highlight w:val="none"/>
          <w:lang w:val="en-US" w:eastAsia="zh-CN"/>
        </w:rPr>
        <w:t>2023年项目支出175.48万元，</w:t>
      </w:r>
      <w:r>
        <w:rPr>
          <w:rFonts w:hint="eastAsia" w:ascii="仿宋_GB2312" w:eastAsia="仿宋_GB2312"/>
          <w:color w:val="auto"/>
          <w:spacing w:val="0"/>
          <w:sz w:val="32"/>
          <w:szCs w:val="32"/>
          <w:highlight w:val="none"/>
          <w:lang w:eastAsia="zh-CN"/>
        </w:rPr>
        <w:t>较上年减少156.1万元。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728.98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728.98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本年支出728.98万元，其中：基本支出553.50万元，占75.93%；项目支出175.48万元，占24.07%；上缴上级支出0.00万元，占0.00%；经营支出0.00万元，占0.00%；对附属单位补助支出0.00万元，占0.00%。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distribute"/>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728.98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728.98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728.98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728.98</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减少90.77万元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下降11.07%，</w:t>
      </w:r>
      <w:r>
        <w:rPr>
          <w:rFonts w:hint="eastAsia" w:ascii="仿宋_GB2312" w:eastAsia="仿宋_GB2312"/>
          <w:color w:val="auto"/>
          <w:spacing w:val="0"/>
          <w:sz w:val="32"/>
          <w:szCs w:val="32"/>
          <w:highlight w:val="none"/>
          <w:lang w:eastAsia="zh-CN"/>
        </w:rPr>
        <w:t>主要原因是：项目支出减少。</w:t>
      </w:r>
      <w:r>
        <w:rPr>
          <w:rFonts w:hint="eastAsia" w:ascii="仿宋_GB2312" w:eastAsia="仿宋_GB2312"/>
          <w:color w:val="auto"/>
          <w:spacing w:val="0"/>
          <w:sz w:val="32"/>
          <w:szCs w:val="32"/>
          <w:highlight w:val="none"/>
          <w:lang w:val="en-US" w:eastAsia="zh-CN"/>
        </w:rPr>
        <w:t>2022年财政拨款项目支出331.58万元（其中：</w:t>
      </w:r>
      <w:r>
        <w:rPr>
          <w:rFonts w:hint="eastAsia" w:ascii="仿宋_GB2312" w:eastAsia="仿宋_GB2312"/>
          <w:color w:val="auto"/>
          <w:spacing w:val="0"/>
          <w:sz w:val="32"/>
          <w:szCs w:val="32"/>
          <w:highlight w:val="none"/>
          <w:lang w:eastAsia="zh-CN"/>
        </w:rPr>
        <w:t>6个乡镇管委会基建项目支出178.55万元），</w:t>
      </w:r>
      <w:r>
        <w:rPr>
          <w:rFonts w:hint="eastAsia" w:ascii="仿宋_GB2312" w:eastAsia="仿宋_GB2312"/>
          <w:color w:val="auto"/>
          <w:spacing w:val="0"/>
          <w:sz w:val="32"/>
          <w:szCs w:val="32"/>
          <w:highlight w:val="none"/>
          <w:lang w:val="en-US" w:eastAsia="zh-CN"/>
        </w:rPr>
        <w:t>2023年财政拨款项目支出175.48万元，</w:t>
      </w:r>
      <w:r>
        <w:rPr>
          <w:rFonts w:hint="eastAsia" w:ascii="仿宋_GB2312" w:eastAsia="仿宋_GB2312"/>
          <w:color w:val="auto"/>
          <w:spacing w:val="0"/>
          <w:sz w:val="32"/>
          <w:szCs w:val="32"/>
          <w:highlight w:val="none"/>
          <w:lang w:eastAsia="zh-CN"/>
        </w:rPr>
        <w:t>较上年减少156.1万元。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515.79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728.98</w:t>
      </w:r>
      <w:r>
        <w:rPr>
          <w:rFonts w:hint="eastAsia" w:ascii="仿宋_GB2312" w:eastAsia="仿宋_GB2312"/>
          <w:color w:val="auto"/>
          <w:spacing w:val="0"/>
          <w:sz w:val="32"/>
          <w:szCs w:val="32"/>
          <w:highlight w:val="none"/>
          <w:lang w:eastAsia="zh-CN"/>
        </w:rPr>
        <w:t>万元，预决算差异率41.33%，主要原因是：项目支出较预算增加。年初预算项目支出20.66万元，决算项目支出175.48万元，年中追加项目支出较预算增加154.82万元，如：选调生到村任职补助资金、自治区基层组织建设资金、中央预算内基本建设项目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2023年度一般公共预算财政拨款支出728.98万元，占本年支出合计的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减少90.77万元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下降11.07%,</w:t>
      </w:r>
      <w:r>
        <w:rPr>
          <w:rFonts w:hint="eastAsia" w:ascii="仿宋_GB2312" w:eastAsia="仿宋_GB2312"/>
          <w:color w:val="auto"/>
          <w:spacing w:val="0"/>
          <w:sz w:val="32"/>
          <w:szCs w:val="32"/>
          <w:highlight w:val="none"/>
          <w:lang w:eastAsia="zh-CN"/>
        </w:rPr>
        <w:t>主要原因是：基本支出增加、项目支出减少。</w:t>
      </w:r>
      <w:r>
        <w:rPr>
          <w:rFonts w:hint="eastAsia" w:ascii="仿宋_GB2312" w:eastAsia="仿宋_GB2312"/>
          <w:color w:val="auto"/>
          <w:spacing w:val="0"/>
          <w:sz w:val="32"/>
          <w:szCs w:val="32"/>
          <w:highlight w:val="none"/>
          <w:lang w:val="en-US" w:eastAsia="zh-CN"/>
        </w:rPr>
        <w:t>2022年一般公共预算财政拨款项目支出331.58万元（其中：</w:t>
      </w:r>
      <w:r>
        <w:rPr>
          <w:rFonts w:hint="eastAsia" w:ascii="仿宋_GB2312" w:eastAsia="仿宋_GB2312"/>
          <w:color w:val="auto"/>
          <w:spacing w:val="0"/>
          <w:sz w:val="32"/>
          <w:szCs w:val="32"/>
          <w:highlight w:val="none"/>
          <w:lang w:eastAsia="zh-CN"/>
        </w:rPr>
        <w:t>6个乡镇管委会基建项目支出178.55万元），</w:t>
      </w:r>
      <w:r>
        <w:rPr>
          <w:rFonts w:hint="eastAsia" w:ascii="仿宋_GB2312" w:eastAsia="仿宋_GB2312"/>
          <w:color w:val="auto"/>
          <w:spacing w:val="0"/>
          <w:sz w:val="32"/>
          <w:szCs w:val="32"/>
          <w:highlight w:val="none"/>
          <w:lang w:val="en-US" w:eastAsia="zh-CN"/>
        </w:rPr>
        <w:t>2023年一般公共预算财政拨款项目支出175.48万元，</w:t>
      </w:r>
      <w:r>
        <w:rPr>
          <w:rFonts w:hint="eastAsia" w:ascii="仿宋_GB2312" w:eastAsia="仿宋_GB2312"/>
          <w:color w:val="auto"/>
          <w:spacing w:val="0"/>
          <w:sz w:val="32"/>
          <w:szCs w:val="32"/>
          <w:highlight w:val="none"/>
          <w:lang w:eastAsia="zh-CN"/>
        </w:rPr>
        <w:t>较上年减少156.1万元。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515.79</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728.98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41.33%</w:t>
      </w:r>
      <w:r>
        <w:rPr>
          <w:rFonts w:hint="eastAsia" w:ascii="仿宋_GB2312" w:eastAsia="仿宋_GB2312"/>
          <w:color w:val="auto"/>
          <w:spacing w:val="0"/>
          <w:sz w:val="32"/>
          <w:szCs w:val="32"/>
          <w:highlight w:val="none"/>
          <w:lang w:eastAsia="zh-CN"/>
        </w:rPr>
        <w:t>，主要原因是：项目支出较预算增加。年初预算项目支出20.66万元，决算项目支出175.48万元，年中追加项目支出较预算增加154.82万元，如：选调生到村任职补助资金、自治区基层组织建设资金、中央预算内基本建设项目等。</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519.81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71.31%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59.63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8.18%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25.72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3.53%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eastAsia" w:ascii="仿宋_GB2312" w:hAnsi="仿宋_GB2312" w:eastAsia="仿宋_GB2312" w:cs="仿宋_GB2312"/>
          <w:color w:val="auto"/>
          <w:spacing w:val="0"/>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zh-CN" w:eastAsia="zh-CN" w:bidi="ar-SA"/>
        </w:rPr>
        <w:t>城乡社区支出（类）76.23万元，占10.46%；</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36.61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5.02%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10.98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1.51%。</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13.80万元，比上年决算减少0.03万元，下降0.22%，主要原因是：2023年因年中人员调入、调出，比2022年末增加2人，但调出人员行政医疗基数较高，调入人员行政医疗基数低，总体上财政拨款较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2.卫生健康支出（类）行政事业单位医疗（款）事业单位医疗（项）:支出决算数为5.30万元，比上年决算减少0.35万元，下降6.19%，主要原因是：2023年年中有3人调出，事业医疗财政拨款较上年减少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公务员医疗补助（项）:支出决算数为6.62万元，比上年决算增加0.14万元，增长2.16%，主要原因是：2022年末公务员医疗人数20人，2023年末公务员医疗人员22人，总体上财政拨款较上年小幅增长</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4.住房保障支出（类）住房改革支出（款）住房公积金（项）:支出决算数为36.61万元，比上年决算增加3.78万元，增长11.51%，主要原因是：住房公积金缴存基数调整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一般公共服务支出（类）组织事务（款）事业运行（项）:支出决算数为102.07万元，比上年决算增加102.07万元，增长100%，主要原因是：全部为人才服务中心人员工资福利支出，上年度在2013201行政运行中反映，2023年度单独在2013250事业运行中反映，所以较上年净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一般公共服务支出（类）组织事务（款）其他组织事务支出（项）:支出决算数为88.27万元，比上年决算增加1.50万元，增长1.73%，主要原因是：2022年度选调生补助资金、换届工作经费、援疆干部医疗费、基层组织建设资金、人才保障项目共计支出86.77万元，2023年度选调生补助资金、远程教育专项资金、援疆干部医疗费、基层组织建设资金共计支出88.27万元，较上年增加1.50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7.一般公共服务支出（类）组织事务（款）行政运行（项）:支出决算数为329.47万元，比上年决算减少64.06万元，下降16.28%，主要原因是：</w:t>
      </w:r>
      <w:r>
        <w:rPr>
          <w:rFonts w:hint="eastAsia" w:ascii="仿宋_GB2312" w:hAnsi="仿宋_GB2312" w:eastAsia="仿宋_GB2312" w:cs="仿宋_GB2312"/>
          <w:color w:val="auto"/>
          <w:kern w:val="2"/>
          <w:sz w:val="32"/>
          <w:szCs w:val="32"/>
          <w:highlight w:val="none"/>
          <w:lang w:val="zh-CN" w:eastAsia="zh-CN" w:bidi="ar-SA"/>
        </w:rPr>
        <w:t>一是人员增资及补发，二是人才服务中心支出</w:t>
      </w:r>
      <w:r>
        <w:rPr>
          <w:rFonts w:hint="eastAsia" w:ascii="仿宋_GB2312" w:hAnsi="仿宋_GB2312" w:eastAsia="仿宋_GB2312" w:cs="仿宋_GB2312"/>
          <w:color w:val="auto"/>
          <w:kern w:val="2"/>
          <w:sz w:val="32"/>
          <w:szCs w:val="32"/>
          <w:highlight w:val="none"/>
          <w:lang w:val="en-US" w:eastAsia="zh-CN" w:bidi="ar-SA"/>
        </w:rPr>
        <w:t>2023年起从行政运行中剔除，</w:t>
      </w:r>
      <w:r>
        <w:rPr>
          <w:rFonts w:hint="eastAsia" w:ascii="仿宋_GB2312" w:hAnsi="仿宋_GB2312" w:eastAsia="仿宋_GB2312" w:cs="仿宋_GB2312"/>
          <w:color w:val="auto"/>
          <w:kern w:val="2"/>
          <w:sz w:val="32"/>
          <w:szCs w:val="32"/>
          <w:highlight w:val="none"/>
          <w:lang w:val="zh-CN" w:eastAsia="zh-CN" w:bidi="ar-SA"/>
        </w:rPr>
        <w:t>在事业运行中单独列支。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8.城乡社区支出（类）城乡社区公共设施（款）其他城乡社区公共设施支出（项）:支出决算数为76.23万元，比上年决算增加28.43万元，增长59.48%，主要原因是：均为塔地财建〔2021〕96号</w:t>
      </w:r>
      <w:r>
        <w:rPr>
          <w:rFonts w:hint="eastAsia" w:ascii="仿宋_GB2312" w:eastAsia="仿宋_GB2312"/>
          <w:color w:val="auto"/>
          <w:spacing w:val="0"/>
          <w:sz w:val="32"/>
          <w:szCs w:val="32"/>
          <w:highlight w:val="none"/>
          <w:lang w:eastAsia="zh-CN"/>
        </w:rPr>
        <w:t>东湾、西戈壁村民服务中心基本建设项目</w:t>
      </w:r>
      <w:r>
        <w:rPr>
          <w:rFonts w:hint="eastAsia" w:ascii="仿宋_GB2312" w:hAnsi="仿宋_GB2312" w:eastAsia="仿宋_GB2312" w:cs="仿宋_GB2312"/>
          <w:color w:val="auto"/>
          <w:kern w:val="2"/>
          <w:sz w:val="32"/>
          <w:szCs w:val="32"/>
          <w:highlight w:val="none"/>
          <w:lang w:val="en-US" w:eastAsia="zh-CN" w:bidi="ar-SA"/>
        </w:rPr>
        <w:t>支出，2022年支出47.8万元，2023年支出76.23万元，较上年增加28.43万元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行政单位离退休（项）:支出决算数为1.73万元，比上年决算增加0.63万元，增长57.27%，主要原因是：3名退休人员退休费增加（基础绩效奖每人增资0.21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职业年金缴费支出（项）:支出决算数为12.79万元，比上年决算增加12.79万元，增长100%，主要原因是：2022年无职业年金缴费支出，2023年因付海龙、潘磊、孙帅3人调出沙湾市，缴纳单位部分职业年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其他支出（类）其他支出（款）其他支出（项）:支出决算数为10.98万元，比上年决算减少186.03万元，下降94.43%，主要原因是：2022年专项工作经费、生活补助、塔地财建〔2021〕96号六个乡镇管委会基建项目支出197.01万元，2023年专项工作经费、生活补助支出10.98万元，较上年减少186.03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12.社会保障和就业支出（类）行政事业单位养老支出（款）机关事业单位基本养老保险缴费支出（项）:支出决算数为45.11万元，比上年决算增加10.37万元，增长29.85%，主要原因是：</w:t>
      </w:r>
      <w:r>
        <w:rPr>
          <w:rFonts w:hint="eastAsia" w:ascii="仿宋_GB2312" w:hAnsi="仿宋_GB2312" w:eastAsia="仿宋_GB2312" w:cs="仿宋_GB2312"/>
          <w:color w:val="auto"/>
          <w:kern w:val="2"/>
          <w:sz w:val="32"/>
          <w:szCs w:val="32"/>
          <w:highlight w:val="none"/>
          <w:lang w:val="zh-CN" w:eastAsia="zh-CN" w:bidi="ar-SA"/>
        </w:rPr>
        <w:t>养老保险缴费基数增加。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553.50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502.41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51.09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办公费、印刷费、电费、邮电费、取暖费、物业管理费、差旅费、维修（护）费、培训费、公务接待费、劳务费、工会经费、公务用车运行维护费、其他交通费用</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“三公”经费支出10.99万元，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减少2.15万元，</w:t>
      </w:r>
      <w:r>
        <w:rPr>
          <w:rFonts w:hint="eastAsia" w:ascii="仿宋_GB2312" w:eastAsia="仿宋_GB2312"/>
          <w:color w:val="auto"/>
          <w:spacing w:val="0"/>
          <w:sz w:val="32"/>
          <w:szCs w:val="32"/>
          <w:highlight w:val="none"/>
          <w:lang w:val="en-US" w:eastAsia="zh-CN"/>
        </w:rPr>
        <w:t>下降16.36%,</w:t>
      </w:r>
      <w:r>
        <w:rPr>
          <w:rFonts w:hint="eastAsia" w:ascii="仿宋_GB2312" w:eastAsia="仿宋_GB2312"/>
          <w:color w:val="auto"/>
          <w:sz w:val="32"/>
          <w:szCs w:val="32"/>
          <w:highlight w:val="none"/>
          <w:lang w:val="zh-CN" w:eastAsia="zh-CN"/>
        </w:rPr>
        <w:t>主要原因是：压减公务用车支出。其中：因公出国（境）费支出0.00万元，占0.00%，比上年增加0.00万元，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主要原因是：无因公出国（境）费支出；公务用车购置及运行维护费支出9.20万元，占83.71%，比上年减少2.14万元，</w:t>
      </w:r>
      <w:r>
        <w:rPr>
          <w:rFonts w:hint="eastAsia" w:ascii="仿宋_GB2312" w:eastAsia="仿宋_GB2312"/>
          <w:color w:val="auto"/>
          <w:spacing w:val="0"/>
          <w:sz w:val="32"/>
          <w:szCs w:val="32"/>
          <w:highlight w:val="none"/>
          <w:lang w:val="en-US" w:eastAsia="zh-CN"/>
        </w:rPr>
        <w:t>下降18.87%,</w:t>
      </w:r>
      <w:r>
        <w:rPr>
          <w:rFonts w:hint="eastAsia" w:ascii="仿宋_GB2312" w:eastAsia="仿宋_GB2312"/>
          <w:color w:val="auto"/>
          <w:sz w:val="32"/>
          <w:szCs w:val="32"/>
          <w:highlight w:val="none"/>
          <w:lang w:val="zh-CN" w:eastAsia="zh-CN"/>
        </w:rPr>
        <w:t>主要原因是：压减公务用车支出；公务接待费支出1.79万元，占16.29%，比上年减少0.0</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val="zh-CN" w:eastAsia="zh-CN"/>
        </w:rPr>
        <w:t>万元，</w:t>
      </w:r>
      <w:r>
        <w:rPr>
          <w:rFonts w:hint="eastAsia" w:ascii="仿宋_GB2312" w:eastAsia="仿宋_GB2312"/>
          <w:color w:val="auto"/>
          <w:spacing w:val="0"/>
          <w:sz w:val="32"/>
          <w:szCs w:val="32"/>
          <w:highlight w:val="none"/>
          <w:lang w:val="en-US" w:eastAsia="zh-CN"/>
        </w:rPr>
        <w:t>下降0.56%,</w:t>
      </w:r>
      <w:r>
        <w:rPr>
          <w:rFonts w:hint="eastAsia" w:ascii="仿宋_GB2312" w:eastAsia="仿宋_GB2312"/>
          <w:color w:val="auto"/>
          <w:sz w:val="32"/>
          <w:szCs w:val="32"/>
          <w:highlight w:val="none"/>
          <w:lang w:val="zh-CN" w:eastAsia="zh-CN"/>
        </w:rPr>
        <w:t>主要原因是：严格公务接待支出，做到逐年下降。</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9.20万元，其中：公务用车购置费0.00万元，公务用车运行维护费9.20万元。公务用车运行维护费开支内容包括燃料费、通行费、维修费、购买保险、审验费。公务用车购置数0辆，公务用车保有量4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4辆，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原因是：公务用车保有量与国有资产占用情况</w:t>
      </w:r>
      <w:r>
        <w:rPr>
          <w:rFonts w:hint="eastAsia" w:ascii="仿宋_GB2312" w:eastAsia="仿宋_GB2312"/>
          <w:color w:val="auto"/>
          <w:sz w:val="32"/>
          <w:szCs w:val="32"/>
          <w:highlight w:val="none"/>
          <w:lang w:val="en-US" w:eastAsia="zh-CN"/>
        </w:rPr>
        <w:t>中固定资产车辆无差异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1.79万元，开支内容包括迎接主题教育督导，抓党建促乡村振兴现场观摩，基层组织建设调研、“五个好”党支部抽查验收、两新组织党建互观互学调研、基层治理体系和治理能力现代化建设及干部队伍建设调研、年度考核工作、干部推荐考察，援疆干部人才期满考核，来沙观摩学习公务接待餐费支出</w:t>
      </w:r>
      <w:bookmarkStart w:id="48" w:name="_GoBack"/>
      <w:bookmarkEnd w:id="48"/>
      <w:r>
        <w:rPr>
          <w:rFonts w:hint="eastAsia" w:ascii="仿宋_GB2312" w:eastAsia="仿宋_GB2312"/>
          <w:color w:val="auto"/>
          <w:sz w:val="32"/>
          <w:szCs w:val="32"/>
          <w:highlight w:val="none"/>
          <w:lang w:val="zh-CN" w:eastAsia="zh-CN"/>
        </w:rPr>
        <w:t>。单位全年安排的国内公务接待21批次，306人次。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预算数10.99万元，决算数10.99万元，预决算差异率0.00%，主要原因是：财政拨款“三公”经费支出预算数和决算数无变化，预决算无差异。其中：因公出国（境）费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预算数9.20万元，决算数9.20万元，预决算差异率0.00%，主要原因是：公务用车运行费预算数和决算数无变化，预决算无差异；公务接待费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预算数1.79万元，决算数1.79万元，预决算差异率0.00%，主要原因是：公务接待费预算数和决算数无变化，预决算无差异。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中共沙湾市委员会组织部（行政单位和参照公务员法管理事业单位）机关运行经费支出51.09万元，</w:t>
      </w:r>
      <w:r>
        <w:rPr>
          <w:rFonts w:hint="eastAsia" w:ascii="仿宋_GB2312" w:hAnsi="仿宋_GB2312" w:eastAsia="仿宋_GB2312" w:cs="仿宋_GB2312"/>
          <w:color w:val="auto"/>
          <w:sz w:val="32"/>
          <w:szCs w:val="32"/>
          <w:highlight w:val="none"/>
          <w:lang w:val="zh-CN" w:eastAsia="zh-CN"/>
        </w:rPr>
        <w:t>比上年增加3.55万元，增长7.47%，主要原因是：</w:t>
      </w:r>
      <w:r>
        <w:rPr>
          <w:rFonts w:hint="eastAsia" w:ascii="仿宋_GB2312" w:hAnsi="仿宋_GB2312" w:eastAsia="仿宋_GB2312" w:cs="仿宋_GB2312"/>
          <w:color w:val="auto"/>
          <w:sz w:val="32"/>
          <w:szCs w:val="32"/>
          <w:highlight w:val="none"/>
          <w:lang w:val="en-US" w:eastAsia="zh-CN"/>
        </w:rPr>
        <w:t>2023年培训费、工会经费支出较上年增加</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w:t>
      </w:r>
      <w:r>
        <w:rPr>
          <w:rFonts w:hint="eastAsia" w:ascii="Times New Roman" w:hAnsi="Times New Roman" w:eastAsia="黑体" w:cs="Times New Roman"/>
          <w:b w:val="0"/>
          <w:bCs w:val="0"/>
          <w:color w:val="auto"/>
          <w:sz w:val="32"/>
          <w:szCs w:val="30"/>
          <w:highlight w:val="none"/>
          <w:lang w:val="zh-CN" w:eastAsia="zh-CN"/>
        </w:rPr>
        <w:t>）政府采购情况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144.11万元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其中：政府采购货物支出87.71万元、政府采购工程支出44.39万元、政府采购服务支出12.01万元。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授予中小企业合同金额144.11万元，占政府采购支出总额的100.00%，其中：授予小微企业合同金额141.73万元，占政府采购支出总额的98.35%</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b w:val="0"/>
          <w:bCs w:val="0"/>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b w:val="0"/>
          <w:bCs w:val="0"/>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1,244.58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屋2,229.32平方米，价值520.25万元。车辆4辆，价值85.03万元，其中：副部（省）级及以上领导用车0辆、主要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用车0辆、其他用车4辆，其他用车主要是：一般公务用车；单价100万元（含）以上设备（不含车辆）0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预算总额728.98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实际执行总额728.98</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全年预算数175.48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全年执行数175.48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其中涉密项目</w:t>
      </w:r>
      <w:r>
        <w:rPr>
          <w:rFonts w:hint="eastAsia" w:ascii="仿宋_GB2312" w:eastAsia="仿宋_GB2312"/>
          <w:color w:val="auto"/>
          <w:sz w:val="32"/>
          <w:szCs w:val="32"/>
          <w:highlight w:val="none"/>
          <w:lang w:val="en-US" w:eastAsia="zh-CN"/>
        </w:rPr>
        <w:t>1个，全年预算数76.23万元，全年执行数76.23万元。</w:t>
      </w:r>
      <w:r>
        <w:rPr>
          <w:rFonts w:hint="eastAsia" w:ascii="仿宋_GB2312" w:eastAsia="仿宋_GB2312"/>
          <w:color w:val="auto"/>
          <w:sz w:val="32"/>
          <w:szCs w:val="32"/>
          <w:highlight w:val="none"/>
          <w:lang w:eastAsia="zh-CN"/>
        </w:rPr>
        <w:t>预算绩效管理取得的成效：一是牢固树立花钱必问效、无效必问责的绩效管理理念，进一步增强支出责任和效率意识，全面加强预算管理，优化资源配置，提高财政资金使用绩效科学精细化水平；二是绩效结果运用稳步推进，将绩效评价结果作为预算安排的重要依据，压减非刚性支出，优化支出结构，健全绩效评价结果反馈整改及运用机制，将财政监督运用到预算管理的事前、事中、事后各个环节。发现的问题及原因：一是项目预算及支出管理的科学性有待进一步提高。加强项目预算审核，要严格按照项目资金年度额度编制预算；做好项目实施过程中资金支出与预算的比较，定期向项目实施人员了解项目执行情况，更好</w:t>
      </w:r>
      <w:r>
        <w:rPr>
          <w:rFonts w:hint="eastAsia" w:ascii="仿宋_GB2312" w:eastAsia="仿宋_GB2312"/>
          <w:color w:val="auto"/>
          <w:sz w:val="32"/>
          <w:szCs w:val="32"/>
          <w:highlight w:val="none"/>
          <w:lang w:val="en-US" w:eastAsia="zh-CN"/>
        </w:rPr>
        <w:t>地</w:t>
      </w:r>
      <w:r>
        <w:rPr>
          <w:rFonts w:hint="eastAsia" w:ascii="仿宋_GB2312" w:eastAsia="仿宋_GB2312"/>
          <w:color w:val="auto"/>
          <w:sz w:val="32"/>
          <w:szCs w:val="32"/>
          <w:highlight w:val="none"/>
          <w:lang w:eastAsia="zh-CN"/>
        </w:rPr>
        <w:t>提高资金使用效率；二是绩效项目指标设置还需科学化、有针对性。在进行绩效目标设定时，考虑成本指标的设置，社会效益指标的可衡量性，及时对项目运行情况进行监督，真正做到预算编制有目标、预算执行有跟踪监督、预算完成有评价、评价结果有反馈、反馈结果有应用。下一步改进措施：一是高度重视财政预决算工作，加强预算的约束力；二是加强内部管理，严格执行预算，坚持厉行节约，进一步降低财</w:t>
      </w:r>
      <w:r>
        <w:rPr>
          <w:rFonts w:hint="eastAsia" w:ascii="仿宋_GB2312" w:eastAsia="仿宋_GB2312"/>
          <w:color w:val="auto"/>
          <w:sz w:val="32"/>
          <w:szCs w:val="32"/>
          <w:highlight w:val="none"/>
          <w:lang w:val="en-US" w:eastAsia="zh-CN"/>
        </w:rPr>
        <w:t>政</w:t>
      </w:r>
      <w:r>
        <w:rPr>
          <w:rFonts w:hint="eastAsia" w:ascii="仿宋_GB2312" w:eastAsia="仿宋_GB2312"/>
          <w:color w:val="auto"/>
          <w:sz w:val="32"/>
          <w:szCs w:val="32"/>
          <w:highlight w:val="none"/>
          <w:lang w:eastAsia="zh-CN"/>
        </w:rPr>
        <w:t>支出。具体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eastAsia="仿宋_GB2312"/>
          <w:color w:val="auto"/>
          <w:sz w:val="32"/>
          <w:szCs w:val="32"/>
          <w:highlight w:val="none"/>
          <w:lang w:eastAsia="zh-CN"/>
        </w:rPr>
        <w:t>本单位涉密项目</w:t>
      </w:r>
      <w:r>
        <w:rPr>
          <w:rFonts w:hint="eastAsia" w:ascii="仿宋_GB2312" w:eastAsia="仿宋_GB2312"/>
          <w:color w:val="auto"/>
          <w:sz w:val="32"/>
          <w:szCs w:val="32"/>
          <w:highlight w:val="none"/>
          <w:lang w:val="en-US" w:eastAsia="zh-CN"/>
        </w:rPr>
        <w:t>1个，全年预算数76.23万元，全年执行数76.23万元。不予以公开</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5NTk2MzMzOWQxNzUwYzkwNjMyY2E2MWZlNmEyNjcifQ=="/>
    <w:docVar w:name="KSO_WPS_MARK_KEY" w:val="41ee2a61-2d54-4f93-83be-afdb9a40d732"/>
  </w:docVars>
  <w:rsids>
    <w:rsidRoot w:val="00000000"/>
    <w:rsid w:val="000E3BAF"/>
    <w:rsid w:val="00213C59"/>
    <w:rsid w:val="003210CE"/>
    <w:rsid w:val="00B70D59"/>
    <w:rsid w:val="00F52A8D"/>
    <w:rsid w:val="019404F8"/>
    <w:rsid w:val="01C30B6B"/>
    <w:rsid w:val="01ED22F2"/>
    <w:rsid w:val="021B5E96"/>
    <w:rsid w:val="02BD3108"/>
    <w:rsid w:val="02F73D26"/>
    <w:rsid w:val="034D4FEF"/>
    <w:rsid w:val="03501648"/>
    <w:rsid w:val="035D1785"/>
    <w:rsid w:val="039F47CE"/>
    <w:rsid w:val="03BD5310"/>
    <w:rsid w:val="03E05CE8"/>
    <w:rsid w:val="03F973EE"/>
    <w:rsid w:val="043E5B56"/>
    <w:rsid w:val="04C04386"/>
    <w:rsid w:val="04D1736D"/>
    <w:rsid w:val="04D96608"/>
    <w:rsid w:val="04EB0C39"/>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881EE0"/>
    <w:rsid w:val="08A0354D"/>
    <w:rsid w:val="08CD4C49"/>
    <w:rsid w:val="09114954"/>
    <w:rsid w:val="095A5B83"/>
    <w:rsid w:val="096466E3"/>
    <w:rsid w:val="0968304D"/>
    <w:rsid w:val="09AF3D17"/>
    <w:rsid w:val="0A7809B7"/>
    <w:rsid w:val="0A7B4867"/>
    <w:rsid w:val="0A840954"/>
    <w:rsid w:val="0A9928ED"/>
    <w:rsid w:val="0B5D668D"/>
    <w:rsid w:val="0B61769D"/>
    <w:rsid w:val="0B8C3ECC"/>
    <w:rsid w:val="0B99279B"/>
    <w:rsid w:val="0B9C639D"/>
    <w:rsid w:val="0BB052B2"/>
    <w:rsid w:val="0BD33FFC"/>
    <w:rsid w:val="0BE97AC1"/>
    <w:rsid w:val="0C1C4780"/>
    <w:rsid w:val="0C3613A3"/>
    <w:rsid w:val="0C5E519C"/>
    <w:rsid w:val="0C602505"/>
    <w:rsid w:val="0C7227A7"/>
    <w:rsid w:val="0CA52EE8"/>
    <w:rsid w:val="0CBD6988"/>
    <w:rsid w:val="0CD208AC"/>
    <w:rsid w:val="0D172DAA"/>
    <w:rsid w:val="0D4903E8"/>
    <w:rsid w:val="0D7A4A46"/>
    <w:rsid w:val="0E640559"/>
    <w:rsid w:val="0F1113DA"/>
    <w:rsid w:val="0F78534A"/>
    <w:rsid w:val="0F89358A"/>
    <w:rsid w:val="0F8C6D51"/>
    <w:rsid w:val="105B0B5E"/>
    <w:rsid w:val="10A52E14"/>
    <w:rsid w:val="112E58D0"/>
    <w:rsid w:val="11731CAC"/>
    <w:rsid w:val="119500A0"/>
    <w:rsid w:val="11C0733B"/>
    <w:rsid w:val="11D50D17"/>
    <w:rsid w:val="120E0809"/>
    <w:rsid w:val="127F665A"/>
    <w:rsid w:val="12F7068C"/>
    <w:rsid w:val="138E2B60"/>
    <w:rsid w:val="14207DC0"/>
    <w:rsid w:val="14B932DA"/>
    <w:rsid w:val="150A66AF"/>
    <w:rsid w:val="154C1139"/>
    <w:rsid w:val="158C5B77"/>
    <w:rsid w:val="160D1149"/>
    <w:rsid w:val="163563C0"/>
    <w:rsid w:val="164132E3"/>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CD91D84"/>
    <w:rsid w:val="1D22799A"/>
    <w:rsid w:val="1D5C1A72"/>
    <w:rsid w:val="1D9977E9"/>
    <w:rsid w:val="1DAF458D"/>
    <w:rsid w:val="1E086ACE"/>
    <w:rsid w:val="1E62130A"/>
    <w:rsid w:val="1E97358B"/>
    <w:rsid w:val="1EAA4A5F"/>
    <w:rsid w:val="1EE869A7"/>
    <w:rsid w:val="1F3F37CF"/>
    <w:rsid w:val="1FA15E62"/>
    <w:rsid w:val="1FA21907"/>
    <w:rsid w:val="1FB22444"/>
    <w:rsid w:val="1FED69B6"/>
    <w:rsid w:val="2064678E"/>
    <w:rsid w:val="20DC1AB9"/>
    <w:rsid w:val="20DD6197"/>
    <w:rsid w:val="212631E0"/>
    <w:rsid w:val="2138666F"/>
    <w:rsid w:val="21742080"/>
    <w:rsid w:val="21A53757"/>
    <w:rsid w:val="21F879E1"/>
    <w:rsid w:val="221236C6"/>
    <w:rsid w:val="22435FD6"/>
    <w:rsid w:val="22D7662C"/>
    <w:rsid w:val="23326B7F"/>
    <w:rsid w:val="236C3D41"/>
    <w:rsid w:val="23714047"/>
    <w:rsid w:val="2380045B"/>
    <w:rsid w:val="23BC04D2"/>
    <w:rsid w:val="23EF1892"/>
    <w:rsid w:val="2483647E"/>
    <w:rsid w:val="24A32D55"/>
    <w:rsid w:val="24CE6D9A"/>
    <w:rsid w:val="24FA3AF5"/>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916710"/>
    <w:rsid w:val="28DA4193"/>
    <w:rsid w:val="28DF2665"/>
    <w:rsid w:val="29072599"/>
    <w:rsid w:val="291029F3"/>
    <w:rsid w:val="29CB58F0"/>
    <w:rsid w:val="2A053397"/>
    <w:rsid w:val="2A145E96"/>
    <w:rsid w:val="2A2131BB"/>
    <w:rsid w:val="2AF5378F"/>
    <w:rsid w:val="2BB94DBF"/>
    <w:rsid w:val="2BF37410"/>
    <w:rsid w:val="2C55094B"/>
    <w:rsid w:val="2C6F314E"/>
    <w:rsid w:val="2CC206BE"/>
    <w:rsid w:val="2D1136DF"/>
    <w:rsid w:val="2D20606D"/>
    <w:rsid w:val="2D5736DA"/>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477870"/>
    <w:rsid w:val="38561669"/>
    <w:rsid w:val="385E3AC3"/>
    <w:rsid w:val="387D6B9E"/>
    <w:rsid w:val="38B75FF0"/>
    <w:rsid w:val="38D45016"/>
    <w:rsid w:val="38D90432"/>
    <w:rsid w:val="3914510A"/>
    <w:rsid w:val="3926770B"/>
    <w:rsid w:val="3982065B"/>
    <w:rsid w:val="398D3668"/>
    <w:rsid w:val="39DA0497"/>
    <w:rsid w:val="3A893816"/>
    <w:rsid w:val="3A893B6D"/>
    <w:rsid w:val="3AD1763A"/>
    <w:rsid w:val="3AE87216"/>
    <w:rsid w:val="3B196883"/>
    <w:rsid w:val="3B6716E3"/>
    <w:rsid w:val="3B6C6B2D"/>
    <w:rsid w:val="3C242659"/>
    <w:rsid w:val="3C96719C"/>
    <w:rsid w:val="3CA72BE8"/>
    <w:rsid w:val="3CDC1E1E"/>
    <w:rsid w:val="3CF37F8C"/>
    <w:rsid w:val="3D137554"/>
    <w:rsid w:val="3D5275AC"/>
    <w:rsid w:val="3D8B1BA3"/>
    <w:rsid w:val="3DCC2473"/>
    <w:rsid w:val="3DEB0883"/>
    <w:rsid w:val="3E2527BF"/>
    <w:rsid w:val="3E70484C"/>
    <w:rsid w:val="3E731662"/>
    <w:rsid w:val="3E8168DD"/>
    <w:rsid w:val="3EA7725F"/>
    <w:rsid w:val="3EB03713"/>
    <w:rsid w:val="3EBF1A11"/>
    <w:rsid w:val="3EC52607"/>
    <w:rsid w:val="3EEC6CEF"/>
    <w:rsid w:val="3F183429"/>
    <w:rsid w:val="3F60206F"/>
    <w:rsid w:val="3FB77A1D"/>
    <w:rsid w:val="3FDC3674"/>
    <w:rsid w:val="3FED7F8A"/>
    <w:rsid w:val="40094AEF"/>
    <w:rsid w:val="405470BD"/>
    <w:rsid w:val="40794A29"/>
    <w:rsid w:val="40834692"/>
    <w:rsid w:val="41431AD5"/>
    <w:rsid w:val="414B3C0F"/>
    <w:rsid w:val="417C1CE7"/>
    <w:rsid w:val="41900018"/>
    <w:rsid w:val="41944406"/>
    <w:rsid w:val="41CE128F"/>
    <w:rsid w:val="41DA6F12"/>
    <w:rsid w:val="420179BA"/>
    <w:rsid w:val="42171FB1"/>
    <w:rsid w:val="42551DC6"/>
    <w:rsid w:val="42C10D7B"/>
    <w:rsid w:val="434E6957"/>
    <w:rsid w:val="436F34AC"/>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5F1706"/>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2FE3D08"/>
    <w:rsid w:val="534B6B2F"/>
    <w:rsid w:val="53AE735E"/>
    <w:rsid w:val="53D03877"/>
    <w:rsid w:val="53EF10E1"/>
    <w:rsid w:val="542F73CA"/>
    <w:rsid w:val="5430786D"/>
    <w:rsid w:val="545A1D2A"/>
    <w:rsid w:val="547170D1"/>
    <w:rsid w:val="54784625"/>
    <w:rsid w:val="54C811C0"/>
    <w:rsid w:val="556A442D"/>
    <w:rsid w:val="55DA564E"/>
    <w:rsid w:val="55E816A3"/>
    <w:rsid w:val="5604127D"/>
    <w:rsid w:val="56044E6C"/>
    <w:rsid w:val="56166703"/>
    <w:rsid w:val="56510474"/>
    <w:rsid w:val="56861525"/>
    <w:rsid w:val="569B3950"/>
    <w:rsid w:val="56A93273"/>
    <w:rsid w:val="56B57CEE"/>
    <w:rsid w:val="56BD550C"/>
    <w:rsid w:val="56E07045"/>
    <w:rsid w:val="56FF28AF"/>
    <w:rsid w:val="57077804"/>
    <w:rsid w:val="57540E7D"/>
    <w:rsid w:val="577B4878"/>
    <w:rsid w:val="57926973"/>
    <w:rsid w:val="57D1482F"/>
    <w:rsid w:val="57F42925"/>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CA7ACE"/>
    <w:rsid w:val="5DD92690"/>
    <w:rsid w:val="5DDB1CFD"/>
    <w:rsid w:val="5E7E6D93"/>
    <w:rsid w:val="5E82459B"/>
    <w:rsid w:val="5E9D6D36"/>
    <w:rsid w:val="5ED44800"/>
    <w:rsid w:val="5F350BDE"/>
    <w:rsid w:val="5F61632C"/>
    <w:rsid w:val="5FA17648"/>
    <w:rsid w:val="5FE705CB"/>
    <w:rsid w:val="6007714E"/>
    <w:rsid w:val="603D5080"/>
    <w:rsid w:val="606842D0"/>
    <w:rsid w:val="60A07A6F"/>
    <w:rsid w:val="60D0261B"/>
    <w:rsid w:val="618E3791"/>
    <w:rsid w:val="61947DCA"/>
    <w:rsid w:val="61A46A97"/>
    <w:rsid w:val="61D1382F"/>
    <w:rsid w:val="61F114A2"/>
    <w:rsid w:val="621B45AA"/>
    <w:rsid w:val="622B0ABA"/>
    <w:rsid w:val="62512BB4"/>
    <w:rsid w:val="625D7D1A"/>
    <w:rsid w:val="62660469"/>
    <w:rsid w:val="62DD7D21"/>
    <w:rsid w:val="632371CC"/>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6032B8"/>
    <w:rsid w:val="677E1F10"/>
    <w:rsid w:val="67C304AB"/>
    <w:rsid w:val="683F0658"/>
    <w:rsid w:val="689C6793"/>
    <w:rsid w:val="68DB0208"/>
    <w:rsid w:val="68FB170C"/>
    <w:rsid w:val="69010F40"/>
    <w:rsid w:val="69026923"/>
    <w:rsid w:val="691B3D98"/>
    <w:rsid w:val="693748F0"/>
    <w:rsid w:val="69846A0E"/>
    <w:rsid w:val="69AA1366"/>
    <w:rsid w:val="69AD798C"/>
    <w:rsid w:val="69D005C0"/>
    <w:rsid w:val="69D80B96"/>
    <w:rsid w:val="69D8127E"/>
    <w:rsid w:val="69F47AD7"/>
    <w:rsid w:val="6A2C39D4"/>
    <w:rsid w:val="6B68175F"/>
    <w:rsid w:val="6B961118"/>
    <w:rsid w:val="6BFD799F"/>
    <w:rsid w:val="6C4A2E5A"/>
    <w:rsid w:val="6C8138D0"/>
    <w:rsid w:val="6CEF0725"/>
    <w:rsid w:val="6D4B2604"/>
    <w:rsid w:val="6D77358F"/>
    <w:rsid w:val="6D8030E4"/>
    <w:rsid w:val="6E0E35C4"/>
    <w:rsid w:val="6E0F7A08"/>
    <w:rsid w:val="6E3947F5"/>
    <w:rsid w:val="6E6733A0"/>
    <w:rsid w:val="6E6E3938"/>
    <w:rsid w:val="6E7F1046"/>
    <w:rsid w:val="6E9C74ED"/>
    <w:rsid w:val="6EF72976"/>
    <w:rsid w:val="6F795A80"/>
    <w:rsid w:val="6F7C1D2E"/>
    <w:rsid w:val="6F8E0407"/>
    <w:rsid w:val="6FCD2479"/>
    <w:rsid w:val="6FDD069F"/>
    <w:rsid w:val="702B4D16"/>
    <w:rsid w:val="70AA6621"/>
    <w:rsid w:val="7111480F"/>
    <w:rsid w:val="71261F49"/>
    <w:rsid w:val="712E6956"/>
    <w:rsid w:val="71473612"/>
    <w:rsid w:val="71504F32"/>
    <w:rsid w:val="7152309F"/>
    <w:rsid w:val="718F7F65"/>
    <w:rsid w:val="71D738FE"/>
    <w:rsid w:val="71DA6992"/>
    <w:rsid w:val="727B234E"/>
    <w:rsid w:val="728A58B0"/>
    <w:rsid w:val="72D068C7"/>
    <w:rsid w:val="72E42ED8"/>
    <w:rsid w:val="72FC34C3"/>
    <w:rsid w:val="735F4CB9"/>
    <w:rsid w:val="73674C62"/>
    <w:rsid w:val="73845865"/>
    <w:rsid w:val="739B6D9E"/>
    <w:rsid w:val="73BC1D76"/>
    <w:rsid w:val="73DB1A3D"/>
    <w:rsid w:val="73FB6630"/>
    <w:rsid w:val="744E37EE"/>
    <w:rsid w:val="748D790E"/>
    <w:rsid w:val="749820CC"/>
    <w:rsid w:val="74CE04EC"/>
    <w:rsid w:val="74CE2814"/>
    <w:rsid w:val="74E76DCD"/>
    <w:rsid w:val="751D7C0A"/>
    <w:rsid w:val="75722D56"/>
    <w:rsid w:val="75DB5477"/>
    <w:rsid w:val="75FC6AC3"/>
    <w:rsid w:val="7616619B"/>
    <w:rsid w:val="76660D7C"/>
    <w:rsid w:val="766C5968"/>
    <w:rsid w:val="76956C1B"/>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1E61B4"/>
    <w:rsid w:val="7C7248A0"/>
    <w:rsid w:val="7C976D69"/>
    <w:rsid w:val="7CD752DA"/>
    <w:rsid w:val="7CDE40AB"/>
    <w:rsid w:val="7CF057E2"/>
    <w:rsid w:val="7D1548B5"/>
    <w:rsid w:val="7D4F44FC"/>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6762</Words>
  <Characters>7709</Characters>
  <Lines>0</Lines>
  <Paragraphs>0</Paragraphs>
  <TotalTime>0</TotalTime>
  <ScaleCrop>false</ScaleCrop>
  <LinksUpToDate>false</LinksUpToDate>
  <CharactersWithSpaces>7720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2025-04-10T10:29:13Z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F666516371D04004AE60E248602CEDBD</vt:lpwstr>
  </property>
  <property fmtid="{D5CDD505-2E9C-101B-9397-08002B2CF9AE}" pid="4" name="KSOTemplateDocerSaveRecord">
    <vt:lpwstr>eyJoZGlkIjoiZDU4MmQ2ZWMyMDZlYzhmM2M0MmMwNGNmYmFiY2Q3YTQiLCJ1c2VySWQiOiI1Mzk1NTEzNjcifQ==</vt:lpwstr>
  </property>
</Properties>
</file>